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8365A" w:rsidRDefault="00000000">
      <w:pPr>
        <w:pStyle w:val="Title"/>
        <w:spacing w:before="120" w:after="240"/>
        <w:jc w:val="center"/>
      </w:pPr>
      <w:r>
        <w:t>Report: Consumer Confidence and Social Transfers in Thailand, 2017-2024</w:t>
      </w:r>
    </w:p>
    <w:p w:rsidR="00B8365A" w:rsidRDefault="00000000">
      <w:r>
        <w:t>This report interprets "customer confidence" as household consumer confidence. It combines official Thai fiscal and confidence data to study how social transfers in cash and in kind interacted with confidence between 2017 and 2024, with special attention to low-income households.</w:t>
      </w:r>
    </w:p>
    <w:p w:rsidR="00B8365A" w:rsidRDefault="00000000">
      <w:pPr>
        <w:pStyle w:val="Heading1"/>
        <w:spacing w:before="180"/>
      </w:pPr>
      <w:r>
        <w:t>Executive Summary</w:t>
      </w:r>
    </w:p>
    <w:p w:rsidR="00B8365A" w:rsidRDefault="00000000">
      <w:pPr>
        <w:pStyle w:val="ListParagraph"/>
        <w:numPr>
          <w:ilvl w:val="0"/>
          <w:numId w:val="1"/>
        </w:numPr>
        <w:spacing w:after="80"/>
      </w:pPr>
      <w:r>
        <w:t>NESDC data show a large rise in Thailand's social-transfer envelope between 2017 and 2024. Total cash-like social benefits increased from THB 459.2 billion to THB 782.8 billion, while total social transfers in kind increased from THB 1.255 trillion to THB 1.628 trillion.</w:t>
      </w:r>
    </w:p>
    <w:p w:rsidR="00B8365A" w:rsidRDefault="00000000">
      <w:pPr>
        <w:pStyle w:val="ListParagraph"/>
        <w:numPr>
          <w:ilvl w:val="0"/>
          <w:numId w:val="1"/>
        </w:numPr>
        <w:spacing w:after="80"/>
      </w:pPr>
      <w:r>
        <w:t>The low-income-focused components grew even faster on the cash side. Cash social assistance almost doubled, from THB 104.0 billion in 2017 to THB 200.6 billion in 2024, a 92.8 percent increase.</w:t>
      </w:r>
    </w:p>
    <w:p w:rsidR="00B8365A" w:rsidRDefault="00000000">
      <w:pPr>
        <w:pStyle w:val="ListParagraph"/>
        <w:numPr>
          <w:ilvl w:val="0"/>
          <w:numId w:val="1"/>
        </w:numPr>
        <w:spacing w:after="80"/>
      </w:pPr>
      <w:r>
        <w:t>In-kind social assistance behaved differently. It was broadly stable before COVID, surged in 2021-2022 as health and cost-of-living support intensified, peaked at THB 344.9 billion in 2022, fell sharply in 2023 as pandemic-era health spending unwound, and partially rebounded in 2024.</w:t>
      </w:r>
    </w:p>
    <w:p w:rsidR="00B8365A" w:rsidRDefault="00000000">
      <w:pPr>
        <w:pStyle w:val="ListParagraph"/>
        <w:numPr>
          <w:ilvl w:val="0"/>
          <w:numId w:val="1"/>
        </w:numPr>
        <w:spacing w:after="80"/>
      </w:pPr>
      <w:r>
        <w:t>Confidence data tell a consistent macro story across sources. TPSO national consumer confidence averaged 48.4 in 2019, fell to 42.1 in 2020, recovered to 54.2 in 2023, and eased to 52.3 in 2024. FPO's regional RSI shows the same turning points and is highly correlated with TPSO confidence in the overlap sample.</w:t>
      </w:r>
    </w:p>
    <w:p w:rsidR="00B8365A" w:rsidRDefault="00000000">
      <w:pPr>
        <w:pStyle w:val="ListParagraph"/>
        <w:numPr>
          <w:ilvl w:val="0"/>
          <w:numId w:val="1"/>
        </w:numPr>
        <w:spacing w:after="80"/>
      </w:pPr>
      <w:r>
        <w:t>In monthly national change regressions, cash-transfer intensity is associated with a contemporaneous rise in TPSO consumer confidence of about 0.42 index points for a one-standard-deviation increase in the monthly cash proxy. In-kind support is more visible in the FPO sentiment measure, where the contemporaneous coefficient is about 1.56 points.</w:t>
      </w:r>
    </w:p>
    <w:p w:rsidR="00B8365A" w:rsidRDefault="00000000">
      <w:pPr>
        <w:pStyle w:val="ListParagraph"/>
        <w:numPr>
          <w:ilvl w:val="0"/>
          <w:numId w:val="1"/>
        </w:numPr>
        <w:spacing w:after="80"/>
      </w:pPr>
      <w:r>
        <w:t>In the occupation-level two-way fixed-effects panel, the story is more nuanced. High-transfer months did not eliminate the confidence gap between low-income-sensitive occupations and better-insulated groups. Cash-heavy months are associated with weaker relative confidence for exposed occupations, while in-kind support is mildly positive, especially for future expectations.</w:t>
      </w:r>
    </w:p>
    <w:p w:rsidR="00B8365A" w:rsidRDefault="00000000">
      <w:pPr>
        <w:pStyle w:val="ListParagraph"/>
        <w:numPr>
          <w:ilvl w:val="0"/>
          <w:numId w:val="1"/>
        </w:numPr>
        <w:spacing w:after="80"/>
      </w:pPr>
      <w:r>
        <w:t>Policy implication: cash transfers are useful for fast macro support, but durable confidence improvement for low-income households appears to rely more on predictable in-kind support, especially health, utilities, and essential living-cost relief.</w:t>
      </w:r>
    </w:p>
    <w:p w:rsidR="00B8365A" w:rsidRDefault="00000000">
      <w:pPr>
        <w:pStyle w:val="Heading1"/>
        <w:spacing w:before="180"/>
      </w:pPr>
      <w:r>
        <w:t>Data, Scope, and Interpretation</w:t>
      </w:r>
    </w:p>
    <w:p w:rsidR="00B8365A" w:rsidRDefault="00000000">
      <w:pPr>
        <w:pStyle w:val="ListParagraph"/>
        <w:numPr>
          <w:ilvl w:val="0"/>
          <w:numId w:val="1"/>
        </w:numPr>
        <w:spacing w:after="80"/>
      </w:pPr>
      <w:r>
        <w:t>Fiscal anchor: NESDC annual national income tables, especially Table 61 in NI2024-Income.xlsx (https://www.nesdc.go.th/wordpress/wp-content/uploads/2025/12/NI2024-Income.xlsx).</w:t>
      </w:r>
    </w:p>
    <w:p w:rsidR="00B8365A" w:rsidRDefault="00000000">
      <w:pPr>
        <w:pStyle w:val="ListParagraph"/>
        <w:numPr>
          <w:ilvl w:val="0"/>
          <w:numId w:val="1"/>
        </w:numPr>
        <w:spacing w:after="80"/>
      </w:pPr>
      <w:r>
        <w:t>Consumer confidence: TPSO consumer confidence API, monthly national, regional, and occupational series, 2019M1-2024M12.</w:t>
      </w:r>
    </w:p>
    <w:p w:rsidR="00B8365A" w:rsidRDefault="00000000">
      <w:pPr>
        <w:pStyle w:val="ListParagraph"/>
        <w:numPr>
          <w:ilvl w:val="0"/>
          <w:numId w:val="1"/>
        </w:numPr>
        <w:spacing w:after="80"/>
      </w:pPr>
      <w:r>
        <w:t>Regional macro confidence: FPO regional RSI data catalog, monthly series, 2018M1-2024M12.</w:t>
      </w:r>
    </w:p>
    <w:p w:rsidR="00B8365A" w:rsidRDefault="00000000">
      <w:pPr>
        <w:pStyle w:val="ListParagraph"/>
        <w:numPr>
          <w:ilvl w:val="0"/>
          <w:numId w:val="1"/>
        </w:numPr>
        <w:spacing w:after="80"/>
      </w:pPr>
      <w:r>
        <w:t>BOT: used for timing and macro interpretation of stimulus effects, not as the core household confidence series.</w:t>
      </w:r>
    </w:p>
    <w:p w:rsidR="00B8365A" w:rsidRDefault="00000000">
      <w:pPr>
        <w:pStyle w:val="ListParagraph"/>
        <w:numPr>
          <w:ilvl w:val="0"/>
          <w:numId w:val="1"/>
        </w:numPr>
        <w:spacing w:after="80"/>
      </w:pPr>
      <w:r>
        <w:lastRenderedPageBreak/>
        <w:t>TCC: used as a complementary chamber-confidence benchmark from UTCC/CEBF archive releases, not as a direct substitute for household CCI.</w:t>
      </w:r>
    </w:p>
    <w:p w:rsidR="00B8365A" w:rsidRDefault="00000000">
      <w:r>
        <w:t>The requested window is 2017-2024. The annual fiscal analysis fully covers 2017-2024. The monthly longitudinal econometrics begin later because the available TPSO monthly confidence panel starts in January 2019 and the available FPO monthly RSI starts in January 2018.</w:t>
      </w:r>
    </w:p>
    <w:p w:rsidR="00B8365A" w:rsidRDefault="00000000">
      <w:pPr>
        <w:pStyle w:val="Heading1"/>
        <w:spacing w:before="180"/>
      </w:pPr>
      <w:r>
        <w:t>Fiscal Trend: What Happened to Social Transfers?</w:t>
      </w:r>
    </w:p>
    <w:p w:rsidR="00B8365A" w:rsidRDefault="00000000">
      <w:r>
        <w:t>The official NESDC series separate total social transfers from the social-assistance components that are more directly relevant to low-income support. Both are worth tracking.</w:t>
      </w:r>
    </w:p>
    <w:tbl>
      <w:tblPr>
        <w:tblW w:w="5000" w:type="pct"/>
        <w:tblBorders>
          <w:top w:val="single" w:sz="1" w:space="0" w:color="9CA3AF"/>
          <w:left w:val="single" w:sz="1" w:space="0" w:color="D1D5DB"/>
          <w:bottom w:val="single" w:sz="1" w:space="0" w:color="9CA3AF"/>
          <w:right w:val="single" w:sz="1" w:space="0" w:color="D1D5DB"/>
          <w:insideH w:val="single" w:sz="1" w:space="0" w:color="E5E7EB"/>
          <w:insideV w:val="single" w:sz="1" w:space="0" w:color="E5E7EB"/>
        </w:tblBorders>
        <w:tblCellMar>
          <w:left w:w="10" w:type="dxa"/>
          <w:right w:w="10" w:type="dxa"/>
        </w:tblCellMar>
        <w:tblLook w:val="04A0" w:firstRow="1" w:lastRow="0" w:firstColumn="1" w:lastColumn="0" w:noHBand="0" w:noVBand="1"/>
      </w:tblPr>
      <w:tblGrid>
        <w:gridCol w:w="671"/>
        <w:gridCol w:w="2282"/>
        <w:gridCol w:w="710"/>
        <w:gridCol w:w="2368"/>
        <w:gridCol w:w="710"/>
        <w:gridCol w:w="3363"/>
      </w:tblGrid>
      <w:tr w:rsidR="00B8365A">
        <w:tblPrEx>
          <w:tblCellMar>
            <w:top w:w="0" w:type="dxa"/>
            <w:bottom w:w="0" w:type="dxa"/>
          </w:tblCellMar>
        </w:tblPrEx>
        <w:trPr>
          <w:tblHeader/>
        </w:trPr>
        <w:tc>
          <w:tcPr>
            <w:tcW w:w="0" w:type="auto"/>
            <w:tcMar>
              <w:top w:w="80" w:type="dxa"/>
              <w:left w:w="100" w:type="dxa"/>
              <w:bottom w:w="80" w:type="dxa"/>
              <w:right w:w="100" w:type="dxa"/>
            </w:tcMar>
          </w:tcPr>
          <w:p w:rsidR="00B8365A" w:rsidRDefault="00000000">
            <w:pPr>
              <w:spacing w:after="60"/>
            </w:pPr>
            <w:r>
              <w:rPr>
                <w:b/>
                <w:bCs/>
              </w:rPr>
              <w:t>Year</w:t>
            </w:r>
          </w:p>
        </w:tc>
        <w:tc>
          <w:tcPr>
            <w:tcW w:w="0" w:type="auto"/>
            <w:tcMar>
              <w:top w:w="80" w:type="dxa"/>
              <w:left w:w="100" w:type="dxa"/>
              <w:bottom w:w="80" w:type="dxa"/>
              <w:right w:w="100" w:type="dxa"/>
            </w:tcMar>
          </w:tcPr>
          <w:p w:rsidR="00B8365A" w:rsidRDefault="00000000">
            <w:pPr>
              <w:spacing w:after="60"/>
            </w:pPr>
            <w:r>
              <w:rPr>
                <w:b/>
                <w:bCs/>
              </w:rPr>
              <w:t>Cash social assistance (THB bn)</w:t>
            </w:r>
          </w:p>
        </w:tc>
        <w:tc>
          <w:tcPr>
            <w:tcW w:w="0" w:type="auto"/>
            <w:tcMar>
              <w:top w:w="80" w:type="dxa"/>
              <w:left w:w="100" w:type="dxa"/>
              <w:bottom w:w="80" w:type="dxa"/>
              <w:right w:w="100" w:type="dxa"/>
            </w:tcMar>
          </w:tcPr>
          <w:p w:rsidR="00B8365A" w:rsidRDefault="00000000">
            <w:pPr>
              <w:spacing w:after="60"/>
            </w:pPr>
            <w:r>
              <w:rPr>
                <w:b/>
                <w:bCs/>
              </w:rPr>
              <w:t>YoY %</w:t>
            </w:r>
          </w:p>
        </w:tc>
        <w:tc>
          <w:tcPr>
            <w:tcW w:w="0" w:type="auto"/>
            <w:tcMar>
              <w:top w:w="80" w:type="dxa"/>
              <w:left w:w="100" w:type="dxa"/>
              <w:bottom w:w="80" w:type="dxa"/>
              <w:right w:w="100" w:type="dxa"/>
            </w:tcMar>
          </w:tcPr>
          <w:p w:rsidR="00B8365A" w:rsidRDefault="00000000">
            <w:pPr>
              <w:spacing w:after="60"/>
            </w:pPr>
            <w:r>
              <w:rPr>
                <w:b/>
                <w:bCs/>
              </w:rPr>
              <w:t>In-kind social assistance (THB bn)</w:t>
            </w:r>
          </w:p>
        </w:tc>
        <w:tc>
          <w:tcPr>
            <w:tcW w:w="0" w:type="auto"/>
            <w:tcMar>
              <w:top w:w="80" w:type="dxa"/>
              <w:left w:w="100" w:type="dxa"/>
              <w:bottom w:w="80" w:type="dxa"/>
              <w:right w:w="100" w:type="dxa"/>
            </w:tcMar>
          </w:tcPr>
          <w:p w:rsidR="00B8365A" w:rsidRDefault="00000000">
            <w:pPr>
              <w:spacing w:after="60"/>
            </w:pPr>
            <w:r>
              <w:rPr>
                <w:b/>
                <w:bCs/>
              </w:rPr>
              <w:t>YoY %</w:t>
            </w:r>
          </w:p>
        </w:tc>
        <w:tc>
          <w:tcPr>
            <w:tcW w:w="0" w:type="auto"/>
            <w:tcMar>
              <w:top w:w="80" w:type="dxa"/>
              <w:left w:w="100" w:type="dxa"/>
              <w:bottom w:w="80" w:type="dxa"/>
              <w:right w:w="100" w:type="dxa"/>
            </w:tcMar>
          </w:tcPr>
          <w:p w:rsidR="00B8365A" w:rsidRDefault="00000000">
            <w:pPr>
              <w:spacing w:after="60"/>
            </w:pPr>
            <w:r>
              <w:rPr>
                <w:b/>
                <w:bCs/>
              </w:rPr>
              <w:t>Main fiscal context</w:t>
            </w:r>
          </w:p>
        </w:tc>
      </w:tr>
      <w:tr w:rsidR="00B8365A">
        <w:tblPrEx>
          <w:tblCellMar>
            <w:top w:w="0" w:type="dxa"/>
            <w:bottom w:w="0" w:type="dxa"/>
          </w:tblCellMar>
        </w:tblPrEx>
        <w:tc>
          <w:tcPr>
            <w:tcW w:w="0" w:type="auto"/>
            <w:tcMar>
              <w:top w:w="80" w:type="dxa"/>
              <w:left w:w="100" w:type="dxa"/>
              <w:bottom w:w="80" w:type="dxa"/>
              <w:right w:w="100" w:type="dxa"/>
            </w:tcMar>
          </w:tcPr>
          <w:p w:rsidR="00B8365A" w:rsidRDefault="00000000">
            <w:pPr>
              <w:spacing w:after="60"/>
            </w:pPr>
            <w:r>
              <w:t>2017</w:t>
            </w:r>
          </w:p>
        </w:tc>
        <w:tc>
          <w:tcPr>
            <w:tcW w:w="0" w:type="auto"/>
            <w:tcMar>
              <w:top w:w="80" w:type="dxa"/>
              <w:left w:w="100" w:type="dxa"/>
              <w:bottom w:w="80" w:type="dxa"/>
              <w:right w:w="100" w:type="dxa"/>
            </w:tcMar>
          </w:tcPr>
          <w:p w:rsidR="00B8365A" w:rsidRDefault="00000000">
            <w:pPr>
              <w:spacing w:after="60"/>
            </w:pPr>
            <w:r>
              <w:t>104.0</w:t>
            </w:r>
          </w:p>
        </w:tc>
        <w:tc>
          <w:tcPr>
            <w:tcW w:w="0" w:type="auto"/>
            <w:tcMar>
              <w:top w:w="80" w:type="dxa"/>
              <w:left w:w="100" w:type="dxa"/>
              <w:bottom w:w="80" w:type="dxa"/>
              <w:right w:w="100" w:type="dxa"/>
            </w:tcMar>
          </w:tcPr>
          <w:p w:rsidR="00B8365A" w:rsidRDefault="00000000">
            <w:pPr>
              <w:spacing w:after="60"/>
            </w:pPr>
            <w:r>
              <w:t>-</w:t>
            </w:r>
          </w:p>
        </w:tc>
        <w:tc>
          <w:tcPr>
            <w:tcW w:w="0" w:type="auto"/>
            <w:tcMar>
              <w:top w:w="80" w:type="dxa"/>
              <w:left w:w="100" w:type="dxa"/>
              <w:bottom w:w="80" w:type="dxa"/>
              <w:right w:w="100" w:type="dxa"/>
            </w:tcMar>
          </w:tcPr>
          <w:p w:rsidR="00B8365A" w:rsidRDefault="00000000">
            <w:pPr>
              <w:spacing w:after="60"/>
            </w:pPr>
            <w:r>
              <w:t>220.7</w:t>
            </w:r>
          </w:p>
        </w:tc>
        <w:tc>
          <w:tcPr>
            <w:tcW w:w="0" w:type="auto"/>
            <w:tcMar>
              <w:top w:w="80" w:type="dxa"/>
              <w:left w:w="100" w:type="dxa"/>
              <w:bottom w:w="80" w:type="dxa"/>
              <w:right w:w="100" w:type="dxa"/>
            </w:tcMar>
          </w:tcPr>
          <w:p w:rsidR="00B8365A" w:rsidRDefault="00000000">
            <w:pPr>
              <w:spacing w:after="60"/>
            </w:pPr>
            <w:r>
              <w:t>-</w:t>
            </w:r>
          </w:p>
        </w:tc>
        <w:tc>
          <w:tcPr>
            <w:tcW w:w="0" w:type="auto"/>
            <w:tcMar>
              <w:top w:w="80" w:type="dxa"/>
              <w:left w:w="100" w:type="dxa"/>
              <w:bottom w:w="80" w:type="dxa"/>
              <w:right w:w="100" w:type="dxa"/>
            </w:tcMar>
          </w:tcPr>
          <w:p w:rsidR="00B8365A" w:rsidRDefault="00000000">
            <w:pPr>
              <w:spacing w:after="60"/>
            </w:pPr>
            <w:r>
              <w:t>State Welfare Card rollout begins</w:t>
            </w:r>
          </w:p>
        </w:tc>
      </w:tr>
      <w:tr w:rsidR="00B8365A">
        <w:tblPrEx>
          <w:tblCellMar>
            <w:top w:w="0" w:type="dxa"/>
            <w:bottom w:w="0" w:type="dxa"/>
          </w:tblCellMar>
        </w:tblPrEx>
        <w:tc>
          <w:tcPr>
            <w:tcW w:w="0" w:type="auto"/>
            <w:tcMar>
              <w:top w:w="80" w:type="dxa"/>
              <w:left w:w="100" w:type="dxa"/>
              <w:bottom w:w="80" w:type="dxa"/>
              <w:right w:w="100" w:type="dxa"/>
            </w:tcMar>
          </w:tcPr>
          <w:p w:rsidR="00B8365A" w:rsidRDefault="00000000">
            <w:pPr>
              <w:spacing w:after="60"/>
            </w:pPr>
            <w:r>
              <w:t>2018</w:t>
            </w:r>
          </w:p>
        </w:tc>
        <w:tc>
          <w:tcPr>
            <w:tcW w:w="0" w:type="auto"/>
            <w:tcMar>
              <w:top w:w="80" w:type="dxa"/>
              <w:left w:w="100" w:type="dxa"/>
              <w:bottom w:w="80" w:type="dxa"/>
              <w:right w:w="100" w:type="dxa"/>
            </w:tcMar>
          </w:tcPr>
          <w:p w:rsidR="00B8365A" w:rsidRDefault="00000000">
            <w:pPr>
              <w:spacing w:after="60"/>
            </w:pPr>
            <w:r>
              <w:t>145.6</w:t>
            </w:r>
          </w:p>
        </w:tc>
        <w:tc>
          <w:tcPr>
            <w:tcW w:w="0" w:type="auto"/>
            <w:tcMar>
              <w:top w:w="80" w:type="dxa"/>
              <w:left w:w="100" w:type="dxa"/>
              <w:bottom w:w="80" w:type="dxa"/>
              <w:right w:w="100" w:type="dxa"/>
            </w:tcMar>
          </w:tcPr>
          <w:p w:rsidR="00B8365A" w:rsidRDefault="00000000">
            <w:pPr>
              <w:spacing w:after="60"/>
            </w:pPr>
            <w:r>
              <w:t>40.0</w:t>
            </w:r>
          </w:p>
        </w:tc>
        <w:tc>
          <w:tcPr>
            <w:tcW w:w="0" w:type="auto"/>
            <w:tcMar>
              <w:top w:w="80" w:type="dxa"/>
              <w:left w:w="100" w:type="dxa"/>
              <w:bottom w:w="80" w:type="dxa"/>
              <w:right w:w="100" w:type="dxa"/>
            </w:tcMar>
          </w:tcPr>
          <w:p w:rsidR="00B8365A" w:rsidRDefault="00000000">
            <w:pPr>
              <w:spacing w:after="60"/>
            </w:pPr>
            <w:r>
              <w:t>217.2</w:t>
            </w:r>
          </w:p>
        </w:tc>
        <w:tc>
          <w:tcPr>
            <w:tcW w:w="0" w:type="auto"/>
            <w:tcMar>
              <w:top w:w="80" w:type="dxa"/>
              <w:left w:w="100" w:type="dxa"/>
              <w:bottom w:w="80" w:type="dxa"/>
              <w:right w:w="100" w:type="dxa"/>
            </w:tcMar>
          </w:tcPr>
          <w:p w:rsidR="00B8365A" w:rsidRDefault="00000000">
            <w:pPr>
              <w:spacing w:after="60"/>
            </w:pPr>
            <w:r>
              <w:t>-1.6</w:t>
            </w:r>
          </w:p>
        </w:tc>
        <w:tc>
          <w:tcPr>
            <w:tcW w:w="0" w:type="auto"/>
            <w:tcMar>
              <w:top w:w="80" w:type="dxa"/>
              <w:left w:w="100" w:type="dxa"/>
              <w:bottom w:w="80" w:type="dxa"/>
              <w:right w:w="100" w:type="dxa"/>
            </w:tcMar>
          </w:tcPr>
          <w:p w:rsidR="00B8365A" w:rsidRDefault="00000000">
            <w:pPr>
              <w:spacing w:after="60"/>
            </w:pPr>
            <w:r>
              <w:t>Welfare-card phase 1-2 expansion</w:t>
            </w:r>
          </w:p>
        </w:tc>
      </w:tr>
      <w:tr w:rsidR="00B8365A">
        <w:tblPrEx>
          <w:tblCellMar>
            <w:top w:w="0" w:type="dxa"/>
            <w:bottom w:w="0" w:type="dxa"/>
          </w:tblCellMar>
        </w:tblPrEx>
        <w:tc>
          <w:tcPr>
            <w:tcW w:w="0" w:type="auto"/>
            <w:tcMar>
              <w:top w:w="80" w:type="dxa"/>
              <w:left w:w="100" w:type="dxa"/>
              <w:bottom w:w="80" w:type="dxa"/>
              <w:right w:w="100" w:type="dxa"/>
            </w:tcMar>
          </w:tcPr>
          <w:p w:rsidR="00B8365A" w:rsidRDefault="00000000">
            <w:pPr>
              <w:spacing w:after="60"/>
            </w:pPr>
            <w:r>
              <w:t>2019</w:t>
            </w:r>
          </w:p>
        </w:tc>
        <w:tc>
          <w:tcPr>
            <w:tcW w:w="0" w:type="auto"/>
            <w:tcMar>
              <w:top w:w="80" w:type="dxa"/>
              <w:left w:w="100" w:type="dxa"/>
              <w:bottom w:w="80" w:type="dxa"/>
              <w:right w:w="100" w:type="dxa"/>
            </w:tcMar>
          </w:tcPr>
          <w:p w:rsidR="00B8365A" w:rsidRDefault="00000000">
            <w:pPr>
              <w:spacing w:after="60"/>
            </w:pPr>
            <w:r>
              <w:t>161.3</w:t>
            </w:r>
          </w:p>
        </w:tc>
        <w:tc>
          <w:tcPr>
            <w:tcW w:w="0" w:type="auto"/>
            <w:tcMar>
              <w:top w:w="80" w:type="dxa"/>
              <w:left w:w="100" w:type="dxa"/>
              <w:bottom w:w="80" w:type="dxa"/>
              <w:right w:w="100" w:type="dxa"/>
            </w:tcMar>
          </w:tcPr>
          <w:p w:rsidR="00B8365A" w:rsidRDefault="00000000">
            <w:pPr>
              <w:spacing w:after="60"/>
            </w:pPr>
            <w:r>
              <w:t>10.7</w:t>
            </w:r>
          </w:p>
        </w:tc>
        <w:tc>
          <w:tcPr>
            <w:tcW w:w="0" w:type="auto"/>
            <w:tcMar>
              <w:top w:w="80" w:type="dxa"/>
              <w:left w:w="100" w:type="dxa"/>
              <w:bottom w:w="80" w:type="dxa"/>
              <w:right w:w="100" w:type="dxa"/>
            </w:tcMar>
          </w:tcPr>
          <w:p w:rsidR="00B8365A" w:rsidRDefault="00000000">
            <w:pPr>
              <w:spacing w:after="60"/>
            </w:pPr>
            <w:r>
              <w:t>222.0</w:t>
            </w:r>
          </w:p>
        </w:tc>
        <w:tc>
          <w:tcPr>
            <w:tcW w:w="0" w:type="auto"/>
            <w:tcMar>
              <w:top w:w="80" w:type="dxa"/>
              <w:left w:w="100" w:type="dxa"/>
              <w:bottom w:w="80" w:type="dxa"/>
              <w:right w:w="100" w:type="dxa"/>
            </w:tcMar>
          </w:tcPr>
          <w:p w:rsidR="00B8365A" w:rsidRDefault="00000000">
            <w:pPr>
              <w:spacing w:after="60"/>
            </w:pPr>
            <w:r>
              <w:t>2.2</w:t>
            </w:r>
          </w:p>
        </w:tc>
        <w:tc>
          <w:tcPr>
            <w:tcW w:w="0" w:type="auto"/>
            <w:tcMar>
              <w:top w:w="80" w:type="dxa"/>
              <w:left w:w="100" w:type="dxa"/>
              <w:bottom w:w="80" w:type="dxa"/>
              <w:right w:w="100" w:type="dxa"/>
            </w:tcMar>
          </w:tcPr>
          <w:p w:rsidR="00B8365A" w:rsidRDefault="00000000">
            <w:pPr>
              <w:spacing w:after="60"/>
            </w:pPr>
            <w:r>
              <w:t>Welfare-card deepening, phase-2 quality-of-life measures</w:t>
            </w:r>
          </w:p>
        </w:tc>
      </w:tr>
      <w:tr w:rsidR="00B8365A">
        <w:tblPrEx>
          <w:tblCellMar>
            <w:top w:w="0" w:type="dxa"/>
            <w:bottom w:w="0" w:type="dxa"/>
          </w:tblCellMar>
        </w:tblPrEx>
        <w:tc>
          <w:tcPr>
            <w:tcW w:w="0" w:type="auto"/>
            <w:tcMar>
              <w:top w:w="80" w:type="dxa"/>
              <w:left w:w="100" w:type="dxa"/>
              <w:bottom w:w="80" w:type="dxa"/>
              <w:right w:w="100" w:type="dxa"/>
            </w:tcMar>
          </w:tcPr>
          <w:p w:rsidR="00B8365A" w:rsidRDefault="00000000">
            <w:pPr>
              <w:spacing w:after="60"/>
            </w:pPr>
            <w:r>
              <w:t>2020</w:t>
            </w:r>
          </w:p>
        </w:tc>
        <w:tc>
          <w:tcPr>
            <w:tcW w:w="0" w:type="auto"/>
            <w:tcMar>
              <w:top w:w="80" w:type="dxa"/>
              <w:left w:w="100" w:type="dxa"/>
              <w:bottom w:w="80" w:type="dxa"/>
              <w:right w:w="100" w:type="dxa"/>
            </w:tcMar>
          </w:tcPr>
          <w:p w:rsidR="00B8365A" w:rsidRDefault="00000000">
            <w:pPr>
              <w:spacing w:after="60"/>
            </w:pPr>
            <w:r>
              <w:t>176.5</w:t>
            </w:r>
          </w:p>
        </w:tc>
        <w:tc>
          <w:tcPr>
            <w:tcW w:w="0" w:type="auto"/>
            <w:tcMar>
              <w:top w:w="80" w:type="dxa"/>
              <w:left w:w="100" w:type="dxa"/>
              <w:bottom w:w="80" w:type="dxa"/>
              <w:right w:w="100" w:type="dxa"/>
            </w:tcMar>
          </w:tcPr>
          <w:p w:rsidR="00B8365A" w:rsidRDefault="00000000">
            <w:pPr>
              <w:spacing w:after="60"/>
            </w:pPr>
            <w:r>
              <w:t>9.4</w:t>
            </w:r>
          </w:p>
        </w:tc>
        <w:tc>
          <w:tcPr>
            <w:tcW w:w="0" w:type="auto"/>
            <w:tcMar>
              <w:top w:w="80" w:type="dxa"/>
              <w:left w:w="100" w:type="dxa"/>
              <w:bottom w:w="80" w:type="dxa"/>
              <w:right w:w="100" w:type="dxa"/>
            </w:tcMar>
          </w:tcPr>
          <w:p w:rsidR="00B8365A" w:rsidRDefault="00000000">
            <w:pPr>
              <w:spacing w:after="60"/>
            </w:pPr>
            <w:r>
              <w:t>228.8</w:t>
            </w:r>
          </w:p>
        </w:tc>
        <w:tc>
          <w:tcPr>
            <w:tcW w:w="0" w:type="auto"/>
            <w:tcMar>
              <w:top w:w="80" w:type="dxa"/>
              <w:left w:w="100" w:type="dxa"/>
              <w:bottom w:w="80" w:type="dxa"/>
              <w:right w:w="100" w:type="dxa"/>
            </w:tcMar>
          </w:tcPr>
          <w:p w:rsidR="00B8365A" w:rsidRDefault="00000000">
            <w:pPr>
              <w:spacing w:after="60"/>
            </w:pPr>
            <w:r>
              <w:t>3.0</w:t>
            </w:r>
          </w:p>
        </w:tc>
        <w:tc>
          <w:tcPr>
            <w:tcW w:w="0" w:type="auto"/>
            <w:tcMar>
              <w:top w:w="80" w:type="dxa"/>
              <w:left w:w="100" w:type="dxa"/>
              <w:bottom w:w="80" w:type="dxa"/>
              <w:right w:w="100" w:type="dxa"/>
            </w:tcMar>
          </w:tcPr>
          <w:p w:rsidR="00B8365A" w:rsidRDefault="00000000">
            <w:pPr>
              <w:spacing w:after="60"/>
            </w:pPr>
            <w:r>
              <w:t>COVID emergency relief, cash top-ups, utility relief</w:t>
            </w:r>
          </w:p>
        </w:tc>
      </w:tr>
      <w:tr w:rsidR="00B8365A">
        <w:tblPrEx>
          <w:tblCellMar>
            <w:top w:w="0" w:type="dxa"/>
            <w:bottom w:w="0" w:type="dxa"/>
          </w:tblCellMar>
        </w:tblPrEx>
        <w:tc>
          <w:tcPr>
            <w:tcW w:w="0" w:type="auto"/>
            <w:tcMar>
              <w:top w:w="80" w:type="dxa"/>
              <w:left w:w="100" w:type="dxa"/>
              <w:bottom w:w="80" w:type="dxa"/>
              <w:right w:w="100" w:type="dxa"/>
            </w:tcMar>
          </w:tcPr>
          <w:p w:rsidR="00B8365A" w:rsidRDefault="00000000">
            <w:pPr>
              <w:spacing w:after="60"/>
            </w:pPr>
            <w:r>
              <w:t>2021</w:t>
            </w:r>
          </w:p>
        </w:tc>
        <w:tc>
          <w:tcPr>
            <w:tcW w:w="0" w:type="auto"/>
            <w:tcMar>
              <w:top w:w="80" w:type="dxa"/>
              <w:left w:w="100" w:type="dxa"/>
              <w:bottom w:w="80" w:type="dxa"/>
              <w:right w:w="100" w:type="dxa"/>
            </w:tcMar>
          </w:tcPr>
          <w:p w:rsidR="00B8365A" w:rsidRDefault="00000000">
            <w:pPr>
              <w:spacing w:after="60"/>
            </w:pPr>
            <w:r>
              <w:t>187.1</w:t>
            </w:r>
          </w:p>
        </w:tc>
        <w:tc>
          <w:tcPr>
            <w:tcW w:w="0" w:type="auto"/>
            <w:tcMar>
              <w:top w:w="80" w:type="dxa"/>
              <w:left w:w="100" w:type="dxa"/>
              <w:bottom w:w="80" w:type="dxa"/>
              <w:right w:w="100" w:type="dxa"/>
            </w:tcMar>
          </w:tcPr>
          <w:p w:rsidR="00B8365A" w:rsidRDefault="00000000">
            <w:pPr>
              <w:spacing w:after="60"/>
            </w:pPr>
            <w:r>
              <w:t>6.0</w:t>
            </w:r>
          </w:p>
        </w:tc>
        <w:tc>
          <w:tcPr>
            <w:tcW w:w="0" w:type="auto"/>
            <w:tcMar>
              <w:top w:w="80" w:type="dxa"/>
              <w:left w:w="100" w:type="dxa"/>
              <w:bottom w:w="80" w:type="dxa"/>
              <w:right w:w="100" w:type="dxa"/>
            </w:tcMar>
          </w:tcPr>
          <w:p w:rsidR="00B8365A" w:rsidRDefault="00000000">
            <w:pPr>
              <w:spacing w:after="60"/>
            </w:pPr>
            <w:r>
              <w:t>310.0</w:t>
            </w:r>
          </w:p>
        </w:tc>
        <w:tc>
          <w:tcPr>
            <w:tcW w:w="0" w:type="auto"/>
            <w:tcMar>
              <w:top w:w="80" w:type="dxa"/>
              <w:left w:w="100" w:type="dxa"/>
              <w:bottom w:w="80" w:type="dxa"/>
              <w:right w:w="100" w:type="dxa"/>
            </w:tcMar>
          </w:tcPr>
          <w:p w:rsidR="00B8365A" w:rsidRDefault="00000000">
            <w:pPr>
              <w:spacing w:after="60"/>
            </w:pPr>
            <w:r>
              <w:t>35.5</w:t>
            </w:r>
          </w:p>
        </w:tc>
        <w:tc>
          <w:tcPr>
            <w:tcW w:w="0" w:type="auto"/>
            <w:tcMar>
              <w:top w:w="80" w:type="dxa"/>
              <w:left w:w="100" w:type="dxa"/>
              <w:bottom w:w="80" w:type="dxa"/>
              <w:right w:w="100" w:type="dxa"/>
            </w:tcMar>
          </w:tcPr>
          <w:p w:rsidR="00B8365A" w:rsidRDefault="00000000">
            <w:pPr>
              <w:spacing w:after="60"/>
            </w:pPr>
            <w:r>
              <w:t>Rao Chana, M33, vaccines, reopening support</w:t>
            </w:r>
          </w:p>
        </w:tc>
      </w:tr>
      <w:tr w:rsidR="00B8365A">
        <w:tblPrEx>
          <w:tblCellMar>
            <w:top w:w="0" w:type="dxa"/>
            <w:bottom w:w="0" w:type="dxa"/>
          </w:tblCellMar>
        </w:tblPrEx>
        <w:tc>
          <w:tcPr>
            <w:tcW w:w="0" w:type="auto"/>
            <w:tcMar>
              <w:top w:w="80" w:type="dxa"/>
              <w:left w:w="100" w:type="dxa"/>
              <w:bottom w:w="80" w:type="dxa"/>
              <w:right w:w="100" w:type="dxa"/>
            </w:tcMar>
          </w:tcPr>
          <w:p w:rsidR="00B8365A" w:rsidRDefault="00000000">
            <w:pPr>
              <w:spacing w:after="60"/>
            </w:pPr>
            <w:r>
              <w:t>2022</w:t>
            </w:r>
          </w:p>
        </w:tc>
        <w:tc>
          <w:tcPr>
            <w:tcW w:w="0" w:type="auto"/>
            <w:tcMar>
              <w:top w:w="80" w:type="dxa"/>
              <w:left w:w="100" w:type="dxa"/>
              <w:bottom w:w="80" w:type="dxa"/>
              <w:right w:w="100" w:type="dxa"/>
            </w:tcMar>
          </w:tcPr>
          <w:p w:rsidR="00B8365A" w:rsidRDefault="00000000">
            <w:pPr>
              <w:spacing w:after="60"/>
            </w:pPr>
            <w:r>
              <w:t>188.3</w:t>
            </w:r>
          </w:p>
        </w:tc>
        <w:tc>
          <w:tcPr>
            <w:tcW w:w="0" w:type="auto"/>
            <w:tcMar>
              <w:top w:w="80" w:type="dxa"/>
              <w:left w:w="100" w:type="dxa"/>
              <w:bottom w:w="80" w:type="dxa"/>
              <w:right w:w="100" w:type="dxa"/>
            </w:tcMar>
          </w:tcPr>
          <w:p w:rsidR="00B8365A" w:rsidRDefault="00000000">
            <w:pPr>
              <w:spacing w:after="60"/>
            </w:pPr>
            <w:r>
              <w:t>0.6</w:t>
            </w:r>
          </w:p>
        </w:tc>
        <w:tc>
          <w:tcPr>
            <w:tcW w:w="0" w:type="auto"/>
            <w:tcMar>
              <w:top w:w="80" w:type="dxa"/>
              <w:left w:w="100" w:type="dxa"/>
              <w:bottom w:w="80" w:type="dxa"/>
              <w:right w:w="100" w:type="dxa"/>
            </w:tcMar>
          </w:tcPr>
          <w:p w:rsidR="00B8365A" w:rsidRDefault="00000000">
            <w:pPr>
              <w:spacing w:after="60"/>
            </w:pPr>
            <w:r>
              <w:t>344.9</w:t>
            </w:r>
          </w:p>
        </w:tc>
        <w:tc>
          <w:tcPr>
            <w:tcW w:w="0" w:type="auto"/>
            <w:tcMar>
              <w:top w:w="80" w:type="dxa"/>
              <w:left w:w="100" w:type="dxa"/>
              <w:bottom w:w="80" w:type="dxa"/>
              <w:right w:w="100" w:type="dxa"/>
            </w:tcMar>
          </w:tcPr>
          <w:p w:rsidR="00B8365A" w:rsidRDefault="00000000">
            <w:pPr>
              <w:spacing w:after="60"/>
            </w:pPr>
            <w:r>
              <w:t>11.2</w:t>
            </w:r>
          </w:p>
        </w:tc>
        <w:tc>
          <w:tcPr>
            <w:tcW w:w="0" w:type="auto"/>
            <w:tcMar>
              <w:top w:w="80" w:type="dxa"/>
              <w:left w:w="100" w:type="dxa"/>
              <w:bottom w:w="80" w:type="dxa"/>
              <w:right w:w="100" w:type="dxa"/>
            </w:tcMar>
          </w:tcPr>
          <w:p w:rsidR="00B8365A" w:rsidRDefault="00000000">
            <w:pPr>
              <w:spacing w:after="60"/>
            </w:pPr>
            <w:r>
              <w:t>Health spending remains high, welfare re-registration</w:t>
            </w:r>
          </w:p>
        </w:tc>
      </w:tr>
      <w:tr w:rsidR="00B8365A">
        <w:tblPrEx>
          <w:tblCellMar>
            <w:top w:w="0" w:type="dxa"/>
            <w:bottom w:w="0" w:type="dxa"/>
          </w:tblCellMar>
        </w:tblPrEx>
        <w:tc>
          <w:tcPr>
            <w:tcW w:w="0" w:type="auto"/>
            <w:tcMar>
              <w:top w:w="80" w:type="dxa"/>
              <w:left w:w="100" w:type="dxa"/>
              <w:bottom w:w="80" w:type="dxa"/>
              <w:right w:w="100" w:type="dxa"/>
            </w:tcMar>
          </w:tcPr>
          <w:p w:rsidR="00B8365A" w:rsidRDefault="00000000">
            <w:pPr>
              <w:spacing w:after="60"/>
            </w:pPr>
            <w:r>
              <w:t>2023</w:t>
            </w:r>
          </w:p>
        </w:tc>
        <w:tc>
          <w:tcPr>
            <w:tcW w:w="0" w:type="auto"/>
            <w:tcMar>
              <w:top w:w="80" w:type="dxa"/>
              <w:left w:w="100" w:type="dxa"/>
              <w:bottom w:w="80" w:type="dxa"/>
              <w:right w:w="100" w:type="dxa"/>
            </w:tcMar>
          </w:tcPr>
          <w:p w:rsidR="00B8365A" w:rsidRDefault="00000000">
            <w:pPr>
              <w:spacing w:after="60"/>
            </w:pPr>
            <w:r>
              <w:t>195.2</w:t>
            </w:r>
          </w:p>
        </w:tc>
        <w:tc>
          <w:tcPr>
            <w:tcW w:w="0" w:type="auto"/>
            <w:tcMar>
              <w:top w:w="80" w:type="dxa"/>
              <w:left w:w="100" w:type="dxa"/>
              <w:bottom w:w="80" w:type="dxa"/>
              <w:right w:w="100" w:type="dxa"/>
            </w:tcMar>
          </w:tcPr>
          <w:p w:rsidR="00B8365A" w:rsidRDefault="00000000">
            <w:pPr>
              <w:spacing w:after="60"/>
            </w:pPr>
            <w:r>
              <w:t>3.7</w:t>
            </w:r>
          </w:p>
        </w:tc>
        <w:tc>
          <w:tcPr>
            <w:tcW w:w="0" w:type="auto"/>
            <w:tcMar>
              <w:top w:w="80" w:type="dxa"/>
              <w:left w:w="100" w:type="dxa"/>
              <w:bottom w:w="80" w:type="dxa"/>
              <w:right w:w="100" w:type="dxa"/>
            </w:tcMar>
          </w:tcPr>
          <w:p w:rsidR="00B8365A" w:rsidRDefault="00000000">
            <w:pPr>
              <w:spacing w:after="60"/>
            </w:pPr>
            <w:r>
              <w:t>243.0</w:t>
            </w:r>
          </w:p>
        </w:tc>
        <w:tc>
          <w:tcPr>
            <w:tcW w:w="0" w:type="auto"/>
            <w:tcMar>
              <w:top w:w="80" w:type="dxa"/>
              <w:left w:w="100" w:type="dxa"/>
              <w:bottom w:w="80" w:type="dxa"/>
              <w:right w:w="100" w:type="dxa"/>
            </w:tcMar>
          </w:tcPr>
          <w:p w:rsidR="00B8365A" w:rsidRDefault="00000000">
            <w:pPr>
              <w:spacing w:after="60"/>
            </w:pPr>
            <w:r>
              <w:t>-29.6</w:t>
            </w:r>
          </w:p>
        </w:tc>
        <w:tc>
          <w:tcPr>
            <w:tcW w:w="0" w:type="auto"/>
            <w:tcMar>
              <w:top w:w="80" w:type="dxa"/>
              <w:left w:w="100" w:type="dxa"/>
              <w:bottom w:w="80" w:type="dxa"/>
              <w:right w:w="100" w:type="dxa"/>
            </w:tcMar>
          </w:tcPr>
          <w:p w:rsidR="00B8365A" w:rsidRDefault="00000000">
            <w:pPr>
              <w:spacing w:after="60"/>
            </w:pPr>
            <w:r>
              <w:t>COVID health spending unwinds, new welfare-card cycle</w:t>
            </w:r>
          </w:p>
        </w:tc>
      </w:tr>
      <w:tr w:rsidR="00B8365A">
        <w:tblPrEx>
          <w:tblCellMar>
            <w:top w:w="0" w:type="dxa"/>
            <w:bottom w:w="0" w:type="dxa"/>
          </w:tblCellMar>
        </w:tblPrEx>
        <w:tc>
          <w:tcPr>
            <w:tcW w:w="0" w:type="auto"/>
            <w:tcMar>
              <w:top w:w="80" w:type="dxa"/>
              <w:left w:w="100" w:type="dxa"/>
              <w:bottom w:w="80" w:type="dxa"/>
              <w:right w:w="100" w:type="dxa"/>
            </w:tcMar>
          </w:tcPr>
          <w:p w:rsidR="00B8365A" w:rsidRDefault="00000000">
            <w:pPr>
              <w:spacing w:after="60"/>
            </w:pPr>
            <w:r>
              <w:t>2024</w:t>
            </w:r>
          </w:p>
        </w:tc>
        <w:tc>
          <w:tcPr>
            <w:tcW w:w="0" w:type="auto"/>
            <w:tcMar>
              <w:top w:w="80" w:type="dxa"/>
              <w:left w:w="100" w:type="dxa"/>
              <w:bottom w:w="80" w:type="dxa"/>
              <w:right w:w="100" w:type="dxa"/>
            </w:tcMar>
          </w:tcPr>
          <w:p w:rsidR="00B8365A" w:rsidRDefault="00000000">
            <w:pPr>
              <w:spacing w:after="60"/>
            </w:pPr>
            <w:r>
              <w:t>200.6</w:t>
            </w:r>
          </w:p>
        </w:tc>
        <w:tc>
          <w:tcPr>
            <w:tcW w:w="0" w:type="auto"/>
            <w:tcMar>
              <w:top w:w="80" w:type="dxa"/>
              <w:left w:w="100" w:type="dxa"/>
              <w:bottom w:w="80" w:type="dxa"/>
              <w:right w:w="100" w:type="dxa"/>
            </w:tcMar>
          </w:tcPr>
          <w:p w:rsidR="00B8365A" w:rsidRDefault="00000000">
            <w:pPr>
              <w:spacing w:after="60"/>
            </w:pPr>
            <w:r>
              <w:t>2.7</w:t>
            </w:r>
          </w:p>
        </w:tc>
        <w:tc>
          <w:tcPr>
            <w:tcW w:w="0" w:type="auto"/>
            <w:tcMar>
              <w:top w:w="80" w:type="dxa"/>
              <w:left w:w="100" w:type="dxa"/>
              <w:bottom w:w="80" w:type="dxa"/>
              <w:right w:w="100" w:type="dxa"/>
            </w:tcMar>
          </w:tcPr>
          <w:p w:rsidR="00B8365A" w:rsidRDefault="00000000">
            <w:pPr>
              <w:spacing w:after="60"/>
            </w:pPr>
            <w:r>
              <w:t>260.8</w:t>
            </w:r>
          </w:p>
        </w:tc>
        <w:tc>
          <w:tcPr>
            <w:tcW w:w="0" w:type="auto"/>
            <w:tcMar>
              <w:top w:w="80" w:type="dxa"/>
              <w:left w:w="100" w:type="dxa"/>
              <w:bottom w:w="80" w:type="dxa"/>
              <w:right w:w="100" w:type="dxa"/>
            </w:tcMar>
          </w:tcPr>
          <w:p w:rsidR="00B8365A" w:rsidRDefault="00000000">
            <w:pPr>
              <w:spacing w:after="60"/>
            </w:pPr>
            <w:r>
              <w:t>7.3</w:t>
            </w:r>
          </w:p>
        </w:tc>
        <w:tc>
          <w:tcPr>
            <w:tcW w:w="0" w:type="auto"/>
            <w:tcMar>
              <w:top w:w="80" w:type="dxa"/>
              <w:left w:w="100" w:type="dxa"/>
              <w:bottom w:w="80" w:type="dxa"/>
              <w:right w:w="100" w:type="dxa"/>
            </w:tcMar>
          </w:tcPr>
          <w:p w:rsidR="00B8365A" w:rsidRDefault="00000000">
            <w:pPr>
              <w:spacing w:after="60"/>
            </w:pPr>
            <w:r>
              <w:t>10,000-baht vulnerable-group handout</w:t>
            </w:r>
          </w:p>
        </w:tc>
      </w:tr>
    </w:tbl>
    <w:p w:rsidR="00B8365A" w:rsidRDefault="00000000">
      <w:r>
        <w:t>Across the full 2017-2024 period:</w:t>
      </w:r>
    </w:p>
    <w:p w:rsidR="00B8365A" w:rsidRDefault="00000000">
      <w:pPr>
        <w:pStyle w:val="ListParagraph"/>
        <w:numPr>
          <w:ilvl w:val="0"/>
          <w:numId w:val="1"/>
        </w:numPr>
        <w:spacing w:after="80"/>
      </w:pPr>
      <w:r>
        <w:t>Total cash-like social benefits rose 70.5 percent.</w:t>
      </w:r>
    </w:p>
    <w:p w:rsidR="00B8365A" w:rsidRDefault="00000000">
      <w:pPr>
        <w:pStyle w:val="ListParagraph"/>
        <w:numPr>
          <w:ilvl w:val="0"/>
          <w:numId w:val="1"/>
        </w:numPr>
        <w:spacing w:after="80"/>
      </w:pPr>
      <w:r>
        <w:t>Cash social assistance rose 92.8 percent.</w:t>
      </w:r>
    </w:p>
    <w:p w:rsidR="00B8365A" w:rsidRDefault="00000000">
      <w:pPr>
        <w:pStyle w:val="ListParagraph"/>
        <w:numPr>
          <w:ilvl w:val="0"/>
          <w:numId w:val="1"/>
        </w:numPr>
        <w:spacing w:after="80"/>
      </w:pPr>
      <w:r>
        <w:t>Total social transfers in kind rose 29.8 percent.</w:t>
      </w:r>
    </w:p>
    <w:p w:rsidR="00B8365A" w:rsidRDefault="00000000">
      <w:pPr>
        <w:pStyle w:val="ListParagraph"/>
        <w:numPr>
          <w:ilvl w:val="0"/>
          <w:numId w:val="1"/>
        </w:numPr>
        <w:spacing w:after="80"/>
      </w:pPr>
      <w:r>
        <w:t>In-kind social assistance rose 18.2 percent, but with a pronounced pandemic hump.</w:t>
      </w:r>
    </w:p>
    <w:p w:rsidR="00B8365A" w:rsidRDefault="00000000">
      <w:r>
        <w:t>The most important structural point is that cash support became larger and more permanent over time, while in-kind support became more cyclical and crisis-sensitive because of health expenditure.</w:t>
      </w:r>
    </w:p>
    <w:p w:rsidR="00B8365A" w:rsidRDefault="00000000">
      <w:pPr>
        <w:spacing w:before="120" w:after="60"/>
        <w:jc w:val="center"/>
      </w:pPr>
      <w:r>
        <w:rPr>
          <w:noProof/>
        </w:rPr>
        <w:lastRenderedPageBreak/>
        <w:drawing>
          <wp:inline distT="0" distB="0" distL="0" distR="0">
            <wp:extent cx="4953000" cy="272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2724150"/>
                    </a:xfrm>
                    <a:prstGeom prst="rect">
                      <a:avLst/>
                    </a:prstGeom>
                  </pic:spPr>
                </pic:pic>
              </a:graphicData>
            </a:graphic>
          </wp:inline>
        </w:drawing>
      </w:r>
    </w:p>
    <w:p w:rsidR="00B8365A" w:rsidRDefault="00000000">
      <w:pPr>
        <w:spacing w:after="180"/>
        <w:jc w:val="center"/>
      </w:pPr>
      <w:r>
        <w:rPr>
          <w:i/>
          <w:iCs/>
        </w:rPr>
        <w:t>Annual Social Transfers</w:t>
      </w:r>
    </w:p>
    <w:p w:rsidR="00B8365A" w:rsidRDefault="00000000">
      <w:pPr>
        <w:pStyle w:val="Heading1"/>
        <w:spacing w:before="180"/>
      </w:pPr>
      <w:r>
        <w:t>Confidence Trend: What Happened to Sentiment?</w:t>
      </w:r>
    </w:p>
    <w:p w:rsidR="00B8365A" w:rsidRDefault="00000000">
      <w:r>
        <w:t>Confidence fell sharply in the pandemic and then recovered in 2022-2024, but the recovery was incomplete and uneven.</w:t>
      </w:r>
    </w:p>
    <w:p w:rsidR="00B8365A" w:rsidRDefault="00000000">
      <w:pPr>
        <w:pStyle w:val="ListParagraph"/>
        <w:numPr>
          <w:ilvl w:val="0"/>
          <w:numId w:val="1"/>
        </w:numPr>
        <w:spacing w:after="80"/>
      </w:pPr>
      <w:r>
        <w:t>TPSO national CCI annual averages:</w:t>
      </w:r>
    </w:p>
    <w:p w:rsidR="00B8365A" w:rsidRDefault="00000000">
      <w:pPr>
        <w:pStyle w:val="ListParagraph"/>
        <w:numPr>
          <w:ilvl w:val="1"/>
          <w:numId w:val="1"/>
        </w:numPr>
        <w:spacing w:after="80"/>
      </w:pPr>
      <w:r>
        <w:t>2019: 48.4</w:t>
      </w:r>
    </w:p>
    <w:p w:rsidR="00B8365A" w:rsidRDefault="00000000">
      <w:pPr>
        <w:pStyle w:val="ListParagraph"/>
        <w:numPr>
          <w:ilvl w:val="1"/>
          <w:numId w:val="1"/>
        </w:numPr>
        <w:spacing w:after="80"/>
      </w:pPr>
      <w:r>
        <w:t>2020: 42.1</w:t>
      </w:r>
    </w:p>
    <w:p w:rsidR="00B8365A" w:rsidRDefault="00000000">
      <w:pPr>
        <w:pStyle w:val="ListParagraph"/>
        <w:numPr>
          <w:ilvl w:val="1"/>
          <w:numId w:val="1"/>
        </w:numPr>
        <w:spacing w:after="80"/>
      </w:pPr>
      <w:r>
        <w:t>2021: 43.0</w:t>
      </w:r>
    </w:p>
    <w:p w:rsidR="00B8365A" w:rsidRDefault="00000000">
      <w:pPr>
        <w:pStyle w:val="ListParagraph"/>
        <w:numPr>
          <w:ilvl w:val="1"/>
          <w:numId w:val="1"/>
        </w:numPr>
        <w:spacing w:after="80"/>
      </w:pPr>
      <w:r>
        <w:t>2022: 46.2</w:t>
      </w:r>
    </w:p>
    <w:p w:rsidR="00B8365A" w:rsidRDefault="00000000">
      <w:pPr>
        <w:pStyle w:val="ListParagraph"/>
        <w:numPr>
          <w:ilvl w:val="1"/>
          <w:numId w:val="1"/>
        </w:numPr>
        <w:spacing w:after="80"/>
      </w:pPr>
      <w:r>
        <w:t>2023: 54.2</w:t>
      </w:r>
    </w:p>
    <w:p w:rsidR="00B8365A" w:rsidRDefault="00000000">
      <w:pPr>
        <w:pStyle w:val="ListParagraph"/>
        <w:numPr>
          <w:ilvl w:val="1"/>
          <w:numId w:val="1"/>
        </w:numPr>
        <w:spacing w:after="80"/>
      </w:pPr>
      <w:r>
        <w:t>2024: 52.3</w:t>
      </w:r>
    </w:p>
    <w:p w:rsidR="00B8365A" w:rsidRDefault="00000000">
      <w:pPr>
        <w:pStyle w:val="ListParagraph"/>
        <w:numPr>
          <w:ilvl w:val="0"/>
          <w:numId w:val="1"/>
        </w:numPr>
        <w:spacing w:after="80"/>
      </w:pPr>
      <w:r>
        <w:t>FPO mean regional RSI annual averages:</w:t>
      </w:r>
    </w:p>
    <w:p w:rsidR="00B8365A" w:rsidRDefault="00000000">
      <w:pPr>
        <w:pStyle w:val="ListParagraph"/>
        <w:numPr>
          <w:ilvl w:val="1"/>
          <w:numId w:val="1"/>
        </w:numPr>
        <w:spacing w:after="80"/>
      </w:pPr>
      <w:r>
        <w:t>2018: 78.4</w:t>
      </w:r>
    </w:p>
    <w:p w:rsidR="00B8365A" w:rsidRDefault="00000000">
      <w:pPr>
        <w:pStyle w:val="ListParagraph"/>
        <w:numPr>
          <w:ilvl w:val="1"/>
          <w:numId w:val="1"/>
        </w:numPr>
        <w:spacing w:after="80"/>
      </w:pPr>
      <w:r>
        <w:t>2019: 65.4</w:t>
      </w:r>
    </w:p>
    <w:p w:rsidR="00B8365A" w:rsidRDefault="00000000">
      <w:pPr>
        <w:pStyle w:val="ListParagraph"/>
        <w:numPr>
          <w:ilvl w:val="1"/>
          <w:numId w:val="1"/>
        </w:numPr>
        <w:spacing w:after="80"/>
      </w:pPr>
      <w:r>
        <w:t>2020: 52.8</w:t>
      </w:r>
    </w:p>
    <w:p w:rsidR="00B8365A" w:rsidRDefault="00000000">
      <w:pPr>
        <w:pStyle w:val="ListParagraph"/>
        <w:numPr>
          <w:ilvl w:val="1"/>
          <w:numId w:val="1"/>
        </w:numPr>
        <w:spacing w:after="80"/>
      </w:pPr>
      <w:r>
        <w:t>2021: 55.6</w:t>
      </w:r>
    </w:p>
    <w:p w:rsidR="00B8365A" w:rsidRDefault="00000000">
      <w:pPr>
        <w:pStyle w:val="ListParagraph"/>
        <w:numPr>
          <w:ilvl w:val="1"/>
          <w:numId w:val="1"/>
        </w:numPr>
        <w:spacing w:after="80"/>
      </w:pPr>
      <w:r>
        <w:t>2022: 66.4</w:t>
      </w:r>
    </w:p>
    <w:p w:rsidR="00B8365A" w:rsidRDefault="00000000">
      <w:pPr>
        <w:pStyle w:val="ListParagraph"/>
        <w:numPr>
          <w:ilvl w:val="1"/>
          <w:numId w:val="1"/>
        </w:numPr>
        <w:spacing w:after="80"/>
      </w:pPr>
      <w:r>
        <w:t>2023: 76.0</w:t>
      </w:r>
    </w:p>
    <w:p w:rsidR="00B8365A" w:rsidRDefault="00000000">
      <w:pPr>
        <w:pStyle w:val="ListParagraph"/>
        <w:numPr>
          <w:ilvl w:val="1"/>
          <w:numId w:val="1"/>
        </w:numPr>
        <w:spacing w:after="80"/>
      </w:pPr>
      <w:r>
        <w:t>2024: 74.3</w:t>
      </w:r>
    </w:p>
    <w:p w:rsidR="00B8365A" w:rsidRDefault="00000000">
      <w:r>
        <w:t>The overlap correlation between TPSO national CCI and the FPO mean regional RSI is 0.94, so the two sources agree strongly on turning points even though their levels differ.</w:t>
      </w:r>
    </w:p>
    <w:p w:rsidR="00B8365A" w:rsidRDefault="00000000">
      <w:r>
        <w:t>The TCC benchmark releases are consistent with the same turning points:</w:t>
      </w:r>
    </w:p>
    <w:p w:rsidR="00B8365A" w:rsidRDefault="00000000">
      <w:pPr>
        <w:pStyle w:val="ListParagraph"/>
        <w:numPr>
          <w:ilvl w:val="0"/>
          <w:numId w:val="1"/>
        </w:numPr>
        <w:spacing w:after="80"/>
      </w:pPr>
      <w:r>
        <w:t>April 2020 TCC-CI: 32.1</w:t>
      </w:r>
    </w:p>
    <w:p w:rsidR="00B8365A" w:rsidRDefault="00000000">
      <w:pPr>
        <w:pStyle w:val="ListParagraph"/>
        <w:numPr>
          <w:ilvl w:val="0"/>
          <w:numId w:val="1"/>
        </w:numPr>
        <w:spacing w:after="80"/>
      </w:pPr>
      <w:r>
        <w:t>October 2021 TCC-CI: 19.9</w:t>
      </w:r>
    </w:p>
    <w:p w:rsidR="00B8365A" w:rsidRDefault="00000000">
      <w:pPr>
        <w:pStyle w:val="ListParagraph"/>
        <w:numPr>
          <w:ilvl w:val="0"/>
          <w:numId w:val="1"/>
        </w:numPr>
        <w:spacing w:after="80"/>
      </w:pPr>
      <w:r>
        <w:t>October 2024 TCC-CI: 48.9</w:t>
      </w:r>
    </w:p>
    <w:p w:rsidR="00B8365A" w:rsidRDefault="00000000">
      <w:r>
        <w:lastRenderedPageBreak/>
        <w:t>These TCC levels are lower than TPSO levels because the chamber-based index is not the same survey instrument, but the directional story is the same: collapse in the pandemic, partial recovery after reopening and renewed stimulus.</w:t>
      </w:r>
    </w:p>
    <w:p w:rsidR="00B8365A" w:rsidRDefault="00000000">
      <w:pPr>
        <w:spacing w:before="120" w:after="60"/>
        <w:jc w:val="center"/>
      </w:pPr>
      <w:r>
        <w:rPr>
          <w:noProof/>
        </w:rPr>
        <w:drawing>
          <wp:inline distT="0" distB="0" distL="0" distR="0">
            <wp:extent cx="4953000" cy="2724150"/>
            <wp:effectExtent l="0" t="0" r="0" b="0"/>
            <wp:docPr id="1870304070" name="Picture 1870304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724150"/>
                    </a:xfrm>
                    <a:prstGeom prst="rect">
                      <a:avLst/>
                    </a:prstGeom>
                  </pic:spPr>
                </pic:pic>
              </a:graphicData>
            </a:graphic>
          </wp:inline>
        </w:drawing>
      </w:r>
    </w:p>
    <w:p w:rsidR="00B8365A" w:rsidRDefault="00000000">
      <w:pPr>
        <w:spacing w:after="180"/>
        <w:jc w:val="center"/>
      </w:pPr>
      <w:r>
        <w:rPr>
          <w:i/>
          <w:iCs/>
        </w:rPr>
        <w:t>Confidence Indicators</w:t>
      </w:r>
    </w:p>
    <w:p w:rsidR="00B8365A" w:rsidRDefault="00000000">
      <w:pPr>
        <w:pStyle w:val="Heading1"/>
        <w:spacing w:before="180"/>
      </w:pPr>
      <w:r>
        <w:t>Econometric Design</w:t>
      </w:r>
    </w:p>
    <w:p w:rsidR="00B8365A" w:rsidRDefault="00000000">
      <w:r>
        <w:t>The econometric strategy uses a transparent mixed-frequency design:</w:t>
      </w:r>
    </w:p>
    <w:p w:rsidR="00B8365A" w:rsidRDefault="00000000">
      <w:pPr>
        <w:spacing w:after="80"/>
      </w:pPr>
      <w:r>
        <w:t>1. NESDC annual social-assistance totals anchor the true fiscal magnitude.</w:t>
      </w:r>
    </w:p>
    <w:p w:rsidR="00B8365A" w:rsidRDefault="00000000">
      <w:pPr>
        <w:spacing w:after="80"/>
      </w:pPr>
      <w:r>
        <w:t>2. A monthly policy-intensity calendar allocates those annual totals across months using the timing of major cash and in-kind stimulus programs.</w:t>
      </w:r>
    </w:p>
    <w:p w:rsidR="00B8365A" w:rsidRDefault="00000000">
      <w:pPr>
        <w:spacing w:after="80"/>
      </w:pPr>
      <w:r>
        <w:t>3. Three empirical models are then estimated.</w:t>
      </w:r>
    </w:p>
    <w:p w:rsidR="00B8365A" w:rsidRDefault="00000000">
      <w:r>
        <w:t>The core design problem is that the fiscal data are annual while the confidence data are monthly. The solution used here is to build a transparent monthly fiscal proxy that preserves the official annual totals exactly and only uses policy timing to distribute those totals within each year.</w:t>
      </w:r>
    </w:p>
    <w:p w:rsidR="00B8365A" w:rsidRDefault="00000000">
      <w:pPr>
        <w:pStyle w:val="Heading2"/>
        <w:spacing w:before="180"/>
      </w:pPr>
      <w:r>
        <w:t>1. Construction of the Monthly Fiscal Proxy</w:t>
      </w:r>
    </w:p>
    <w:p w:rsidR="00B8365A" w:rsidRDefault="00000000">
      <w:r>
        <w:t>Let:</w:t>
      </w:r>
    </w:p>
    <w:p w:rsidR="00B8365A" w:rsidRDefault="00000000">
      <w:pPr>
        <w:pStyle w:val="ListParagraph"/>
        <w:numPr>
          <w:ilvl w:val="0"/>
          <w:numId w:val="1"/>
        </w:numPr>
        <w:spacing w:after="80"/>
      </w:pPr>
      <w:r>
        <w:t>A_cash,y be NESDC annual cash social assistance in year y.</w:t>
      </w:r>
    </w:p>
    <w:p w:rsidR="00B8365A" w:rsidRDefault="00000000">
      <w:pPr>
        <w:pStyle w:val="ListParagraph"/>
        <w:numPr>
          <w:ilvl w:val="0"/>
          <w:numId w:val="1"/>
        </w:numPr>
        <w:spacing w:after="80"/>
      </w:pPr>
      <w:r>
        <w:t>A_inkind,y be NESDC annual in-kind social assistance in year y.</w:t>
      </w:r>
    </w:p>
    <w:p w:rsidR="00B8365A" w:rsidRDefault="00000000">
      <w:pPr>
        <w:pStyle w:val="ListParagraph"/>
        <w:numPr>
          <w:ilvl w:val="0"/>
          <w:numId w:val="1"/>
        </w:numPr>
        <w:spacing w:after="80"/>
      </w:pPr>
      <w:r>
        <w:t>w_cash,t be the monthly cash-intensity weight in month t.</w:t>
      </w:r>
    </w:p>
    <w:p w:rsidR="00B8365A" w:rsidRDefault="00000000">
      <w:pPr>
        <w:pStyle w:val="ListParagraph"/>
        <w:numPr>
          <w:ilvl w:val="0"/>
          <w:numId w:val="1"/>
        </w:numPr>
        <w:spacing w:after="80"/>
      </w:pPr>
      <w:r>
        <w:t>w_inkind,t be the monthly in-kind-intensity weight in month t.</w:t>
      </w:r>
    </w:p>
    <w:p w:rsidR="00B8365A" w:rsidRDefault="00000000">
      <w:r>
        <w:t>All months start with a baseline weight of 1. A policy episode then adds extra weight to the months it covers. Within a year:</w:t>
      </w:r>
    </w:p>
    <w:p w:rsidR="00B8365A" w:rsidRDefault="00000000">
      <w:pPr>
        <w:spacing w:before="120" w:after="140"/>
        <w:jc w:val="center"/>
      </w:pPr>
      <m:oMathPara>
        <m:oMath>
          <m:sSub>
            <m:sSubPr>
              <m:ctrlPr>
                <w:rPr>
                  <w:rFonts w:ascii="Cambria Math" w:hAnsi="Cambria Math"/>
                </w:rPr>
              </m:ctrlPr>
            </m:sSubPr>
            <m:e>
              <m:r>
                <w:rPr>
                  <w:rFonts w:ascii="Cambria Math" w:hAnsi="Cambria Math"/>
                </w:rPr>
                <m:t>cash proxy</m:t>
              </m:r>
            </m:e>
            <m:sub>
              <m:r>
                <w:rPr>
                  <w:rFonts w:ascii="Cambria Math" w:hAnsi="Cambria Math"/>
                </w:rPr>
                <m:t>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cash,y</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cash,t</m:t>
                  </m:r>
                </m:sub>
              </m:sSub>
            </m:num>
            <m:den>
              <m:nary>
                <m:naryPr>
                  <m:chr m:val="∑"/>
                  <m:limLoc m:val="undOvr"/>
                  <m:supHide m:val="1"/>
                  <m:ctrlPr>
                    <w:rPr>
                      <w:rFonts w:ascii="Cambria Math" w:hAnsi="Cambria Math"/>
                    </w:rPr>
                  </m:ctrlPr>
                </m:naryPr>
                <m:sub>
                  <m:r>
                    <w:rPr>
                      <w:rFonts w:ascii="Cambria Math" w:hAnsi="Cambria Math"/>
                    </w:rPr>
                    <m:t>m ∈ y</m:t>
                  </m:r>
                </m:sub>
                <m:sup/>
                <m:e>
                  <m:sSub>
                    <m:sSubPr>
                      <m:ctrlPr>
                        <w:rPr>
                          <w:rFonts w:ascii="Cambria Math" w:hAnsi="Cambria Math"/>
                        </w:rPr>
                      </m:ctrlPr>
                    </m:sSubPr>
                    <m:e>
                      <m:r>
                        <w:rPr>
                          <w:rFonts w:ascii="Cambria Math" w:hAnsi="Cambria Math"/>
                        </w:rPr>
                        <m:t>w</m:t>
                      </m:r>
                    </m:e>
                    <m:sub>
                      <m:r>
                        <w:rPr>
                          <w:rFonts w:ascii="Cambria Math" w:hAnsi="Cambria Math"/>
                        </w:rPr>
                        <m:t>cash,m</m:t>
                      </m:r>
                    </m:sub>
                  </m:sSub>
                </m:e>
              </m:nary>
            </m:den>
          </m:f>
        </m:oMath>
      </m:oMathPara>
    </w:p>
    <w:p w:rsidR="00B8365A" w:rsidRDefault="00000000">
      <w:pPr>
        <w:spacing w:before="120" w:after="140"/>
        <w:jc w:val="center"/>
      </w:pPr>
      <m:oMathPara>
        <m:oMath>
          <m:sSub>
            <m:sSubPr>
              <m:ctrlPr>
                <w:rPr>
                  <w:rFonts w:ascii="Cambria Math" w:hAnsi="Cambria Math"/>
                </w:rPr>
              </m:ctrlPr>
            </m:sSubPr>
            <m:e>
              <m:r>
                <w:rPr>
                  <w:rFonts w:ascii="Cambria Math" w:hAnsi="Cambria Math"/>
                </w:rPr>
                <m:t>inkind proxy</m:t>
              </m:r>
            </m:e>
            <m:sub>
              <m:r>
                <w:rPr>
                  <w:rFonts w:ascii="Cambria Math" w:hAnsi="Cambria Math"/>
                </w:rPr>
                <m:t>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inkind,y</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inkind,t</m:t>
                  </m:r>
                </m:sub>
              </m:sSub>
            </m:num>
            <m:den>
              <m:nary>
                <m:naryPr>
                  <m:chr m:val="∑"/>
                  <m:limLoc m:val="undOvr"/>
                  <m:supHide m:val="1"/>
                  <m:ctrlPr>
                    <w:rPr>
                      <w:rFonts w:ascii="Cambria Math" w:hAnsi="Cambria Math"/>
                    </w:rPr>
                  </m:ctrlPr>
                </m:naryPr>
                <m:sub>
                  <m:r>
                    <w:rPr>
                      <w:rFonts w:ascii="Cambria Math" w:hAnsi="Cambria Math"/>
                    </w:rPr>
                    <m:t>m ∈ y</m:t>
                  </m:r>
                </m:sub>
                <m:sup/>
                <m:e>
                  <m:sSub>
                    <m:sSubPr>
                      <m:ctrlPr>
                        <w:rPr>
                          <w:rFonts w:ascii="Cambria Math" w:hAnsi="Cambria Math"/>
                        </w:rPr>
                      </m:ctrlPr>
                    </m:sSubPr>
                    <m:e>
                      <m:r>
                        <w:rPr>
                          <w:rFonts w:ascii="Cambria Math" w:hAnsi="Cambria Math"/>
                        </w:rPr>
                        <m:t>w</m:t>
                      </m:r>
                    </m:e>
                    <m:sub>
                      <m:r>
                        <w:rPr>
                          <w:rFonts w:ascii="Cambria Math" w:hAnsi="Cambria Math"/>
                        </w:rPr>
                        <m:t>inkind,m</m:t>
                      </m:r>
                    </m:sub>
                  </m:sSub>
                </m:e>
              </m:nary>
            </m:den>
          </m:f>
        </m:oMath>
      </m:oMathPara>
    </w:p>
    <w:p w:rsidR="00B8365A" w:rsidRDefault="00000000">
      <w:r>
        <w:t>This guarantees that the 12 monthly proxies sum exactly to the official NESDC annual total in each year. The two proxies are then standardized across the full monthly sample:</w:t>
      </w:r>
    </w:p>
    <w:p w:rsidR="00B8365A" w:rsidRDefault="00000000">
      <w:pPr>
        <w:spacing w:before="120" w:after="140"/>
        <w:jc w:val="center"/>
      </w:pPr>
      <m:oMathPara>
        <m:oMath>
          <m:sSub>
            <m:sSubPr>
              <m:ctrlPr>
                <w:rPr>
                  <w:rFonts w:ascii="Cambria Math" w:hAnsi="Cambria Math"/>
                </w:rPr>
              </m:ctrlPr>
            </m:sSubPr>
            <m:e>
              <m:r>
                <w:rPr>
                  <w:rFonts w:ascii="Cambria Math" w:hAnsi="Cambria Math"/>
                </w:rPr>
                <m:t>cash z</m:t>
              </m:r>
            </m:e>
            <m:sub>
              <m:r>
                <w:rPr>
                  <w:rFonts w:ascii="Cambria Math" w:hAnsi="Cambria Math"/>
                </w:rPr>
                <m:t>t</m:t>
              </m:r>
            </m:sub>
          </m:sSub>
          <m:r>
            <w:rPr>
              <w:rFonts w:ascii="Cambria Math" w:hAnsi="Cambria Math"/>
            </w:rPr>
            <m:t xml:space="preserve"> = </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cash proxy</m:t>
                      </m:r>
                    </m:e>
                    <m:sub>
                      <m:r>
                        <w:rPr>
                          <w:rFonts w:ascii="Cambria Math" w:hAnsi="Cambria Math"/>
                        </w:rPr>
                        <m:t>t</m:t>
                      </m:r>
                    </m:sub>
                  </m:sSub>
                  <m:r>
                    <w:rPr>
                      <w:rFonts w:ascii="Cambria Math" w:hAnsi="Cambria Math"/>
                    </w:rPr>
                    <m:t xml:space="preserve"> - mean(cash proxy)</m:t>
                  </m:r>
                </m:e>
              </m:d>
            </m:num>
            <m:den>
              <m:r>
                <w:rPr>
                  <w:rFonts w:ascii="Cambria Math" w:hAnsi="Cambria Math"/>
                </w:rPr>
                <m:t>sd(cash proxy)</m:t>
              </m:r>
            </m:den>
          </m:f>
        </m:oMath>
      </m:oMathPara>
    </w:p>
    <w:p w:rsidR="00B8365A" w:rsidRDefault="00000000">
      <w:pPr>
        <w:spacing w:before="120" w:after="140"/>
        <w:jc w:val="center"/>
      </w:pPr>
      <m:oMathPara>
        <m:oMath>
          <m:sSub>
            <m:sSubPr>
              <m:ctrlPr>
                <w:rPr>
                  <w:rFonts w:ascii="Cambria Math" w:hAnsi="Cambria Math"/>
                </w:rPr>
              </m:ctrlPr>
            </m:sSubPr>
            <m:e>
              <m:r>
                <w:rPr>
                  <w:rFonts w:ascii="Cambria Math" w:hAnsi="Cambria Math"/>
                </w:rPr>
                <m:t>inkind z</m:t>
              </m:r>
            </m:e>
            <m:sub>
              <m:r>
                <w:rPr>
                  <w:rFonts w:ascii="Cambria Math" w:hAnsi="Cambria Math"/>
                </w:rPr>
                <m:t>t</m:t>
              </m:r>
            </m:sub>
          </m:sSub>
          <m:r>
            <w:rPr>
              <w:rFonts w:ascii="Cambria Math" w:hAnsi="Cambria Math"/>
            </w:rPr>
            <m:t xml:space="preserve"> = </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inkind proxy</m:t>
                      </m:r>
                    </m:e>
                    <m:sub>
                      <m:r>
                        <w:rPr>
                          <w:rFonts w:ascii="Cambria Math" w:hAnsi="Cambria Math"/>
                        </w:rPr>
                        <m:t>t</m:t>
                      </m:r>
                    </m:sub>
                  </m:sSub>
                  <m:r>
                    <w:rPr>
                      <w:rFonts w:ascii="Cambria Math" w:hAnsi="Cambria Math"/>
                    </w:rPr>
                    <m:t xml:space="preserve"> - mean(inkind proxy)</m:t>
                  </m:r>
                </m:e>
              </m:d>
            </m:num>
            <m:den>
              <m:r>
                <w:rPr>
                  <w:rFonts w:ascii="Cambria Math" w:hAnsi="Cambria Math"/>
                </w:rPr>
                <m:t>sd(inkind proxy)</m:t>
              </m:r>
            </m:den>
          </m:f>
        </m:oMath>
      </m:oMathPara>
    </w:p>
    <w:p w:rsidR="00B8365A" w:rsidRDefault="00000000">
      <w:r>
        <w:t>As a result, all reported coefficients can be read as the confidence response to a one-standard-deviation increase in the relevant transfer-intensity proxy.</w:t>
      </w:r>
    </w:p>
    <w:p w:rsidR="00B8365A" w:rsidRDefault="00000000">
      <w:pPr>
        <w:pStyle w:val="Heading2"/>
        <w:spacing w:before="180"/>
      </w:pPr>
      <w:r>
        <w:t>2. Policy-Intensity Calibration Used in the Proxy</w:t>
      </w:r>
    </w:p>
    <w:p w:rsidR="00B8365A" w:rsidRDefault="00000000">
      <w:r>
        <w:t>The weight schedule used in the monthly allocation is:</w:t>
      </w:r>
    </w:p>
    <w:tbl>
      <w:tblPr>
        <w:tblW w:w="5000" w:type="pct"/>
        <w:tblBorders>
          <w:top w:val="single" w:sz="1" w:space="0" w:color="9CA3AF"/>
          <w:left w:val="single" w:sz="1" w:space="0" w:color="D1D5DB"/>
          <w:bottom w:val="single" w:sz="1" w:space="0" w:color="9CA3AF"/>
          <w:right w:val="single" w:sz="1" w:space="0" w:color="D1D5DB"/>
          <w:insideH w:val="single" w:sz="1" w:space="0" w:color="E5E7EB"/>
          <w:insideV w:val="single" w:sz="1" w:space="0" w:color="E5E7EB"/>
        </w:tblBorders>
        <w:tblCellMar>
          <w:left w:w="10" w:type="dxa"/>
          <w:right w:w="10" w:type="dxa"/>
        </w:tblCellMar>
        <w:tblLook w:val="04A0" w:firstRow="1" w:lastRow="0" w:firstColumn="1" w:lastColumn="0" w:noHBand="0" w:noVBand="1"/>
      </w:tblPr>
      <w:tblGrid>
        <w:gridCol w:w="2652"/>
        <w:gridCol w:w="1531"/>
        <w:gridCol w:w="1565"/>
        <w:gridCol w:w="1661"/>
        <w:gridCol w:w="2695"/>
      </w:tblGrid>
      <w:tr w:rsidR="00B8365A">
        <w:tblPrEx>
          <w:tblCellMar>
            <w:top w:w="0" w:type="dxa"/>
            <w:bottom w:w="0" w:type="dxa"/>
          </w:tblCellMar>
        </w:tblPrEx>
        <w:trPr>
          <w:tblHeader/>
        </w:trPr>
        <w:tc>
          <w:tcPr>
            <w:tcW w:w="0" w:type="auto"/>
            <w:tcMar>
              <w:top w:w="80" w:type="dxa"/>
              <w:left w:w="100" w:type="dxa"/>
              <w:bottom w:w="80" w:type="dxa"/>
              <w:right w:w="100" w:type="dxa"/>
            </w:tcMar>
          </w:tcPr>
          <w:p w:rsidR="00B8365A" w:rsidRDefault="00000000">
            <w:pPr>
              <w:spacing w:after="60"/>
            </w:pPr>
            <w:r>
              <w:rPr>
                <w:b/>
                <w:bCs/>
              </w:rPr>
              <w:t>Episode</w:t>
            </w:r>
          </w:p>
        </w:tc>
        <w:tc>
          <w:tcPr>
            <w:tcW w:w="0" w:type="auto"/>
            <w:tcMar>
              <w:top w:w="80" w:type="dxa"/>
              <w:left w:w="100" w:type="dxa"/>
              <w:bottom w:w="80" w:type="dxa"/>
              <w:right w:w="100" w:type="dxa"/>
            </w:tcMar>
          </w:tcPr>
          <w:p w:rsidR="00B8365A" w:rsidRDefault="00000000">
            <w:pPr>
              <w:spacing w:after="60"/>
            </w:pPr>
            <w:r>
              <w:rPr>
                <w:b/>
                <w:bCs/>
              </w:rPr>
              <w:t>Months</w:t>
            </w:r>
          </w:p>
        </w:tc>
        <w:tc>
          <w:tcPr>
            <w:tcW w:w="0" w:type="auto"/>
            <w:tcMar>
              <w:top w:w="80" w:type="dxa"/>
              <w:left w:w="100" w:type="dxa"/>
              <w:bottom w:w="80" w:type="dxa"/>
              <w:right w:w="100" w:type="dxa"/>
            </w:tcMar>
          </w:tcPr>
          <w:p w:rsidR="00B8365A" w:rsidRDefault="00000000">
            <w:pPr>
              <w:spacing w:after="60"/>
            </w:pPr>
            <w:r>
              <w:rPr>
                <w:b/>
                <w:bCs/>
              </w:rPr>
              <w:t>Cash weight add-on</w:t>
            </w:r>
          </w:p>
        </w:tc>
        <w:tc>
          <w:tcPr>
            <w:tcW w:w="0" w:type="auto"/>
            <w:tcMar>
              <w:top w:w="80" w:type="dxa"/>
              <w:left w:w="100" w:type="dxa"/>
              <w:bottom w:w="80" w:type="dxa"/>
              <w:right w:w="100" w:type="dxa"/>
            </w:tcMar>
          </w:tcPr>
          <w:p w:rsidR="00B8365A" w:rsidRDefault="00000000">
            <w:pPr>
              <w:spacing w:after="60"/>
            </w:pPr>
            <w:r>
              <w:rPr>
                <w:b/>
                <w:bCs/>
              </w:rPr>
              <w:t>In-kind weight add-on</w:t>
            </w:r>
          </w:p>
        </w:tc>
        <w:tc>
          <w:tcPr>
            <w:tcW w:w="0" w:type="auto"/>
            <w:tcMar>
              <w:top w:w="80" w:type="dxa"/>
              <w:left w:w="100" w:type="dxa"/>
              <w:bottom w:w="80" w:type="dxa"/>
              <w:right w:w="100" w:type="dxa"/>
            </w:tcMar>
          </w:tcPr>
          <w:p w:rsidR="00B8365A" w:rsidRDefault="00000000">
            <w:pPr>
              <w:spacing w:after="60"/>
            </w:pPr>
            <w:r>
              <w:rPr>
                <w:b/>
                <w:bCs/>
              </w:rPr>
              <w:t>Rationale</w:t>
            </w:r>
          </w:p>
        </w:tc>
      </w:tr>
      <w:tr w:rsidR="00B8365A">
        <w:tblPrEx>
          <w:tblCellMar>
            <w:top w:w="0" w:type="dxa"/>
            <w:bottom w:w="0" w:type="dxa"/>
          </w:tblCellMar>
        </w:tblPrEx>
        <w:tc>
          <w:tcPr>
            <w:tcW w:w="0" w:type="auto"/>
            <w:tcMar>
              <w:top w:w="80" w:type="dxa"/>
              <w:left w:w="100" w:type="dxa"/>
              <w:bottom w:w="80" w:type="dxa"/>
              <w:right w:w="100" w:type="dxa"/>
            </w:tcMar>
          </w:tcPr>
          <w:p w:rsidR="00B8365A" w:rsidRDefault="00000000">
            <w:pPr>
              <w:spacing w:after="60"/>
            </w:pPr>
            <w:r>
              <w:t>State Welfare Card launch</w:t>
            </w:r>
          </w:p>
        </w:tc>
        <w:tc>
          <w:tcPr>
            <w:tcW w:w="0" w:type="auto"/>
            <w:tcMar>
              <w:top w:w="80" w:type="dxa"/>
              <w:left w:w="100" w:type="dxa"/>
              <w:bottom w:w="80" w:type="dxa"/>
              <w:right w:w="100" w:type="dxa"/>
            </w:tcMar>
          </w:tcPr>
          <w:p w:rsidR="00B8365A" w:rsidRDefault="00000000">
            <w:pPr>
              <w:spacing w:after="60"/>
            </w:pPr>
            <w:r>
              <w:t>2017-10 to 2018-03</w:t>
            </w:r>
          </w:p>
        </w:tc>
        <w:tc>
          <w:tcPr>
            <w:tcW w:w="0" w:type="auto"/>
            <w:tcMar>
              <w:top w:w="80" w:type="dxa"/>
              <w:left w:w="100" w:type="dxa"/>
              <w:bottom w:w="80" w:type="dxa"/>
              <w:right w:w="100" w:type="dxa"/>
            </w:tcMar>
          </w:tcPr>
          <w:p w:rsidR="00B8365A" w:rsidRDefault="00000000">
            <w:pPr>
              <w:spacing w:after="60"/>
            </w:pPr>
            <w:r>
              <w:t>1.4</w:t>
            </w:r>
          </w:p>
        </w:tc>
        <w:tc>
          <w:tcPr>
            <w:tcW w:w="0" w:type="auto"/>
            <w:tcMar>
              <w:top w:w="80" w:type="dxa"/>
              <w:left w:w="100" w:type="dxa"/>
              <w:bottom w:w="80" w:type="dxa"/>
              <w:right w:w="100" w:type="dxa"/>
            </w:tcMar>
          </w:tcPr>
          <w:p w:rsidR="00B8365A" w:rsidRDefault="00000000">
            <w:pPr>
              <w:spacing w:after="60"/>
            </w:pPr>
            <w:r>
              <w:t>0.8</w:t>
            </w:r>
          </w:p>
        </w:tc>
        <w:tc>
          <w:tcPr>
            <w:tcW w:w="0" w:type="auto"/>
            <w:tcMar>
              <w:top w:w="80" w:type="dxa"/>
              <w:left w:w="100" w:type="dxa"/>
              <w:bottom w:w="80" w:type="dxa"/>
              <w:right w:w="100" w:type="dxa"/>
            </w:tcMar>
          </w:tcPr>
          <w:p w:rsidR="00B8365A" w:rsidRDefault="00000000">
            <w:pPr>
              <w:spacing w:after="60"/>
            </w:pPr>
            <w:r>
              <w:t>Initial rollout and top-up cycle</w:t>
            </w:r>
          </w:p>
        </w:tc>
      </w:tr>
      <w:tr w:rsidR="00B8365A">
        <w:tblPrEx>
          <w:tblCellMar>
            <w:top w:w="0" w:type="dxa"/>
            <w:bottom w:w="0" w:type="dxa"/>
          </w:tblCellMar>
        </w:tblPrEx>
        <w:tc>
          <w:tcPr>
            <w:tcW w:w="0" w:type="auto"/>
            <w:tcMar>
              <w:top w:w="80" w:type="dxa"/>
              <w:left w:w="100" w:type="dxa"/>
              <w:bottom w:w="80" w:type="dxa"/>
              <w:right w:w="100" w:type="dxa"/>
            </w:tcMar>
          </w:tcPr>
          <w:p w:rsidR="00B8365A" w:rsidRDefault="00000000">
            <w:pPr>
              <w:spacing w:after="60"/>
            </w:pPr>
            <w:r>
              <w:t>Welfare-card deepening</w:t>
            </w:r>
          </w:p>
        </w:tc>
        <w:tc>
          <w:tcPr>
            <w:tcW w:w="0" w:type="auto"/>
            <w:tcMar>
              <w:top w:w="80" w:type="dxa"/>
              <w:left w:w="100" w:type="dxa"/>
              <w:bottom w:w="80" w:type="dxa"/>
              <w:right w:w="100" w:type="dxa"/>
            </w:tcMar>
          </w:tcPr>
          <w:p w:rsidR="00B8365A" w:rsidRDefault="00000000">
            <w:pPr>
              <w:spacing w:after="60"/>
            </w:pPr>
            <w:r>
              <w:t>2018-04 to 2019-12</w:t>
            </w:r>
          </w:p>
        </w:tc>
        <w:tc>
          <w:tcPr>
            <w:tcW w:w="0" w:type="auto"/>
            <w:tcMar>
              <w:top w:w="80" w:type="dxa"/>
              <w:left w:w="100" w:type="dxa"/>
              <w:bottom w:w="80" w:type="dxa"/>
              <w:right w:w="100" w:type="dxa"/>
            </w:tcMar>
          </w:tcPr>
          <w:p w:rsidR="00B8365A" w:rsidRDefault="00000000">
            <w:pPr>
              <w:spacing w:after="60"/>
            </w:pPr>
            <w:r>
              <w:t>0.7</w:t>
            </w:r>
          </w:p>
        </w:tc>
        <w:tc>
          <w:tcPr>
            <w:tcW w:w="0" w:type="auto"/>
            <w:tcMar>
              <w:top w:w="80" w:type="dxa"/>
              <w:left w:w="100" w:type="dxa"/>
              <w:bottom w:w="80" w:type="dxa"/>
              <w:right w:w="100" w:type="dxa"/>
            </w:tcMar>
          </w:tcPr>
          <w:p w:rsidR="00B8365A" w:rsidRDefault="00000000">
            <w:pPr>
              <w:spacing w:after="60"/>
            </w:pPr>
            <w:r>
              <w:t>0.5</w:t>
            </w:r>
          </w:p>
        </w:tc>
        <w:tc>
          <w:tcPr>
            <w:tcW w:w="0" w:type="auto"/>
            <w:tcMar>
              <w:top w:w="80" w:type="dxa"/>
              <w:left w:w="100" w:type="dxa"/>
              <w:bottom w:w="80" w:type="dxa"/>
              <w:right w:w="100" w:type="dxa"/>
            </w:tcMar>
          </w:tcPr>
          <w:p w:rsidR="00B8365A" w:rsidRDefault="00000000">
            <w:pPr>
              <w:spacing w:after="60"/>
            </w:pPr>
            <w:r>
              <w:t>Phase-2 quality-of-life measures</w:t>
            </w:r>
          </w:p>
        </w:tc>
      </w:tr>
      <w:tr w:rsidR="00B8365A">
        <w:tblPrEx>
          <w:tblCellMar>
            <w:top w:w="0" w:type="dxa"/>
            <w:bottom w:w="0" w:type="dxa"/>
          </w:tblCellMar>
        </w:tblPrEx>
        <w:tc>
          <w:tcPr>
            <w:tcW w:w="0" w:type="auto"/>
            <w:tcMar>
              <w:top w:w="80" w:type="dxa"/>
              <w:left w:w="100" w:type="dxa"/>
              <w:bottom w:w="80" w:type="dxa"/>
              <w:right w:w="100" w:type="dxa"/>
            </w:tcMar>
          </w:tcPr>
          <w:p w:rsidR="00B8365A" w:rsidRDefault="00000000">
            <w:pPr>
              <w:spacing w:after="60"/>
            </w:pPr>
            <w:r>
              <w:t>COVID emergency cash</w:t>
            </w:r>
          </w:p>
        </w:tc>
        <w:tc>
          <w:tcPr>
            <w:tcW w:w="0" w:type="auto"/>
            <w:tcMar>
              <w:top w:w="80" w:type="dxa"/>
              <w:left w:w="100" w:type="dxa"/>
              <w:bottom w:w="80" w:type="dxa"/>
              <w:right w:w="100" w:type="dxa"/>
            </w:tcMar>
          </w:tcPr>
          <w:p w:rsidR="00B8365A" w:rsidRDefault="00000000">
            <w:pPr>
              <w:spacing w:after="60"/>
            </w:pPr>
            <w:r>
              <w:t>2020-04 to 2020-06</w:t>
            </w:r>
          </w:p>
        </w:tc>
        <w:tc>
          <w:tcPr>
            <w:tcW w:w="0" w:type="auto"/>
            <w:tcMar>
              <w:top w:w="80" w:type="dxa"/>
              <w:left w:w="100" w:type="dxa"/>
              <w:bottom w:w="80" w:type="dxa"/>
              <w:right w:w="100" w:type="dxa"/>
            </w:tcMar>
          </w:tcPr>
          <w:p w:rsidR="00B8365A" w:rsidRDefault="00000000">
            <w:pPr>
              <w:spacing w:after="60"/>
            </w:pPr>
            <w:r>
              <w:t>4.8</w:t>
            </w:r>
          </w:p>
        </w:tc>
        <w:tc>
          <w:tcPr>
            <w:tcW w:w="0" w:type="auto"/>
            <w:tcMar>
              <w:top w:w="80" w:type="dxa"/>
              <w:left w:w="100" w:type="dxa"/>
              <w:bottom w:w="80" w:type="dxa"/>
              <w:right w:w="100" w:type="dxa"/>
            </w:tcMar>
          </w:tcPr>
          <w:p w:rsidR="00B8365A" w:rsidRDefault="00000000">
            <w:pPr>
              <w:spacing w:after="60"/>
            </w:pPr>
            <w:r>
              <w:t>0.8</w:t>
            </w:r>
          </w:p>
        </w:tc>
        <w:tc>
          <w:tcPr>
            <w:tcW w:w="0" w:type="auto"/>
            <w:tcMar>
              <w:top w:w="80" w:type="dxa"/>
              <w:left w:w="100" w:type="dxa"/>
              <w:bottom w:w="80" w:type="dxa"/>
              <w:right w:w="100" w:type="dxa"/>
            </w:tcMar>
          </w:tcPr>
          <w:p w:rsidR="00B8365A" w:rsidRDefault="00000000">
            <w:pPr>
              <w:spacing w:after="60"/>
            </w:pPr>
            <w:r>
              <w:t>Rapid cash stabilization</w:t>
            </w:r>
          </w:p>
        </w:tc>
      </w:tr>
      <w:tr w:rsidR="00B8365A">
        <w:tblPrEx>
          <w:tblCellMar>
            <w:top w:w="0" w:type="dxa"/>
            <w:bottom w:w="0" w:type="dxa"/>
          </w:tblCellMar>
        </w:tblPrEx>
        <w:tc>
          <w:tcPr>
            <w:tcW w:w="0" w:type="auto"/>
            <w:tcMar>
              <w:top w:w="80" w:type="dxa"/>
              <w:left w:w="100" w:type="dxa"/>
              <w:bottom w:w="80" w:type="dxa"/>
              <w:right w:w="100" w:type="dxa"/>
            </w:tcMar>
          </w:tcPr>
          <w:p w:rsidR="00B8365A" w:rsidRDefault="00000000">
            <w:pPr>
              <w:spacing w:after="60"/>
            </w:pPr>
            <w:r>
              <w:t>COVID cost-of-living extension</w:t>
            </w:r>
          </w:p>
        </w:tc>
        <w:tc>
          <w:tcPr>
            <w:tcW w:w="0" w:type="auto"/>
            <w:tcMar>
              <w:top w:w="80" w:type="dxa"/>
              <w:left w:w="100" w:type="dxa"/>
              <w:bottom w:w="80" w:type="dxa"/>
              <w:right w:w="100" w:type="dxa"/>
            </w:tcMar>
          </w:tcPr>
          <w:p w:rsidR="00B8365A" w:rsidRDefault="00000000">
            <w:pPr>
              <w:spacing w:after="60"/>
            </w:pPr>
            <w:r>
              <w:t>2020-07 to 2020-12</w:t>
            </w:r>
          </w:p>
        </w:tc>
        <w:tc>
          <w:tcPr>
            <w:tcW w:w="0" w:type="auto"/>
            <w:tcMar>
              <w:top w:w="80" w:type="dxa"/>
              <w:left w:w="100" w:type="dxa"/>
              <w:bottom w:w="80" w:type="dxa"/>
              <w:right w:w="100" w:type="dxa"/>
            </w:tcMar>
          </w:tcPr>
          <w:p w:rsidR="00B8365A" w:rsidRDefault="00000000">
            <w:pPr>
              <w:spacing w:after="60"/>
            </w:pPr>
            <w:r>
              <w:t>1.7</w:t>
            </w:r>
          </w:p>
        </w:tc>
        <w:tc>
          <w:tcPr>
            <w:tcW w:w="0" w:type="auto"/>
            <w:tcMar>
              <w:top w:w="80" w:type="dxa"/>
              <w:left w:w="100" w:type="dxa"/>
              <w:bottom w:w="80" w:type="dxa"/>
              <w:right w:w="100" w:type="dxa"/>
            </w:tcMar>
          </w:tcPr>
          <w:p w:rsidR="00B8365A" w:rsidRDefault="00000000">
            <w:pPr>
              <w:spacing w:after="60"/>
            </w:pPr>
            <w:r>
              <w:t>1.4</w:t>
            </w:r>
          </w:p>
        </w:tc>
        <w:tc>
          <w:tcPr>
            <w:tcW w:w="0" w:type="auto"/>
            <w:tcMar>
              <w:top w:w="80" w:type="dxa"/>
              <w:left w:w="100" w:type="dxa"/>
              <w:bottom w:w="80" w:type="dxa"/>
              <w:right w:w="100" w:type="dxa"/>
            </w:tcMar>
          </w:tcPr>
          <w:p w:rsidR="00B8365A" w:rsidRDefault="00000000">
            <w:pPr>
              <w:spacing w:after="60"/>
            </w:pPr>
            <w:r>
              <w:t>Utility and living-cost relief</w:t>
            </w:r>
          </w:p>
        </w:tc>
      </w:tr>
      <w:tr w:rsidR="00B8365A">
        <w:tblPrEx>
          <w:tblCellMar>
            <w:top w:w="0" w:type="dxa"/>
            <w:bottom w:w="0" w:type="dxa"/>
          </w:tblCellMar>
        </w:tblPrEx>
        <w:tc>
          <w:tcPr>
            <w:tcW w:w="0" w:type="auto"/>
            <w:tcMar>
              <w:top w:w="80" w:type="dxa"/>
              <w:left w:w="100" w:type="dxa"/>
              <w:bottom w:w="80" w:type="dxa"/>
              <w:right w:w="100" w:type="dxa"/>
            </w:tcMar>
          </w:tcPr>
          <w:p w:rsidR="00B8365A" w:rsidRDefault="00000000">
            <w:pPr>
              <w:spacing w:after="60"/>
            </w:pPr>
            <w:r>
              <w:t>Rao Chana and M33 Rao Rak Kan</w:t>
            </w:r>
          </w:p>
        </w:tc>
        <w:tc>
          <w:tcPr>
            <w:tcW w:w="0" w:type="auto"/>
            <w:tcMar>
              <w:top w:w="80" w:type="dxa"/>
              <w:left w:w="100" w:type="dxa"/>
              <w:bottom w:w="80" w:type="dxa"/>
              <w:right w:w="100" w:type="dxa"/>
            </w:tcMar>
          </w:tcPr>
          <w:p w:rsidR="00B8365A" w:rsidRDefault="00000000">
            <w:pPr>
              <w:spacing w:after="60"/>
            </w:pPr>
            <w:r>
              <w:t>2021-02 to 2021-05</w:t>
            </w:r>
          </w:p>
        </w:tc>
        <w:tc>
          <w:tcPr>
            <w:tcW w:w="0" w:type="auto"/>
            <w:tcMar>
              <w:top w:w="80" w:type="dxa"/>
              <w:left w:w="100" w:type="dxa"/>
              <w:bottom w:w="80" w:type="dxa"/>
              <w:right w:w="100" w:type="dxa"/>
            </w:tcMar>
          </w:tcPr>
          <w:p w:rsidR="00B8365A" w:rsidRDefault="00000000">
            <w:pPr>
              <w:spacing w:after="60"/>
            </w:pPr>
            <w:r>
              <w:t>5.6</w:t>
            </w:r>
          </w:p>
        </w:tc>
        <w:tc>
          <w:tcPr>
            <w:tcW w:w="0" w:type="auto"/>
            <w:tcMar>
              <w:top w:w="80" w:type="dxa"/>
              <w:left w:w="100" w:type="dxa"/>
              <w:bottom w:w="80" w:type="dxa"/>
              <w:right w:w="100" w:type="dxa"/>
            </w:tcMar>
          </w:tcPr>
          <w:p w:rsidR="00B8365A" w:rsidRDefault="00000000">
            <w:pPr>
              <w:spacing w:after="60"/>
            </w:pPr>
            <w:r>
              <w:t>1.1</w:t>
            </w:r>
          </w:p>
        </w:tc>
        <w:tc>
          <w:tcPr>
            <w:tcW w:w="0" w:type="auto"/>
            <w:tcMar>
              <w:top w:w="80" w:type="dxa"/>
              <w:left w:w="100" w:type="dxa"/>
              <w:bottom w:w="80" w:type="dxa"/>
              <w:right w:w="100" w:type="dxa"/>
            </w:tcMar>
          </w:tcPr>
          <w:p w:rsidR="00B8365A" w:rsidRDefault="00000000">
            <w:pPr>
              <w:spacing w:after="60"/>
            </w:pPr>
            <w:r>
              <w:t>Strong cash-led support</w:t>
            </w:r>
          </w:p>
        </w:tc>
      </w:tr>
      <w:tr w:rsidR="00B8365A">
        <w:tblPrEx>
          <w:tblCellMar>
            <w:top w:w="0" w:type="dxa"/>
            <w:bottom w:w="0" w:type="dxa"/>
          </w:tblCellMar>
        </w:tblPrEx>
        <w:tc>
          <w:tcPr>
            <w:tcW w:w="0" w:type="auto"/>
            <w:tcMar>
              <w:top w:w="80" w:type="dxa"/>
              <w:left w:w="100" w:type="dxa"/>
              <w:bottom w:w="80" w:type="dxa"/>
              <w:right w:w="100" w:type="dxa"/>
            </w:tcMar>
          </w:tcPr>
          <w:p w:rsidR="00B8365A" w:rsidRDefault="00000000">
            <w:pPr>
              <w:spacing w:after="60"/>
            </w:pPr>
            <w:r>
              <w:t>Vaccination and reopening</w:t>
            </w:r>
          </w:p>
        </w:tc>
        <w:tc>
          <w:tcPr>
            <w:tcW w:w="0" w:type="auto"/>
            <w:tcMar>
              <w:top w:w="80" w:type="dxa"/>
              <w:left w:w="100" w:type="dxa"/>
              <w:bottom w:w="80" w:type="dxa"/>
              <w:right w:w="100" w:type="dxa"/>
            </w:tcMar>
          </w:tcPr>
          <w:p w:rsidR="00B8365A" w:rsidRDefault="00000000">
            <w:pPr>
              <w:spacing w:after="60"/>
            </w:pPr>
            <w:r>
              <w:t>2021-06 to 2021-12</w:t>
            </w:r>
          </w:p>
        </w:tc>
        <w:tc>
          <w:tcPr>
            <w:tcW w:w="0" w:type="auto"/>
            <w:tcMar>
              <w:top w:w="80" w:type="dxa"/>
              <w:left w:w="100" w:type="dxa"/>
              <w:bottom w:w="80" w:type="dxa"/>
              <w:right w:w="100" w:type="dxa"/>
            </w:tcMar>
          </w:tcPr>
          <w:p w:rsidR="00B8365A" w:rsidRDefault="00000000">
            <w:pPr>
              <w:spacing w:after="60"/>
            </w:pPr>
            <w:r>
              <w:t>2.4</w:t>
            </w:r>
          </w:p>
        </w:tc>
        <w:tc>
          <w:tcPr>
            <w:tcW w:w="0" w:type="auto"/>
            <w:tcMar>
              <w:top w:w="80" w:type="dxa"/>
              <w:left w:w="100" w:type="dxa"/>
              <w:bottom w:w="80" w:type="dxa"/>
              <w:right w:w="100" w:type="dxa"/>
            </w:tcMar>
          </w:tcPr>
          <w:p w:rsidR="00B8365A" w:rsidRDefault="00000000">
            <w:pPr>
              <w:spacing w:after="60"/>
            </w:pPr>
            <w:r>
              <w:t>3.8</w:t>
            </w:r>
          </w:p>
        </w:tc>
        <w:tc>
          <w:tcPr>
            <w:tcW w:w="0" w:type="auto"/>
            <w:tcMar>
              <w:top w:w="80" w:type="dxa"/>
              <w:left w:w="100" w:type="dxa"/>
              <w:bottom w:w="80" w:type="dxa"/>
              <w:right w:w="100" w:type="dxa"/>
            </w:tcMar>
          </w:tcPr>
          <w:p w:rsidR="00B8365A" w:rsidRDefault="00000000">
            <w:pPr>
              <w:spacing w:after="60"/>
            </w:pPr>
            <w:r>
              <w:t>Health purchases and reopening</w:t>
            </w:r>
          </w:p>
        </w:tc>
      </w:tr>
      <w:tr w:rsidR="00B8365A">
        <w:tblPrEx>
          <w:tblCellMar>
            <w:top w:w="0" w:type="dxa"/>
            <w:bottom w:w="0" w:type="dxa"/>
          </w:tblCellMar>
        </w:tblPrEx>
        <w:tc>
          <w:tcPr>
            <w:tcW w:w="0" w:type="auto"/>
            <w:tcMar>
              <w:top w:w="80" w:type="dxa"/>
              <w:left w:w="100" w:type="dxa"/>
              <w:bottom w:w="80" w:type="dxa"/>
              <w:right w:w="100" w:type="dxa"/>
            </w:tcMar>
          </w:tcPr>
          <w:p w:rsidR="00B8365A" w:rsidRDefault="00000000">
            <w:pPr>
              <w:spacing w:after="60"/>
            </w:pPr>
            <w:r>
              <w:t>2022 health and welfare support</w:t>
            </w:r>
          </w:p>
        </w:tc>
        <w:tc>
          <w:tcPr>
            <w:tcW w:w="0" w:type="auto"/>
            <w:tcMar>
              <w:top w:w="80" w:type="dxa"/>
              <w:left w:w="100" w:type="dxa"/>
              <w:bottom w:w="80" w:type="dxa"/>
              <w:right w:w="100" w:type="dxa"/>
            </w:tcMar>
          </w:tcPr>
          <w:p w:rsidR="00B8365A" w:rsidRDefault="00000000">
            <w:pPr>
              <w:spacing w:after="60"/>
            </w:pPr>
            <w:r>
              <w:t>2022-01 to 2022-09</w:t>
            </w:r>
          </w:p>
        </w:tc>
        <w:tc>
          <w:tcPr>
            <w:tcW w:w="0" w:type="auto"/>
            <w:tcMar>
              <w:top w:w="80" w:type="dxa"/>
              <w:left w:w="100" w:type="dxa"/>
              <w:bottom w:w="80" w:type="dxa"/>
              <w:right w:w="100" w:type="dxa"/>
            </w:tcMar>
          </w:tcPr>
          <w:p w:rsidR="00B8365A" w:rsidRDefault="00000000">
            <w:pPr>
              <w:spacing w:after="60"/>
            </w:pPr>
            <w:r>
              <w:t>1.3</w:t>
            </w:r>
          </w:p>
        </w:tc>
        <w:tc>
          <w:tcPr>
            <w:tcW w:w="0" w:type="auto"/>
            <w:tcMar>
              <w:top w:w="80" w:type="dxa"/>
              <w:left w:w="100" w:type="dxa"/>
              <w:bottom w:w="80" w:type="dxa"/>
              <w:right w:w="100" w:type="dxa"/>
            </w:tcMar>
          </w:tcPr>
          <w:p w:rsidR="00B8365A" w:rsidRDefault="00000000">
            <w:pPr>
              <w:spacing w:after="60"/>
            </w:pPr>
            <w:r>
              <w:t>2.8</w:t>
            </w:r>
          </w:p>
        </w:tc>
        <w:tc>
          <w:tcPr>
            <w:tcW w:w="0" w:type="auto"/>
            <w:tcMar>
              <w:top w:w="80" w:type="dxa"/>
              <w:left w:w="100" w:type="dxa"/>
              <w:bottom w:w="80" w:type="dxa"/>
              <w:right w:w="100" w:type="dxa"/>
            </w:tcMar>
          </w:tcPr>
          <w:p w:rsidR="00B8365A" w:rsidRDefault="00000000">
            <w:pPr>
              <w:spacing w:after="60"/>
            </w:pPr>
            <w:r>
              <w:t>Sustained health and welfare spending</w:t>
            </w:r>
          </w:p>
        </w:tc>
      </w:tr>
      <w:tr w:rsidR="00B8365A">
        <w:tblPrEx>
          <w:tblCellMar>
            <w:top w:w="0" w:type="dxa"/>
            <w:bottom w:w="0" w:type="dxa"/>
          </w:tblCellMar>
        </w:tblPrEx>
        <w:tc>
          <w:tcPr>
            <w:tcW w:w="0" w:type="auto"/>
            <w:tcMar>
              <w:top w:w="80" w:type="dxa"/>
              <w:left w:w="100" w:type="dxa"/>
              <w:bottom w:w="80" w:type="dxa"/>
              <w:right w:w="100" w:type="dxa"/>
            </w:tcMar>
          </w:tcPr>
          <w:p w:rsidR="00B8365A" w:rsidRDefault="00000000">
            <w:pPr>
              <w:spacing w:after="60"/>
            </w:pPr>
            <w:r>
              <w:t>New welfare-card cycle</w:t>
            </w:r>
          </w:p>
        </w:tc>
        <w:tc>
          <w:tcPr>
            <w:tcW w:w="0" w:type="auto"/>
            <w:tcMar>
              <w:top w:w="80" w:type="dxa"/>
              <w:left w:w="100" w:type="dxa"/>
              <w:bottom w:w="80" w:type="dxa"/>
              <w:right w:w="100" w:type="dxa"/>
            </w:tcMar>
          </w:tcPr>
          <w:p w:rsidR="00B8365A" w:rsidRDefault="00000000">
            <w:pPr>
              <w:spacing w:after="60"/>
            </w:pPr>
            <w:r>
              <w:t>2023-04 to 2023-12</w:t>
            </w:r>
          </w:p>
        </w:tc>
        <w:tc>
          <w:tcPr>
            <w:tcW w:w="0" w:type="auto"/>
            <w:tcMar>
              <w:top w:w="80" w:type="dxa"/>
              <w:left w:w="100" w:type="dxa"/>
              <w:bottom w:w="80" w:type="dxa"/>
              <w:right w:w="100" w:type="dxa"/>
            </w:tcMar>
          </w:tcPr>
          <w:p w:rsidR="00B8365A" w:rsidRDefault="00000000">
            <w:pPr>
              <w:spacing w:after="60"/>
            </w:pPr>
            <w:r>
              <w:t>0.9</w:t>
            </w:r>
          </w:p>
        </w:tc>
        <w:tc>
          <w:tcPr>
            <w:tcW w:w="0" w:type="auto"/>
            <w:tcMar>
              <w:top w:w="80" w:type="dxa"/>
              <w:left w:w="100" w:type="dxa"/>
              <w:bottom w:w="80" w:type="dxa"/>
              <w:right w:w="100" w:type="dxa"/>
            </w:tcMar>
          </w:tcPr>
          <w:p w:rsidR="00B8365A" w:rsidRDefault="00000000">
            <w:pPr>
              <w:spacing w:after="60"/>
            </w:pPr>
            <w:r>
              <w:t>0.5</w:t>
            </w:r>
          </w:p>
        </w:tc>
        <w:tc>
          <w:tcPr>
            <w:tcW w:w="0" w:type="auto"/>
            <w:tcMar>
              <w:top w:w="80" w:type="dxa"/>
              <w:left w:w="100" w:type="dxa"/>
              <w:bottom w:w="80" w:type="dxa"/>
              <w:right w:w="100" w:type="dxa"/>
            </w:tcMar>
          </w:tcPr>
          <w:p w:rsidR="00B8365A" w:rsidRDefault="00000000">
            <w:pPr>
              <w:spacing w:after="60"/>
            </w:pPr>
            <w:r>
              <w:t>New entitlement cycle</w:t>
            </w:r>
          </w:p>
        </w:tc>
      </w:tr>
      <w:tr w:rsidR="00B8365A">
        <w:tblPrEx>
          <w:tblCellMar>
            <w:top w:w="0" w:type="dxa"/>
            <w:bottom w:w="0" w:type="dxa"/>
          </w:tblCellMar>
        </w:tblPrEx>
        <w:tc>
          <w:tcPr>
            <w:tcW w:w="0" w:type="auto"/>
            <w:tcMar>
              <w:top w:w="80" w:type="dxa"/>
              <w:left w:w="100" w:type="dxa"/>
              <w:bottom w:w="80" w:type="dxa"/>
              <w:right w:w="100" w:type="dxa"/>
            </w:tcMar>
          </w:tcPr>
          <w:p w:rsidR="00B8365A" w:rsidRDefault="00000000">
            <w:pPr>
              <w:spacing w:after="60"/>
            </w:pPr>
            <w:r>
              <w:t>10,000-baht vulnerable-group transfer</w:t>
            </w:r>
          </w:p>
        </w:tc>
        <w:tc>
          <w:tcPr>
            <w:tcW w:w="0" w:type="auto"/>
            <w:tcMar>
              <w:top w:w="80" w:type="dxa"/>
              <w:left w:w="100" w:type="dxa"/>
              <w:bottom w:w="80" w:type="dxa"/>
              <w:right w:w="100" w:type="dxa"/>
            </w:tcMar>
          </w:tcPr>
          <w:p w:rsidR="00B8365A" w:rsidRDefault="00000000">
            <w:pPr>
              <w:spacing w:after="60"/>
            </w:pPr>
            <w:r>
              <w:t>2024-09 to 2024-11</w:t>
            </w:r>
          </w:p>
        </w:tc>
        <w:tc>
          <w:tcPr>
            <w:tcW w:w="0" w:type="auto"/>
            <w:tcMar>
              <w:top w:w="80" w:type="dxa"/>
              <w:left w:w="100" w:type="dxa"/>
              <w:bottom w:w="80" w:type="dxa"/>
              <w:right w:w="100" w:type="dxa"/>
            </w:tcMar>
          </w:tcPr>
          <w:p w:rsidR="00B8365A" w:rsidRDefault="00000000">
            <w:pPr>
              <w:spacing w:after="60"/>
            </w:pPr>
            <w:r>
              <w:t>5.2</w:t>
            </w:r>
          </w:p>
        </w:tc>
        <w:tc>
          <w:tcPr>
            <w:tcW w:w="0" w:type="auto"/>
            <w:tcMar>
              <w:top w:w="80" w:type="dxa"/>
              <w:left w:w="100" w:type="dxa"/>
              <w:bottom w:w="80" w:type="dxa"/>
              <w:right w:w="100" w:type="dxa"/>
            </w:tcMar>
          </w:tcPr>
          <w:p w:rsidR="00B8365A" w:rsidRDefault="00000000">
            <w:pPr>
              <w:spacing w:after="60"/>
            </w:pPr>
            <w:r>
              <w:t>0.2</w:t>
            </w:r>
          </w:p>
        </w:tc>
        <w:tc>
          <w:tcPr>
            <w:tcW w:w="0" w:type="auto"/>
            <w:tcMar>
              <w:top w:w="80" w:type="dxa"/>
              <w:left w:w="100" w:type="dxa"/>
              <w:bottom w:w="80" w:type="dxa"/>
              <w:right w:w="100" w:type="dxa"/>
            </w:tcMar>
          </w:tcPr>
          <w:p w:rsidR="00B8365A" w:rsidRDefault="00000000">
            <w:pPr>
              <w:spacing w:after="60"/>
            </w:pPr>
            <w:r>
              <w:t>Large one-off cash stimulus</w:t>
            </w:r>
          </w:p>
        </w:tc>
      </w:tr>
    </w:tbl>
    <w:p w:rsidR="00B8365A" w:rsidRDefault="00000000">
      <w:r>
        <w:t>These weights are not themselves econometric estimates. They are a calibration device used to map annual fiscal totals into monthly intensity while respecting policy timing.</w:t>
      </w:r>
    </w:p>
    <w:p w:rsidR="00B8365A" w:rsidRDefault="00000000">
      <w:pPr>
        <w:pStyle w:val="Heading2"/>
        <w:spacing w:before="180"/>
      </w:pPr>
      <w:r>
        <w:t>3. Samples and Variable Definitions</w:t>
      </w:r>
    </w:p>
    <w:p w:rsidR="00B8365A" w:rsidRDefault="00000000">
      <w:r>
        <w:t>National confidence sample:</w:t>
      </w:r>
    </w:p>
    <w:p w:rsidR="00B8365A" w:rsidRDefault="00000000">
      <w:pPr>
        <w:pStyle w:val="ListParagraph"/>
        <w:numPr>
          <w:ilvl w:val="0"/>
          <w:numId w:val="1"/>
        </w:numPr>
        <w:spacing w:after="80"/>
      </w:pPr>
      <w:r>
        <w:t>TPSO national CCI monthly series: 2019M1-2024M12.</w:t>
      </w:r>
    </w:p>
    <w:p w:rsidR="00B8365A" w:rsidRDefault="00000000">
      <w:pPr>
        <w:pStyle w:val="ListParagraph"/>
        <w:numPr>
          <w:ilvl w:val="0"/>
          <w:numId w:val="1"/>
        </w:numPr>
        <w:spacing w:after="80"/>
      </w:pPr>
      <w:r>
        <w:t>FPO mean regional RSI monthly series: 2018M1-2024M12.</w:t>
      </w:r>
    </w:p>
    <w:p w:rsidR="00B8365A" w:rsidRDefault="00000000">
      <w:pPr>
        <w:pStyle w:val="ListParagraph"/>
        <w:numPr>
          <w:ilvl w:val="0"/>
          <w:numId w:val="1"/>
        </w:numPr>
        <w:spacing w:after="80"/>
      </w:pPr>
      <w:r>
        <w:t>TCC is used only as a benchmark cross-check for selected dates, not as a direct dependent variable in the main regressions.</w:t>
      </w:r>
    </w:p>
    <w:p w:rsidR="00B8365A" w:rsidRDefault="00000000">
      <w:r>
        <w:lastRenderedPageBreak/>
        <w:t>Occupation panel sample:</w:t>
      </w:r>
    </w:p>
    <w:p w:rsidR="00B8365A" w:rsidRDefault="00000000">
      <w:pPr>
        <w:pStyle w:val="ListParagraph"/>
        <w:numPr>
          <w:ilvl w:val="0"/>
          <w:numId w:val="1"/>
        </w:numPr>
        <w:spacing w:after="80"/>
      </w:pPr>
      <w:r>
        <w:t>7 monthly TPSO occupation groups from 2019M1-2024M12.</w:t>
      </w:r>
    </w:p>
    <w:p w:rsidR="00B8365A" w:rsidRDefault="00000000">
      <w:pPr>
        <w:pStyle w:val="ListParagraph"/>
        <w:numPr>
          <w:ilvl w:val="0"/>
          <w:numId w:val="1"/>
        </w:numPr>
        <w:spacing w:after="80"/>
      </w:pPr>
      <w:r>
        <w:t>Outcomes:</w:t>
      </w:r>
    </w:p>
    <w:p w:rsidR="00B8365A" w:rsidRDefault="00000000">
      <w:pPr>
        <w:pStyle w:val="ListParagraph"/>
        <w:numPr>
          <w:ilvl w:val="1"/>
          <w:numId w:val="1"/>
        </w:numPr>
        <w:spacing w:after="80"/>
      </w:pPr>
      <w:r>
        <w:t>cci_ot = overall occupation-level confidence index</w:t>
      </w:r>
    </w:p>
    <w:p w:rsidR="00B8365A" w:rsidRDefault="00000000">
      <w:pPr>
        <w:pStyle w:val="ListParagraph"/>
        <w:numPr>
          <w:ilvl w:val="1"/>
          <w:numId w:val="1"/>
        </w:numPr>
        <w:spacing w:after="80"/>
      </w:pPr>
      <w:r>
        <w:t>future_ot = occupation-level future expectations index</w:t>
      </w:r>
    </w:p>
    <w:p w:rsidR="00B8365A" w:rsidRDefault="00000000">
      <w:pPr>
        <w:pStyle w:val="ListParagraph"/>
        <w:numPr>
          <w:ilvl w:val="0"/>
          <w:numId w:val="1"/>
        </w:numPr>
        <w:spacing w:after="80"/>
      </w:pPr>
      <w:r>
        <w:t>Low-income-sensitive exposure dummy:</w:t>
      </w:r>
    </w:p>
    <w:p w:rsidR="00B8365A" w:rsidRDefault="00000000">
      <w:pPr>
        <w:pStyle w:val="ListParagraph"/>
        <w:numPr>
          <w:ilvl w:val="1"/>
          <w:numId w:val="1"/>
        </w:numPr>
        <w:spacing w:after="80"/>
      </w:pPr>
      <w:r>
        <w:t>LowInc_o = 1 for farmers, service labor / free service occupations, and not-working / pension groups</w:t>
      </w:r>
    </w:p>
    <w:p w:rsidR="00B8365A" w:rsidRDefault="00000000">
      <w:pPr>
        <w:pStyle w:val="ListParagraph"/>
        <w:numPr>
          <w:ilvl w:val="1"/>
          <w:numId w:val="1"/>
        </w:numPr>
        <w:spacing w:after="80"/>
      </w:pPr>
      <w:r>
        <w:t>LowInc_o = 0 for government/state-enterprise employees, students, company employees, and business owners / traders</w:t>
      </w:r>
    </w:p>
    <w:p w:rsidR="00B8365A" w:rsidRDefault="00000000">
      <w:r>
        <w:t>Effective estimation sample sizes:</w:t>
      </w:r>
    </w:p>
    <w:p w:rsidR="00B8365A" w:rsidRDefault="00000000">
      <w:pPr>
        <w:pStyle w:val="ListParagraph"/>
        <w:numPr>
          <w:ilvl w:val="0"/>
          <w:numId w:val="1"/>
        </w:numPr>
        <w:spacing w:after="80"/>
      </w:pPr>
      <w:r>
        <w:t>National TPSO change model: 70 monthly observations after differencing and lags.</w:t>
      </w:r>
    </w:p>
    <w:p w:rsidR="00B8365A" w:rsidRDefault="00000000">
      <w:pPr>
        <w:pStyle w:val="ListParagraph"/>
        <w:numPr>
          <w:ilvl w:val="0"/>
          <w:numId w:val="1"/>
        </w:numPr>
        <w:spacing w:after="80"/>
      </w:pPr>
      <w:r>
        <w:t>National FPO change model: 82 monthly observations after differencing and lags.</w:t>
      </w:r>
    </w:p>
    <w:p w:rsidR="00B8365A" w:rsidRDefault="00000000">
      <w:pPr>
        <w:pStyle w:val="ListParagraph"/>
        <w:numPr>
          <w:ilvl w:val="0"/>
          <w:numId w:val="1"/>
        </w:numPr>
        <w:spacing w:after="80"/>
      </w:pPr>
      <w:r>
        <w:t>Occupation TWFE on cci_ot: 504 observations, 72 months, 7 occupations.</w:t>
      </w:r>
    </w:p>
    <w:p w:rsidR="00B8365A" w:rsidRDefault="00000000">
      <w:pPr>
        <w:pStyle w:val="ListParagraph"/>
        <w:numPr>
          <w:ilvl w:val="0"/>
          <w:numId w:val="1"/>
        </w:numPr>
        <w:spacing w:after="80"/>
      </w:pPr>
      <w:r>
        <w:t>Occupation TWFE on future_ot: 336 observations, 48 months, 7 occupations.</w:t>
      </w:r>
    </w:p>
    <w:p w:rsidR="00B8365A" w:rsidRDefault="00000000">
      <w:pPr>
        <w:pStyle w:val="ListParagraph"/>
        <w:numPr>
          <w:ilvl w:val="0"/>
          <w:numId w:val="1"/>
        </w:numPr>
        <w:spacing w:after="80"/>
      </w:pPr>
      <w:r>
        <w:t>Local projections:</w:t>
      </w:r>
    </w:p>
    <w:p w:rsidR="00B8365A" w:rsidRDefault="00000000">
      <w:pPr>
        <w:pStyle w:val="ListParagraph"/>
        <w:numPr>
          <w:ilvl w:val="1"/>
          <w:numId w:val="1"/>
        </w:numPr>
        <w:spacing w:after="80"/>
      </w:pPr>
      <w:r>
        <w:t>h=0: 497 observations</w:t>
      </w:r>
    </w:p>
    <w:p w:rsidR="00B8365A" w:rsidRDefault="00000000">
      <w:pPr>
        <w:pStyle w:val="ListParagraph"/>
        <w:numPr>
          <w:ilvl w:val="1"/>
          <w:numId w:val="1"/>
        </w:numPr>
        <w:spacing w:after="80"/>
      </w:pPr>
      <w:r>
        <w:t>h=1: 490 observations</w:t>
      </w:r>
    </w:p>
    <w:p w:rsidR="00B8365A" w:rsidRDefault="00000000">
      <w:pPr>
        <w:pStyle w:val="ListParagraph"/>
        <w:numPr>
          <w:ilvl w:val="1"/>
          <w:numId w:val="1"/>
        </w:numPr>
        <w:spacing w:after="80"/>
      </w:pPr>
      <w:r>
        <w:t>h=2: 483 observations</w:t>
      </w:r>
    </w:p>
    <w:p w:rsidR="00B8365A" w:rsidRDefault="00000000">
      <w:pPr>
        <w:pStyle w:val="ListParagraph"/>
        <w:numPr>
          <w:ilvl w:val="1"/>
          <w:numId w:val="1"/>
        </w:numPr>
        <w:spacing w:after="80"/>
      </w:pPr>
      <w:r>
        <w:t>h=3: 476 observations</w:t>
      </w:r>
    </w:p>
    <w:p w:rsidR="00B8365A" w:rsidRDefault="00000000">
      <w:pPr>
        <w:pStyle w:val="Heading2"/>
        <w:spacing w:before="180"/>
      </w:pPr>
      <w:r>
        <w:t>4. Model A: National Confidence Change Model</w:t>
      </w:r>
    </w:p>
    <w:p w:rsidR="00B8365A" w:rsidRDefault="00000000">
      <w:r>
        <w:t>For the aggregate monthly models, the estimated equation is:</w:t>
      </w:r>
    </w:p>
    <w:p w:rsidR="00B8365A" w:rsidRDefault="00000000">
      <w:pPr>
        <w:spacing w:before="120" w:after="140"/>
        <w:jc w:val="center"/>
      </w:pPr>
      <m:oMathPara>
        <m:oMath>
          <m:sSub>
            <m:sSubPr>
              <m:ctrlPr>
                <w:rPr>
                  <w:rFonts w:ascii="Cambria Math" w:hAnsi="Cambria Math"/>
                </w:rPr>
              </m:ctrlPr>
            </m:sSubPr>
            <m:e>
              <m:r>
                <w:rPr>
                  <w:rFonts w:ascii="Cambria Math" w:hAnsi="Cambria Math"/>
                </w:rPr>
                <m:t>ΔY</m:t>
              </m:r>
            </m:e>
            <m:sub>
              <m:r>
                <w:rPr>
                  <w:rFonts w:ascii="Cambria Math" w:hAnsi="Cambria Math"/>
                </w:rPr>
                <m:t>t</m:t>
              </m:r>
            </m:sub>
          </m:sSub>
          <m:r>
            <w:rPr>
              <w:rFonts w:ascii="Cambria Math" w:hAnsi="Cambria Math"/>
            </w:rPr>
            <m:t xml:space="preserve"> = α + </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 xml:space="preserve"> </m:t>
          </m:r>
          <m:sSub>
            <m:sSubPr>
              <m:ctrlPr>
                <w:rPr>
                  <w:rFonts w:ascii="Cambria Math" w:hAnsi="Cambria Math"/>
                </w:rPr>
              </m:ctrlPr>
            </m:sSubPr>
            <m:e>
              <m:r>
                <w:rPr>
                  <w:rFonts w:ascii="Cambria Math" w:hAnsi="Cambria Math"/>
                </w:rPr>
                <m:t>cash z</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inkind z</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cash z</m:t>
              </m:r>
            </m:e>
            <m:sub>
              <m:r>
                <w:rPr>
                  <w:rFonts w:ascii="Cambria Math" w:hAnsi="Cambria Math"/>
                </w:rPr>
                <m:t>t-1</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 xml:space="preserve"> </m:t>
          </m:r>
          <m:sSub>
            <m:sSubPr>
              <m:ctrlPr>
                <w:rPr>
                  <w:rFonts w:ascii="Cambria Math" w:hAnsi="Cambria Math"/>
                </w:rPr>
              </m:ctrlPr>
            </m:sSubPr>
            <m:e>
              <m:r>
                <w:rPr>
                  <w:rFonts w:ascii="Cambria Math" w:hAnsi="Cambria Math"/>
                </w:rPr>
                <m:t>inkind z</m:t>
              </m:r>
            </m:e>
            <m:sub>
              <m:r>
                <w:rPr>
                  <w:rFonts w:ascii="Cambria Math" w:hAnsi="Cambria Math"/>
                </w:rPr>
                <m:t>t-1</m:t>
              </m:r>
            </m:sub>
          </m:sSub>
          <m:r>
            <w:rPr>
              <w:rFonts w:ascii="Cambria Math" w:hAnsi="Cambria Math"/>
            </w:rPr>
            <m:t xml:space="preserve"> + ρ </m:t>
          </m:r>
          <m:sSub>
            <m:sSubPr>
              <m:ctrlPr>
                <w:rPr>
                  <w:rFonts w:ascii="Cambria Math" w:hAnsi="Cambria Math"/>
                </w:rPr>
              </m:ctrlPr>
            </m:sSubPr>
            <m:e>
              <m:r>
                <w:rPr>
                  <w:rFonts w:ascii="Cambria Math" w:hAnsi="Cambria Math"/>
                </w:rPr>
                <m:t>ΔY</m:t>
              </m:r>
            </m:e>
            <m:sub>
              <m:r>
                <w:rPr>
                  <w:rFonts w:ascii="Cambria Math" w:hAnsi="Cambria Math"/>
                </w:rPr>
                <m:t>t-1</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t</m:t>
              </m:r>
            </m:sub>
          </m:sSub>
        </m:oMath>
      </m:oMathPara>
    </w:p>
    <w:p w:rsidR="00B8365A" w:rsidRDefault="00000000">
      <w:r>
        <w:t>where:</w:t>
      </w:r>
    </w:p>
    <w:p w:rsidR="00B8365A" w:rsidRDefault="00000000">
      <w:pPr>
        <w:pStyle w:val="ListParagraph"/>
        <w:numPr>
          <w:ilvl w:val="0"/>
          <w:numId w:val="1"/>
        </w:numPr>
        <w:spacing w:after="80"/>
      </w:pPr>
      <w:r>
        <w:t>Y_t is either TPSO national CCI or the FPO mean regional RSI.</w:t>
      </w:r>
    </w:p>
    <w:p w:rsidR="00B8365A" w:rsidRDefault="00000000">
      <w:pPr>
        <w:pStyle w:val="ListParagraph"/>
        <w:numPr>
          <w:ilvl w:val="0"/>
          <w:numId w:val="1"/>
        </w:numPr>
        <w:spacing w:after="80"/>
      </w:pPr>
      <w:r>
        <w:t>Delta Y_t is the month-to-month change in that series.</w:t>
      </w:r>
    </w:p>
    <w:p w:rsidR="00B8365A" w:rsidRDefault="00000000">
      <w:pPr>
        <w:pStyle w:val="ListParagraph"/>
        <w:numPr>
          <w:ilvl w:val="0"/>
          <w:numId w:val="1"/>
        </w:numPr>
        <w:spacing w:after="80"/>
      </w:pPr>
      <w:r>
        <w:t>cash_z,t and inkind_z,t are the standardized monthly fiscal proxies.</w:t>
      </w:r>
    </w:p>
    <w:p w:rsidR="00B8365A" w:rsidRDefault="00000000">
      <w:pPr>
        <w:pStyle w:val="ListParagraph"/>
        <w:numPr>
          <w:ilvl w:val="0"/>
          <w:numId w:val="1"/>
        </w:numPr>
        <w:spacing w:after="80"/>
      </w:pPr>
      <w:r>
        <w:t>rho captures short-run persistence in monthly confidence changes.</w:t>
      </w:r>
    </w:p>
    <w:p w:rsidR="00B8365A" w:rsidRDefault="00000000">
      <w:r>
        <w:t>Interpretation:</w:t>
      </w:r>
    </w:p>
    <w:p w:rsidR="00B8365A" w:rsidRDefault="00000000">
      <w:pPr>
        <w:pStyle w:val="ListParagraph"/>
        <w:numPr>
          <w:ilvl w:val="0"/>
          <w:numId w:val="1"/>
        </w:numPr>
        <w:spacing w:after="80"/>
      </w:pPr>
      <w:r>
        <w:t>beta_0 measures the contemporaneous aggregate confidence response to cash intensity.</w:t>
      </w:r>
    </w:p>
    <w:p w:rsidR="00B8365A" w:rsidRDefault="00000000">
      <w:pPr>
        <w:pStyle w:val="ListParagraph"/>
        <w:numPr>
          <w:ilvl w:val="0"/>
          <w:numId w:val="1"/>
        </w:numPr>
        <w:spacing w:after="80"/>
      </w:pPr>
      <w:r>
        <w:t>beta_1 measures the contemporaneous aggregate confidence response to in-kind intensity.</w:t>
      </w:r>
    </w:p>
    <w:p w:rsidR="00B8365A" w:rsidRDefault="00000000">
      <w:pPr>
        <w:pStyle w:val="ListParagraph"/>
        <w:numPr>
          <w:ilvl w:val="0"/>
          <w:numId w:val="1"/>
        </w:numPr>
        <w:spacing w:after="80"/>
      </w:pPr>
      <w:r>
        <w:t>beta_2 and beta_3 capture one-month delayed effects.</w:t>
      </w:r>
    </w:p>
    <w:p w:rsidR="00B8365A" w:rsidRDefault="00000000">
      <w:r>
        <w:t>This model is intentionally parsimonious. It is designed to summarize the short-run macro association between transfer intensity and confidence, not to claim a fully structural causal estimate.</w:t>
      </w:r>
    </w:p>
    <w:p w:rsidR="00B8365A" w:rsidRDefault="00000000">
      <w:pPr>
        <w:pStyle w:val="Heading2"/>
        <w:spacing w:before="180"/>
      </w:pPr>
      <w:r>
        <w:t>5. Model B: Occupation-Level Two-Way Fixed Effects</w:t>
      </w:r>
    </w:p>
    <w:p w:rsidR="00B8365A" w:rsidRDefault="00000000">
      <w:r>
        <w:t>The main distributional model is:</w:t>
      </w:r>
    </w:p>
    <w:p w:rsidR="00B8365A" w:rsidRDefault="00000000">
      <w:pPr>
        <w:spacing w:before="120" w:after="140"/>
        <w:jc w:val="center"/>
      </w:pPr>
      <m:oMathPara>
        <m:oMath>
          <m:sSub>
            <m:sSubPr>
              <m:ctrlPr>
                <w:rPr>
                  <w:rFonts w:ascii="Cambria Math" w:hAnsi="Cambria Math"/>
                </w:rPr>
              </m:ctrlPr>
            </m:sSubPr>
            <m:e>
              <m:r>
                <w:rPr>
                  <w:rFonts w:ascii="Cambria Math" w:hAnsi="Cambria Math"/>
                </w:rPr>
                <m:t>Y</m:t>
              </m:r>
            </m:e>
            <m:sub>
              <m:r>
                <w:rPr>
                  <w:rFonts w:ascii="Cambria Math" w:hAnsi="Cambria Math"/>
                </w:rPr>
                <m:t>o,t</m:t>
              </m:r>
            </m:sub>
          </m:sSub>
          <m: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o</m:t>
              </m:r>
            </m:sub>
          </m:sSub>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θ</m:t>
              </m:r>
            </m:e>
            <m:sub>
              <m:r>
                <w:rPr>
                  <w:rFonts w:ascii="Cambria Math" w:hAnsi="Cambria Math"/>
                </w:rPr>
                <m:t>cash</m:t>
              </m:r>
            </m:sub>
          </m:sSub>
          <m: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LowInc</m:t>
                  </m:r>
                </m:e>
                <m:sub>
                  <m:r>
                    <w:rPr>
                      <w:rFonts w:ascii="Cambria Math" w:hAnsi="Cambria Math"/>
                    </w:rPr>
                    <m:t>o</m:t>
                  </m:r>
                </m:sub>
              </m:sSub>
              <m:r>
                <w:rPr>
                  <w:rFonts w:ascii="Cambria Math" w:hAnsi="Cambria Math"/>
                </w:rPr>
                <m:t xml:space="preserve"> × </m:t>
              </m:r>
              <m:sSub>
                <m:sSubPr>
                  <m:ctrlPr>
                    <w:rPr>
                      <w:rFonts w:ascii="Cambria Math" w:hAnsi="Cambria Math"/>
                    </w:rPr>
                  </m:ctrlPr>
                </m:sSubPr>
                <m:e>
                  <m:r>
                    <w:rPr>
                      <w:rFonts w:ascii="Cambria Math" w:hAnsi="Cambria Math"/>
                    </w:rPr>
                    <m:t>cash z</m:t>
                  </m:r>
                </m:e>
                <m:sub>
                  <m:r>
                    <w:rPr>
                      <w:rFonts w:ascii="Cambria Math" w:hAnsi="Cambria Math"/>
                    </w:rPr>
                    <m:t>t</m:t>
                  </m:r>
                </m:sub>
              </m:sSub>
            </m:e>
          </m:d>
          <m:r>
            <w:rPr>
              <w:rFonts w:ascii="Cambria Math" w:hAnsi="Cambria Math"/>
            </w:rPr>
            <m:t xml:space="preserve"> + </m:t>
          </m:r>
          <m:sSub>
            <m:sSubPr>
              <m:ctrlPr>
                <w:rPr>
                  <w:rFonts w:ascii="Cambria Math" w:hAnsi="Cambria Math"/>
                </w:rPr>
              </m:ctrlPr>
            </m:sSubPr>
            <m:e>
              <m:r>
                <w:rPr>
                  <w:rFonts w:ascii="Cambria Math" w:hAnsi="Cambria Math"/>
                </w:rPr>
                <m:t>θ</m:t>
              </m:r>
            </m:e>
            <m:sub>
              <m:r>
                <w:rPr>
                  <w:rFonts w:ascii="Cambria Math" w:hAnsi="Cambria Math"/>
                </w:rPr>
                <m:t>inkind</m:t>
              </m:r>
            </m:sub>
          </m:sSub>
          <m: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LowInc</m:t>
                  </m:r>
                </m:e>
                <m:sub>
                  <m:r>
                    <w:rPr>
                      <w:rFonts w:ascii="Cambria Math" w:hAnsi="Cambria Math"/>
                    </w:rPr>
                    <m:t>o</m:t>
                  </m:r>
                </m:sub>
              </m:sSub>
              <m:r>
                <w:rPr>
                  <w:rFonts w:ascii="Cambria Math" w:hAnsi="Cambria Math"/>
                </w:rPr>
                <m:t xml:space="preserve"> × </m:t>
              </m:r>
              <m:sSub>
                <m:sSubPr>
                  <m:ctrlPr>
                    <w:rPr>
                      <w:rFonts w:ascii="Cambria Math" w:hAnsi="Cambria Math"/>
                    </w:rPr>
                  </m:ctrlPr>
                </m:sSubPr>
                <m:e>
                  <m:r>
                    <w:rPr>
                      <w:rFonts w:ascii="Cambria Math" w:hAnsi="Cambria Math"/>
                    </w:rPr>
                    <m:t>inkind z</m:t>
                  </m:r>
                </m:e>
                <m:sub>
                  <m:r>
                    <w:rPr>
                      <w:rFonts w:ascii="Cambria Math" w:hAnsi="Cambria Math"/>
                    </w:rPr>
                    <m:t>t</m:t>
                  </m:r>
                </m:sub>
              </m:sSub>
            </m:e>
          </m:d>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o,t</m:t>
              </m:r>
            </m:sub>
          </m:sSub>
        </m:oMath>
      </m:oMathPara>
    </w:p>
    <w:p w:rsidR="00B8365A" w:rsidRDefault="00000000">
      <w:r>
        <w:lastRenderedPageBreak/>
        <w:t>where:</w:t>
      </w:r>
    </w:p>
    <w:p w:rsidR="00B8365A" w:rsidRDefault="00000000">
      <w:pPr>
        <w:pStyle w:val="ListParagraph"/>
        <w:numPr>
          <w:ilvl w:val="0"/>
          <w:numId w:val="1"/>
        </w:numPr>
        <w:spacing w:after="80"/>
      </w:pPr>
      <w:r>
        <w:t>alpha_o are occupation fixed effects.</w:t>
      </w:r>
    </w:p>
    <w:p w:rsidR="00B8365A" w:rsidRDefault="00000000">
      <w:pPr>
        <w:pStyle w:val="ListParagraph"/>
        <w:numPr>
          <w:ilvl w:val="0"/>
          <w:numId w:val="1"/>
        </w:numPr>
        <w:spacing w:after="80"/>
      </w:pPr>
      <w:r>
        <w:t>lambda_t are full date fixed effects, one for each monthly observation in the panel.</w:t>
      </w:r>
    </w:p>
    <w:p w:rsidR="00B8365A" w:rsidRDefault="00000000">
      <w:pPr>
        <w:pStyle w:val="ListParagraph"/>
        <w:numPr>
          <w:ilvl w:val="0"/>
          <w:numId w:val="1"/>
        </w:numPr>
        <w:spacing w:after="80"/>
      </w:pPr>
      <w:r>
        <w:t>Y_o,t is either cci_o,t or future_o,t.</w:t>
      </w:r>
    </w:p>
    <w:p w:rsidR="00B8365A" w:rsidRDefault="00000000">
      <w:r>
        <w:t>Important identification point:</w:t>
      </w:r>
    </w:p>
    <w:p w:rsidR="00B8365A" w:rsidRDefault="00000000">
      <w:pPr>
        <w:pStyle w:val="ListParagraph"/>
        <w:numPr>
          <w:ilvl w:val="0"/>
          <w:numId w:val="1"/>
        </w:numPr>
        <w:spacing w:after="80"/>
      </w:pPr>
      <w:r>
        <w:t>Because lambda_t absorbs all common monthly shocks, the main effects of cash_z,t and inkind_z,t are fully absorbed.</w:t>
      </w:r>
    </w:p>
    <w:p w:rsidR="00B8365A" w:rsidRDefault="00000000">
      <w:pPr>
        <w:pStyle w:val="ListParagraph"/>
        <w:numPr>
          <w:ilvl w:val="0"/>
          <w:numId w:val="1"/>
        </w:numPr>
        <w:spacing w:after="80"/>
      </w:pPr>
      <w:r>
        <w:t>The model therefore identifies only the relative response of low-income-sensitive occupations compared with better-insulated occupations in high-transfer months.</w:t>
      </w:r>
    </w:p>
    <w:p w:rsidR="00B8365A" w:rsidRDefault="00000000">
      <w:r>
        <w:t>Interpretation:</w:t>
      </w:r>
    </w:p>
    <w:p w:rsidR="00B8365A" w:rsidRDefault="00000000">
      <w:pPr>
        <w:pStyle w:val="ListParagraph"/>
        <w:numPr>
          <w:ilvl w:val="0"/>
          <w:numId w:val="1"/>
        </w:numPr>
        <w:spacing w:after="80"/>
      </w:pPr>
      <w:r>
        <w:t>theta_cash &gt; 0 would mean cash-heavy months narrow the vulnerable-group confidence gap.</w:t>
      </w:r>
    </w:p>
    <w:p w:rsidR="00B8365A" w:rsidRDefault="00000000">
      <w:pPr>
        <w:pStyle w:val="ListParagraph"/>
        <w:numPr>
          <w:ilvl w:val="0"/>
          <w:numId w:val="1"/>
        </w:numPr>
        <w:spacing w:after="80"/>
      </w:pPr>
      <w:r>
        <w:t>theta_cash &lt; 0 means cash-heavy months are associated with a wider gap or a weaker relative recovery for exposed groups.</w:t>
      </w:r>
    </w:p>
    <w:p w:rsidR="00B8365A" w:rsidRDefault="00000000">
      <w:pPr>
        <w:pStyle w:val="ListParagraph"/>
        <w:numPr>
          <w:ilvl w:val="0"/>
          <w:numId w:val="1"/>
        </w:numPr>
        <w:spacing w:after="80"/>
      </w:pPr>
      <w:r>
        <w:t>theta_inkind is interpreted the same way for in-kind support.</w:t>
      </w:r>
    </w:p>
    <w:p w:rsidR="00B8365A" w:rsidRDefault="00000000">
      <w:pPr>
        <w:pStyle w:val="Heading2"/>
        <w:spacing w:before="180"/>
      </w:pPr>
      <w:r>
        <w:t>6. Model C: Local Projections</w:t>
      </w:r>
    </w:p>
    <w:p w:rsidR="00B8365A" w:rsidRDefault="00000000">
      <w:r>
        <w:t>To trace the short-run dynamics, the report estimates a local-projection specification for horizons h = 0, 1, 2, 3:</w:t>
      </w:r>
    </w:p>
    <w:p w:rsidR="00B8365A" w:rsidRDefault="00000000">
      <w:pPr>
        <w:spacing w:before="120" w:after="140"/>
        <w:jc w:val="center"/>
      </w:pPr>
      <m:oMathPara>
        <m:oMath>
          <m:sSub>
            <m:sSubPr>
              <m:ctrlPr>
                <w:rPr>
                  <w:rFonts w:ascii="Cambria Math" w:hAnsi="Cambria Math"/>
                </w:rPr>
              </m:ctrlPr>
            </m:sSubPr>
            <m:e>
              <m:r>
                <w:rPr>
                  <w:rFonts w:ascii="Cambria Math" w:hAnsi="Cambria Math"/>
                </w:rPr>
                <m:t>Y</m:t>
              </m:r>
            </m:e>
            <m:sub>
              <m:r>
                <w:rPr>
                  <w:rFonts w:ascii="Cambria Math" w:hAnsi="Cambria Math"/>
                </w:rPr>
                <m:t>o,t+h</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o,t-1</m:t>
              </m:r>
            </m:sub>
          </m:sSub>
          <m: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o,h</m:t>
              </m:r>
            </m:sub>
          </m:sSub>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t,h</m:t>
              </m:r>
            </m:sub>
          </m:sSub>
          <m:r>
            <w:rPr>
              <w:rFonts w:ascii="Cambria Math" w:hAnsi="Cambria Math"/>
            </w:rPr>
            <m:t xml:space="preserve"> + </m:t>
          </m:r>
          <m:sSub>
            <m:sSubPr>
              <m:ctrlPr>
                <w:rPr>
                  <w:rFonts w:ascii="Cambria Math" w:hAnsi="Cambria Math"/>
                </w:rPr>
              </m:ctrlPr>
            </m:sSubPr>
            <m:e>
              <m:r>
                <w:rPr>
                  <w:rFonts w:ascii="Cambria Math" w:hAnsi="Cambria Math"/>
                </w:rPr>
                <m:t>ψ</m:t>
              </m:r>
            </m:e>
            <m:sub>
              <m:r>
                <w:rPr>
                  <w:rFonts w:ascii="Cambria Math" w:hAnsi="Cambria Math"/>
                </w:rPr>
                <m:t>cash,h</m:t>
              </m:r>
            </m:sub>
          </m:sSub>
          <m: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LowInc</m:t>
                  </m:r>
                </m:e>
                <m:sub>
                  <m:r>
                    <w:rPr>
                      <w:rFonts w:ascii="Cambria Math" w:hAnsi="Cambria Math"/>
                    </w:rPr>
                    <m:t>o</m:t>
                  </m:r>
                </m:sub>
              </m:sSub>
              <m:r>
                <w:rPr>
                  <w:rFonts w:ascii="Cambria Math" w:hAnsi="Cambria Math"/>
                </w:rPr>
                <m:t xml:space="preserve"> × </m:t>
              </m:r>
              <m:sSub>
                <m:sSubPr>
                  <m:ctrlPr>
                    <w:rPr>
                      <w:rFonts w:ascii="Cambria Math" w:hAnsi="Cambria Math"/>
                    </w:rPr>
                  </m:ctrlPr>
                </m:sSubPr>
                <m:e>
                  <m:r>
                    <w:rPr>
                      <w:rFonts w:ascii="Cambria Math" w:hAnsi="Cambria Math"/>
                    </w:rPr>
                    <m:t>cash z</m:t>
                  </m:r>
                </m:e>
                <m:sub>
                  <m:r>
                    <w:rPr>
                      <w:rFonts w:ascii="Cambria Math" w:hAnsi="Cambria Math"/>
                    </w:rPr>
                    <m:t>t</m:t>
                  </m:r>
                </m:sub>
              </m:sSub>
            </m:e>
          </m:d>
          <m:r>
            <w:rPr>
              <w:rFonts w:ascii="Cambria Math" w:hAnsi="Cambria Math"/>
            </w:rPr>
            <m:t xml:space="preserve"> + </m:t>
          </m:r>
          <m:sSub>
            <m:sSubPr>
              <m:ctrlPr>
                <w:rPr>
                  <w:rFonts w:ascii="Cambria Math" w:hAnsi="Cambria Math"/>
                </w:rPr>
              </m:ctrlPr>
            </m:sSubPr>
            <m:e>
              <m:r>
                <w:rPr>
                  <w:rFonts w:ascii="Cambria Math" w:hAnsi="Cambria Math"/>
                </w:rPr>
                <m:t>ψ</m:t>
              </m:r>
            </m:e>
            <m:sub>
              <m:r>
                <w:rPr>
                  <w:rFonts w:ascii="Cambria Math" w:hAnsi="Cambria Math"/>
                </w:rPr>
                <m:t>inkind,h</m:t>
              </m:r>
            </m:sub>
          </m:sSub>
          <m: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LowInc</m:t>
                  </m:r>
                </m:e>
                <m:sub>
                  <m:r>
                    <w:rPr>
                      <w:rFonts w:ascii="Cambria Math" w:hAnsi="Cambria Math"/>
                    </w:rPr>
                    <m:t>o</m:t>
                  </m:r>
                </m:sub>
              </m:sSub>
              <m:r>
                <w:rPr>
                  <w:rFonts w:ascii="Cambria Math" w:hAnsi="Cambria Math"/>
                </w:rPr>
                <m:t xml:space="preserve"> × </m:t>
              </m:r>
              <m:sSub>
                <m:sSubPr>
                  <m:ctrlPr>
                    <w:rPr>
                      <w:rFonts w:ascii="Cambria Math" w:hAnsi="Cambria Math"/>
                    </w:rPr>
                  </m:ctrlPr>
                </m:sSubPr>
                <m:e>
                  <m:r>
                    <w:rPr>
                      <w:rFonts w:ascii="Cambria Math" w:hAnsi="Cambria Math"/>
                    </w:rPr>
                    <m:t>inkind z</m:t>
                  </m:r>
                </m:e>
                <m:sub>
                  <m:r>
                    <w:rPr>
                      <w:rFonts w:ascii="Cambria Math" w:hAnsi="Cambria Math"/>
                    </w:rPr>
                    <m:t>t</m:t>
                  </m:r>
                </m:sub>
              </m:sSub>
            </m:e>
          </m:d>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o,t+h</m:t>
              </m:r>
            </m:sub>
          </m:sSub>
        </m:oMath>
      </m:oMathPara>
    </w:p>
    <w:p w:rsidR="00B8365A" w:rsidRDefault="00000000">
      <w:r>
        <w:t>where:</w:t>
      </w:r>
    </w:p>
    <w:p w:rsidR="00B8365A" w:rsidRDefault="00000000">
      <w:pPr>
        <w:pStyle w:val="ListParagraph"/>
        <w:numPr>
          <w:ilvl w:val="0"/>
          <w:numId w:val="1"/>
        </w:numPr>
        <w:spacing w:after="80"/>
      </w:pPr>
      <w:r>
        <w:t>the left-hand side is the cumulative change from t-1 to t+h,</w:t>
      </w:r>
    </w:p>
    <w:p w:rsidR="00B8365A" w:rsidRDefault="00000000">
      <w:pPr>
        <w:pStyle w:val="ListParagraph"/>
        <w:numPr>
          <w:ilvl w:val="0"/>
          <w:numId w:val="1"/>
        </w:numPr>
        <w:spacing w:after="80"/>
      </w:pPr>
      <w:r>
        <w:t>alpha_o,h and lambda_t,h are horizon-specific occupation and time fixed effects.</w:t>
      </w:r>
    </w:p>
    <w:p w:rsidR="00B8365A" w:rsidRDefault="00000000">
      <w:r>
        <w:t>Interpretation:</w:t>
      </w:r>
    </w:p>
    <w:p w:rsidR="00B8365A" w:rsidRDefault="00000000">
      <w:pPr>
        <w:pStyle w:val="ListParagraph"/>
        <w:numPr>
          <w:ilvl w:val="0"/>
          <w:numId w:val="1"/>
        </w:numPr>
        <w:spacing w:after="80"/>
      </w:pPr>
      <w:r>
        <w:t>psi_cash,h and psi_inkind,h show how the relative confidence response of vulnerable occupations evolves over the next 0 to 3 months after a high-transfer month.</w:t>
      </w:r>
    </w:p>
    <w:p w:rsidR="00B8365A" w:rsidRDefault="00000000">
      <w:pPr>
        <w:pStyle w:val="Heading2"/>
        <w:spacing w:before="180"/>
      </w:pPr>
      <w:r>
        <w:t>7. Estimation and Variance Formulas</w:t>
      </w:r>
    </w:p>
    <w:p w:rsidR="00B8365A" w:rsidRDefault="00000000">
      <w:r>
        <w:t>The occupation-panel models are estimated with ordinary least squares after exact two-way demeaning. Let X be the matrix of demeaned regressors and u the residual vector. The clustered variance estimator is:</w:t>
      </w:r>
    </w:p>
    <w:p w:rsidR="00B8365A" w:rsidRDefault="00000000">
      <w:pPr>
        <w:spacing w:before="120" w:after="140"/>
        <w:jc w:val="center"/>
      </w:pPr>
      <m:oMathPara>
        <m:oMath>
          <m:sSub>
            <m:sSubPr>
              <m:ctrlPr>
                <w:rPr>
                  <w:rFonts w:ascii="Cambria Math" w:hAnsi="Cambria Math"/>
                </w:rPr>
              </m:ctrlPr>
            </m:sSubPr>
            <m:e>
              <m:r>
                <w:rPr>
                  <w:rFonts w:ascii="Cambria Math" w:hAnsi="Cambria Math"/>
                </w:rPr>
                <m:t>V</m:t>
              </m:r>
            </m:e>
            <m:sub>
              <m:r>
                <w:rPr>
                  <w:rFonts w:ascii="Cambria Math" w:hAnsi="Cambria Math"/>
                </w:rPr>
                <m:t>cluster</m:t>
              </m:r>
            </m:sub>
          </m:sSub>
          <m:r>
            <w:rPr>
              <w:rFonts w:ascii="Cambria Math" w:hAnsi="Cambria Math"/>
            </w:rPr>
            <m:t xml:space="preserve"> = s </m:t>
          </m:r>
          <m:sSup>
            <m:sSupPr>
              <m:ctrlPr>
                <w:rPr>
                  <w:rFonts w:ascii="Cambria Math" w:hAnsi="Cambria Math"/>
                </w:rPr>
              </m:ctrlPr>
            </m:sSupPr>
            <m:e>
              <m:d>
                <m:dPr>
                  <m:ctrlPr>
                    <w:rPr>
                      <w:rFonts w:ascii="Cambria Math" w:hAnsi="Cambria Math"/>
                    </w:rPr>
                  </m:ctrlPr>
                </m:dPr>
                <m:e>
                  <m:r>
                    <w:rPr>
                      <w:rFonts w:ascii="Cambria Math" w:hAnsi="Cambria Math"/>
                    </w:rPr>
                    <m:t>X'X</m:t>
                  </m:r>
                </m:e>
              </m:d>
            </m:e>
            <m:sup>
              <m:r>
                <w:rPr>
                  <w:rFonts w:ascii="Cambria Math" w:hAnsi="Cambria Math"/>
                </w:rPr>
                <m:t>-1</m:t>
              </m:r>
            </m:sup>
          </m:sSup>
          <m:r>
            <w:rPr>
              <w:rFonts w:ascii="Cambria Math" w:hAnsi="Cambria Math"/>
            </w:rPr>
            <m:t xml:space="preserve"> </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g</m:t>
                  </m:r>
                </m:sub>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g</m:t>
                          </m:r>
                        </m:sub>
                      </m:sSub>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g</m:t>
                          </m:r>
                        </m:sub>
                      </m:sSub>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g</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g</m:t>
                          </m:r>
                        </m:sub>
                      </m:sSub>
                    </m:e>
                  </m:d>
                </m:e>
              </m:nary>
            </m:e>
          </m:d>
          <m:r>
            <w:rPr>
              <w:rFonts w:ascii="Cambria Math" w:hAnsi="Cambria Math"/>
            </w:rPr>
            <m:t xml:space="preserve"> </m:t>
          </m:r>
          <m:sSup>
            <m:sSupPr>
              <m:ctrlPr>
                <w:rPr>
                  <w:rFonts w:ascii="Cambria Math" w:hAnsi="Cambria Math"/>
                </w:rPr>
              </m:ctrlPr>
            </m:sSupPr>
            <m:e>
              <m:d>
                <m:dPr>
                  <m:ctrlPr>
                    <w:rPr>
                      <w:rFonts w:ascii="Cambria Math" w:hAnsi="Cambria Math"/>
                    </w:rPr>
                  </m:ctrlPr>
                </m:dPr>
                <m:e>
                  <m:r>
                    <w:rPr>
                      <w:rFonts w:ascii="Cambria Math" w:hAnsi="Cambria Math"/>
                    </w:rPr>
                    <m:t>X'X</m:t>
                  </m:r>
                </m:e>
              </m:d>
            </m:e>
            <m:sup>
              <m:r>
                <w:rPr>
                  <w:rFonts w:ascii="Cambria Math" w:hAnsi="Cambria Math"/>
                </w:rPr>
                <m:t>-1</m:t>
              </m:r>
            </m:sup>
          </m:sSup>
        </m:oMath>
      </m:oMathPara>
    </w:p>
    <w:p w:rsidR="00B8365A" w:rsidRDefault="00000000">
      <w:r>
        <w:t>where g indexes monthly clusters and:</w:t>
      </w:r>
    </w:p>
    <w:p w:rsidR="00B8365A" w:rsidRDefault="00000000">
      <w:pPr>
        <w:spacing w:before="120" w:after="140"/>
        <w:jc w:val="center"/>
      </w:pPr>
      <m:oMathPara>
        <m:oMath>
          <m:r>
            <w:rPr>
              <w:rFonts w:ascii="Cambria Math" w:hAnsi="Cambria Math"/>
            </w:rPr>
            <m:t xml:space="preserve">s = </m:t>
          </m:r>
          <m:d>
            <m:dPr>
              <m:ctrlPr>
                <w:rPr>
                  <w:rFonts w:ascii="Cambria Math" w:hAnsi="Cambria Math"/>
                </w:rPr>
              </m:ctrlPr>
            </m:dPr>
            <m:e>
              <m:f>
                <m:fPr>
                  <m:ctrlPr>
                    <w:rPr>
                      <w:rFonts w:ascii="Cambria Math" w:hAnsi="Cambria Math"/>
                    </w:rPr>
                  </m:ctrlPr>
                </m:fPr>
                <m:num>
                  <m:r>
                    <w:rPr>
                      <w:rFonts w:ascii="Cambria Math" w:hAnsi="Cambria Math"/>
                    </w:rPr>
                    <m:t>M</m:t>
                  </m:r>
                </m:num>
                <m:den>
                  <m:r>
                    <w:rPr>
                      <w:rFonts w:ascii="Cambria Math" w:hAnsi="Cambria Math"/>
                    </w:rPr>
                    <m:t>M - 1</m:t>
                  </m:r>
                </m:den>
              </m:f>
            </m:e>
          </m:d>
          <m:r>
            <w:rPr>
              <w:rFonts w:ascii="Cambria Math" w:hAnsi="Cambria Math"/>
            </w:rPr>
            <m:t xml:space="preserve"> </m:t>
          </m:r>
          <m:d>
            <m:dPr>
              <m:ctrlPr>
                <w:rPr>
                  <w:rFonts w:ascii="Cambria Math" w:hAnsi="Cambria Math"/>
                </w:rPr>
              </m:ctrlPr>
            </m:dPr>
            <m:e>
              <m:f>
                <m:fPr>
                  <m:ctrlPr>
                    <w:rPr>
                      <w:rFonts w:ascii="Cambria Math" w:hAnsi="Cambria Math"/>
                    </w:rPr>
                  </m:ctrlPr>
                </m:fPr>
                <m:num>
                  <m:r>
                    <w:rPr>
                      <w:rFonts w:ascii="Cambria Math" w:hAnsi="Cambria Math"/>
                    </w:rPr>
                    <m:t>N - 1</m:t>
                  </m:r>
                </m:num>
                <m:den>
                  <m:r>
                    <w:rPr>
                      <w:rFonts w:ascii="Cambria Math" w:hAnsi="Cambria Math"/>
                    </w:rPr>
                    <m:t>N - K</m:t>
                  </m:r>
                </m:den>
              </m:f>
            </m:e>
          </m:d>
        </m:oMath>
      </m:oMathPara>
    </w:p>
    <w:p w:rsidR="00B8365A" w:rsidRDefault="00000000">
      <w:pPr>
        <w:pStyle w:val="ListParagraph"/>
        <w:numPr>
          <w:ilvl w:val="0"/>
          <w:numId w:val="1"/>
        </w:numPr>
        <w:spacing w:after="80"/>
      </w:pPr>
      <w:r>
        <w:t>M is the number of clusters</w:t>
      </w:r>
    </w:p>
    <w:p w:rsidR="00B8365A" w:rsidRDefault="00000000">
      <w:pPr>
        <w:pStyle w:val="ListParagraph"/>
        <w:numPr>
          <w:ilvl w:val="0"/>
          <w:numId w:val="1"/>
        </w:numPr>
        <w:spacing w:after="80"/>
      </w:pPr>
      <w:r>
        <w:t>N is the number of observations</w:t>
      </w:r>
    </w:p>
    <w:p w:rsidR="00B8365A" w:rsidRDefault="00000000">
      <w:pPr>
        <w:pStyle w:val="ListParagraph"/>
        <w:numPr>
          <w:ilvl w:val="0"/>
          <w:numId w:val="1"/>
        </w:numPr>
        <w:spacing w:after="80"/>
      </w:pPr>
      <w:r>
        <w:t>K is the number of regressors</w:t>
      </w:r>
    </w:p>
    <w:p w:rsidR="00B8365A" w:rsidRDefault="00000000">
      <w:r>
        <w:lastRenderedPageBreak/>
        <w:t>Thus the occupation models use month-clustered robust standard errors with the small-sample correction above.</w:t>
      </w:r>
    </w:p>
    <w:p w:rsidR="00B8365A" w:rsidRDefault="00000000">
      <w:r>
        <w:t>The national change models use a Newey-West style HAC estimator with Bartlett weights and lag length L = 3:</w:t>
      </w:r>
    </w:p>
    <w:p w:rsidR="00B8365A" w:rsidRDefault="00000000">
      <w:pPr>
        <w:spacing w:before="120" w:after="140"/>
        <w:jc w:val="center"/>
      </w:pPr>
      <m:oMathPara>
        <m:oMath>
          <m:sSub>
            <m:sSubPr>
              <m:ctrlPr>
                <w:rPr>
                  <w:rFonts w:ascii="Cambria Math" w:hAnsi="Cambria Math"/>
                </w:rPr>
              </m:ctrlPr>
            </m:sSubPr>
            <m:e>
              <m:r>
                <w:rPr>
                  <w:rFonts w:ascii="Cambria Math" w:hAnsi="Cambria Math"/>
                </w:rPr>
                <m:t>V</m:t>
              </m:r>
            </m:e>
            <m:sub>
              <m:r>
                <w:rPr>
                  <w:rFonts w:ascii="Cambria Math" w:hAnsi="Cambria Math"/>
                </w:rPr>
                <m:t>HAC</m:t>
              </m:r>
            </m:sub>
          </m:sSub>
          <m:r>
            <w:rPr>
              <w:rFonts w:ascii="Cambria Math" w:hAnsi="Cambria Math"/>
            </w:rPr>
            <m:t xml:space="preserve"> = </m:t>
          </m:r>
          <m:sSup>
            <m:sSupPr>
              <m:ctrlPr>
                <w:rPr>
                  <w:rFonts w:ascii="Cambria Math" w:hAnsi="Cambria Math"/>
                </w:rPr>
              </m:ctrlPr>
            </m:sSupPr>
            <m:e>
              <m:d>
                <m:dPr>
                  <m:ctrlPr>
                    <w:rPr>
                      <w:rFonts w:ascii="Cambria Math" w:hAnsi="Cambria Math"/>
                    </w:rPr>
                  </m:ctrlPr>
                </m:dPr>
                <m:e>
                  <m:r>
                    <w:rPr>
                      <w:rFonts w:ascii="Cambria Math" w:hAnsi="Cambria Math"/>
                    </w:rPr>
                    <m:t>X'X</m:t>
                  </m:r>
                </m:e>
              </m:d>
            </m:e>
            <m:sup>
              <m:r>
                <w:rPr>
                  <w:rFonts w:ascii="Cambria Math" w:hAnsi="Cambria Math"/>
                </w:rPr>
                <m:t>-1</m:t>
              </m:r>
            </m:sup>
          </m:sSup>
          <m:r>
            <w:rPr>
              <w:rFonts w:ascii="Cambria Math" w:hAnsi="Cambria Math"/>
            </w:rPr>
            <m:t xml:space="preserve"> S </m:t>
          </m:r>
          <m:sSup>
            <m:sSupPr>
              <m:ctrlPr>
                <w:rPr>
                  <w:rFonts w:ascii="Cambria Math" w:hAnsi="Cambria Math"/>
                </w:rPr>
              </m:ctrlPr>
            </m:sSupPr>
            <m:e>
              <m:d>
                <m:dPr>
                  <m:ctrlPr>
                    <w:rPr>
                      <w:rFonts w:ascii="Cambria Math" w:hAnsi="Cambria Math"/>
                    </w:rPr>
                  </m:ctrlPr>
                </m:dPr>
                <m:e>
                  <m:r>
                    <w:rPr>
                      <w:rFonts w:ascii="Cambria Math" w:hAnsi="Cambria Math"/>
                    </w:rPr>
                    <m:t>X'X</m:t>
                  </m:r>
                </m:e>
              </m:d>
            </m:e>
            <m:sup>
              <m:r>
                <w:rPr>
                  <w:rFonts w:ascii="Cambria Math" w:hAnsi="Cambria Math"/>
                </w:rPr>
                <m:t>-1</m:t>
              </m:r>
            </m:sup>
          </m:sSup>
        </m:oMath>
      </m:oMathPara>
    </w:p>
    <w:p w:rsidR="00B8365A" w:rsidRDefault="00000000">
      <w:r>
        <w:t>where:</w:t>
      </w:r>
    </w:p>
    <w:p w:rsidR="00B8365A" w:rsidRDefault="00000000">
      <w:pPr>
        <w:spacing w:before="120" w:after="140"/>
        <w:jc w:val="center"/>
      </w:pPr>
      <m:oMathPara>
        <m:oMath>
          <m:r>
            <w:rPr>
              <w:rFonts w:ascii="Cambria Math" w:hAnsi="Cambria Math"/>
            </w:rPr>
            <m:t>S = Σₜ uₜ² xₜ xₜ' + Σ</m:t>
          </m:r>
          <m:r>
            <m:rPr>
              <m:scr m:val="script"/>
            </m:rPr>
            <w:rPr>
              <w:rFonts w:ascii="Cambria Math" w:hAnsi="Cambria Math"/>
            </w:rPr>
            <m:t>l₌₁ᴸ</m:t>
          </m:r>
          <m:r>
            <w:rPr>
              <w:rFonts w:ascii="Cambria Math" w:hAnsi="Cambria Math"/>
            </w:rPr>
            <m:t xml:space="preserve"> (1 - </m:t>
          </m:r>
          <m:r>
            <m:rPr>
              <m:scr m:val="script"/>
            </m:rPr>
            <w:rPr>
              <w:rFonts w:ascii="Cambria Math" w:hAnsi="Cambria Math"/>
            </w:rPr>
            <m:t>l/(</m:t>
          </m:r>
          <m:r>
            <w:rPr>
              <w:rFonts w:ascii="Cambria Math" w:hAnsi="Cambria Math"/>
            </w:rPr>
            <m:t>L+1)) Σ</m:t>
          </m:r>
          <m:r>
            <m:rPr>
              <m:scr m:val="script"/>
            </m:rPr>
            <w:rPr>
              <w:rFonts w:ascii="Cambria Math" w:hAnsi="Cambria Math"/>
            </w:rPr>
            <m:t xml:space="preserve">ₜ₌l₊₁ᵀ </m:t>
          </m:r>
          <m:r>
            <w:rPr>
              <w:rFonts w:ascii="Cambria Math" w:hAnsi="Cambria Math"/>
            </w:rPr>
            <m:t>uₜ u</m:t>
          </m:r>
          <m:r>
            <m:rPr>
              <m:scr m:val="script"/>
            </m:rPr>
            <w:rPr>
              <w:rFonts w:ascii="Cambria Math" w:hAnsi="Cambria Math"/>
            </w:rPr>
            <m:t>ₜ₋l (</m:t>
          </m:r>
          <m:r>
            <w:rPr>
              <w:rFonts w:ascii="Cambria Math" w:hAnsi="Cambria Math"/>
            </w:rPr>
            <m:t>xₜ x</m:t>
          </m:r>
          <m:r>
            <m:rPr>
              <m:scr m:val="script"/>
            </m:rPr>
            <w:rPr>
              <w:rFonts w:ascii="Cambria Math" w:hAnsi="Cambria Math"/>
            </w:rPr>
            <m:t xml:space="preserve">ₜ₋l' + </m:t>
          </m:r>
          <m:r>
            <w:rPr>
              <w:rFonts w:ascii="Cambria Math" w:hAnsi="Cambria Math"/>
            </w:rPr>
            <m:t>x</m:t>
          </m:r>
          <m:r>
            <m:rPr>
              <m:scr m:val="script"/>
            </m:rPr>
            <w:rPr>
              <w:rFonts w:ascii="Cambria Math" w:hAnsi="Cambria Math"/>
            </w:rPr>
            <m:t xml:space="preserve">ₜ₋l </m:t>
          </m:r>
          <m:r>
            <w:rPr>
              <w:rFonts w:ascii="Cambria Math" w:hAnsi="Cambria Math"/>
            </w:rPr>
            <m:t>xₜ')</m:t>
          </m:r>
        </m:oMath>
      </m:oMathPara>
    </w:p>
    <w:p w:rsidR="00B8365A" w:rsidRDefault="00000000">
      <w:r>
        <w:t>The report uses 90 percent confidence intervals, computed as coefficient plus or minus 1.645 standard errors.</w:t>
      </w:r>
    </w:p>
    <w:p w:rsidR="00B8365A" w:rsidRDefault="00000000">
      <w:pPr>
        <w:pStyle w:val="Heading2"/>
        <w:spacing w:before="180"/>
      </w:pPr>
      <w:r>
        <w:t>8. Identification Assumptions and Limits</w:t>
      </w:r>
    </w:p>
    <w:p w:rsidR="00B8365A" w:rsidRDefault="00000000">
      <w:r>
        <w:t>The key identifying assumption is not that transfers are exogenous. The design is more modest.</w:t>
      </w:r>
    </w:p>
    <w:p w:rsidR="00B8365A" w:rsidRDefault="00000000">
      <w:pPr>
        <w:pStyle w:val="ListParagraph"/>
        <w:numPr>
          <w:ilvl w:val="0"/>
          <w:numId w:val="1"/>
        </w:numPr>
        <w:spacing w:after="80"/>
      </w:pPr>
      <w:r>
        <w:t>In the national change models, the coefficients measure conditional short-run comovement after partial control for persistence.</w:t>
      </w:r>
    </w:p>
    <w:p w:rsidR="00B8365A" w:rsidRDefault="00000000">
      <w:pPr>
        <w:pStyle w:val="ListParagraph"/>
        <w:numPr>
          <w:ilvl w:val="0"/>
          <w:numId w:val="1"/>
        </w:numPr>
        <w:spacing w:after="80"/>
      </w:pPr>
      <w:r>
        <w:t>In the occupation TWFE and local-projection models, the identifying variation comes from whether exposed occupations move differently than non-exposed occupations in the same month when transfer intensity is high.</w:t>
      </w:r>
    </w:p>
    <w:p w:rsidR="00B8365A" w:rsidRDefault="00000000">
      <w:r>
        <w:t>That is a stronger design than a pure before-after comparison, but it still has limits:</w:t>
      </w:r>
    </w:p>
    <w:p w:rsidR="00B8365A" w:rsidRDefault="00000000">
      <w:pPr>
        <w:pStyle w:val="ListParagraph"/>
        <w:numPr>
          <w:ilvl w:val="0"/>
          <w:numId w:val="1"/>
        </w:numPr>
        <w:spacing w:after="80"/>
      </w:pPr>
      <w:r>
        <w:t>The monthly fiscal proxy is modeled, not directly observed.</w:t>
      </w:r>
    </w:p>
    <w:p w:rsidR="00B8365A" w:rsidRDefault="00000000">
      <w:pPr>
        <w:pStyle w:val="ListParagraph"/>
        <w:numPr>
          <w:ilvl w:val="0"/>
          <w:numId w:val="1"/>
        </w:numPr>
        <w:spacing w:after="80"/>
      </w:pPr>
      <w:r>
        <w:t>Policy intensity is coded from rollout timing rather than from actual monthly disbursement ledgers.</w:t>
      </w:r>
    </w:p>
    <w:p w:rsidR="00B8365A" w:rsidRDefault="00000000">
      <w:pPr>
        <w:pStyle w:val="ListParagraph"/>
        <w:numPr>
          <w:ilvl w:val="0"/>
          <w:numId w:val="1"/>
        </w:numPr>
        <w:spacing w:after="80"/>
      </w:pPr>
      <w:r>
        <w:t>Some transfer programs may be endogenous to deteriorating conditions, especially in 2020-2021.</w:t>
      </w:r>
    </w:p>
    <w:p w:rsidR="00B8365A" w:rsidRDefault="00000000">
      <w:pPr>
        <w:pStyle w:val="ListParagraph"/>
        <w:numPr>
          <w:ilvl w:val="0"/>
          <w:numId w:val="1"/>
        </w:numPr>
        <w:spacing w:after="80"/>
      </w:pPr>
      <w:r>
        <w:t>The exposure dummy is deliberately simple and may understate heterogeneity within occupations.</w:t>
      </w:r>
    </w:p>
    <w:p w:rsidR="00B8365A" w:rsidRDefault="00000000">
      <w:pPr>
        <w:pStyle w:val="ListParagraph"/>
        <w:numPr>
          <w:ilvl w:val="0"/>
          <w:numId w:val="1"/>
        </w:numPr>
        <w:spacing w:after="80"/>
      </w:pPr>
      <w:r>
        <w:t>The occupation future-expectations model has fewer observations because the TPSO future series has missing values in part of the panel.</w:t>
      </w:r>
    </w:p>
    <w:p w:rsidR="00B8365A" w:rsidRDefault="00000000">
      <w:r>
        <w:t>The main caveat is therefore unchanged: the report provides a serious longitudinal empirical framework, but it should be interpreted as a transparent mixed-frequency policy evaluation exercise rather than a definitive structural causal estimate.</w:t>
      </w:r>
    </w:p>
    <w:p w:rsidR="00B8365A" w:rsidRDefault="00000000">
      <w:pPr>
        <w:pStyle w:val="Heading1"/>
        <w:spacing w:before="180"/>
      </w:pPr>
      <w:r>
        <w:t>Econometric Results</w:t>
      </w:r>
    </w:p>
    <w:p w:rsidR="00B8365A" w:rsidRDefault="00000000">
      <w:pPr>
        <w:pStyle w:val="Heading2"/>
        <w:spacing w:before="180"/>
      </w:pPr>
      <w:r>
        <w:t>1. Aggregate confidence support</w:t>
      </w:r>
    </w:p>
    <w:p w:rsidR="00B8365A" w:rsidRDefault="00000000">
      <w:r>
        <w:t>The national change models suggest that higher transfer intensity supported confidence at the macro level.</w:t>
      </w:r>
    </w:p>
    <w:tbl>
      <w:tblPr>
        <w:tblW w:w="5000" w:type="pct"/>
        <w:tblBorders>
          <w:top w:val="single" w:sz="1" w:space="0" w:color="9CA3AF"/>
          <w:left w:val="single" w:sz="1" w:space="0" w:color="D1D5DB"/>
          <w:bottom w:val="single" w:sz="1" w:space="0" w:color="9CA3AF"/>
          <w:right w:val="single" w:sz="1" w:space="0" w:color="D1D5DB"/>
          <w:insideH w:val="single" w:sz="1" w:space="0" w:color="E5E7EB"/>
          <w:insideV w:val="single" w:sz="1" w:space="0" w:color="E5E7EB"/>
        </w:tblBorders>
        <w:tblCellMar>
          <w:left w:w="10" w:type="dxa"/>
          <w:right w:w="10" w:type="dxa"/>
        </w:tblCellMar>
        <w:tblLook w:val="04A0" w:firstRow="1" w:lastRow="0" w:firstColumn="1" w:lastColumn="0" w:noHBand="0" w:noVBand="1"/>
      </w:tblPr>
      <w:tblGrid>
        <w:gridCol w:w="3198"/>
        <w:gridCol w:w="1928"/>
        <w:gridCol w:w="1431"/>
        <w:gridCol w:w="2116"/>
        <w:gridCol w:w="1431"/>
      </w:tblGrid>
      <w:tr w:rsidR="00B8365A">
        <w:tblPrEx>
          <w:tblCellMar>
            <w:top w:w="0" w:type="dxa"/>
            <w:bottom w:w="0" w:type="dxa"/>
          </w:tblCellMar>
        </w:tblPrEx>
        <w:trPr>
          <w:tblHeader/>
        </w:trPr>
        <w:tc>
          <w:tcPr>
            <w:tcW w:w="0" w:type="auto"/>
            <w:tcMar>
              <w:top w:w="80" w:type="dxa"/>
              <w:left w:w="100" w:type="dxa"/>
              <w:bottom w:w="80" w:type="dxa"/>
              <w:right w:w="100" w:type="dxa"/>
            </w:tcMar>
          </w:tcPr>
          <w:p w:rsidR="00B8365A" w:rsidRDefault="00000000">
            <w:pPr>
              <w:spacing w:after="60"/>
            </w:pPr>
            <w:r>
              <w:rPr>
                <w:b/>
                <w:bCs/>
              </w:rPr>
              <w:t>Outcome</w:t>
            </w:r>
          </w:p>
        </w:tc>
        <w:tc>
          <w:tcPr>
            <w:tcW w:w="0" w:type="auto"/>
            <w:tcMar>
              <w:top w:w="80" w:type="dxa"/>
              <w:left w:w="100" w:type="dxa"/>
              <w:bottom w:w="80" w:type="dxa"/>
              <w:right w:w="100" w:type="dxa"/>
            </w:tcMar>
          </w:tcPr>
          <w:p w:rsidR="00B8365A" w:rsidRDefault="00000000">
            <w:pPr>
              <w:spacing w:after="60"/>
            </w:pPr>
            <w:r>
              <w:rPr>
                <w:b/>
                <w:bCs/>
              </w:rPr>
              <w:t>Cash proxy coef.</w:t>
            </w:r>
          </w:p>
        </w:tc>
        <w:tc>
          <w:tcPr>
            <w:tcW w:w="0" w:type="auto"/>
            <w:tcMar>
              <w:top w:w="80" w:type="dxa"/>
              <w:left w:w="100" w:type="dxa"/>
              <w:bottom w:w="80" w:type="dxa"/>
              <w:right w:w="100" w:type="dxa"/>
            </w:tcMar>
          </w:tcPr>
          <w:p w:rsidR="00B8365A" w:rsidRDefault="00000000">
            <w:pPr>
              <w:spacing w:after="60"/>
            </w:pPr>
            <w:r>
              <w:rPr>
                <w:b/>
                <w:bCs/>
              </w:rPr>
              <w:t>90% CI</w:t>
            </w:r>
          </w:p>
        </w:tc>
        <w:tc>
          <w:tcPr>
            <w:tcW w:w="0" w:type="auto"/>
            <w:tcMar>
              <w:top w:w="80" w:type="dxa"/>
              <w:left w:w="100" w:type="dxa"/>
              <w:bottom w:w="80" w:type="dxa"/>
              <w:right w:w="100" w:type="dxa"/>
            </w:tcMar>
          </w:tcPr>
          <w:p w:rsidR="00B8365A" w:rsidRDefault="00000000">
            <w:pPr>
              <w:spacing w:after="60"/>
            </w:pPr>
            <w:r>
              <w:rPr>
                <w:b/>
                <w:bCs/>
              </w:rPr>
              <w:t>In-kind proxy coef.</w:t>
            </w:r>
          </w:p>
        </w:tc>
        <w:tc>
          <w:tcPr>
            <w:tcW w:w="0" w:type="auto"/>
            <w:tcMar>
              <w:top w:w="80" w:type="dxa"/>
              <w:left w:w="100" w:type="dxa"/>
              <w:bottom w:w="80" w:type="dxa"/>
              <w:right w:w="100" w:type="dxa"/>
            </w:tcMar>
          </w:tcPr>
          <w:p w:rsidR="00B8365A" w:rsidRDefault="00000000">
            <w:pPr>
              <w:spacing w:after="60"/>
            </w:pPr>
            <w:r>
              <w:rPr>
                <w:b/>
                <w:bCs/>
              </w:rPr>
              <w:t>90% CI</w:t>
            </w:r>
          </w:p>
        </w:tc>
      </w:tr>
      <w:tr w:rsidR="00B8365A">
        <w:tblPrEx>
          <w:tblCellMar>
            <w:top w:w="0" w:type="dxa"/>
            <w:bottom w:w="0" w:type="dxa"/>
          </w:tblCellMar>
        </w:tblPrEx>
        <w:tc>
          <w:tcPr>
            <w:tcW w:w="0" w:type="auto"/>
            <w:tcMar>
              <w:top w:w="80" w:type="dxa"/>
              <w:left w:w="100" w:type="dxa"/>
              <w:bottom w:w="80" w:type="dxa"/>
              <w:right w:w="100" w:type="dxa"/>
            </w:tcMar>
          </w:tcPr>
          <w:p w:rsidR="00B8365A" w:rsidRDefault="00000000">
            <w:pPr>
              <w:spacing w:after="60"/>
            </w:pPr>
            <w:r>
              <w:t>TPSO national CCI change</w:t>
            </w:r>
          </w:p>
        </w:tc>
        <w:tc>
          <w:tcPr>
            <w:tcW w:w="0" w:type="auto"/>
            <w:tcMar>
              <w:top w:w="80" w:type="dxa"/>
              <w:left w:w="100" w:type="dxa"/>
              <w:bottom w:w="80" w:type="dxa"/>
              <w:right w:w="100" w:type="dxa"/>
            </w:tcMar>
          </w:tcPr>
          <w:p w:rsidR="00B8365A" w:rsidRDefault="00000000">
            <w:pPr>
              <w:spacing w:after="60"/>
            </w:pPr>
            <w:r>
              <w:t>0.42</w:t>
            </w:r>
          </w:p>
        </w:tc>
        <w:tc>
          <w:tcPr>
            <w:tcW w:w="0" w:type="auto"/>
            <w:tcMar>
              <w:top w:w="80" w:type="dxa"/>
              <w:left w:w="100" w:type="dxa"/>
              <w:bottom w:w="80" w:type="dxa"/>
              <w:right w:w="100" w:type="dxa"/>
            </w:tcMar>
          </w:tcPr>
          <w:p w:rsidR="00B8365A" w:rsidRDefault="00000000">
            <w:pPr>
              <w:spacing w:after="60"/>
            </w:pPr>
            <w:r>
              <w:t>0.15 to 0.69</w:t>
            </w:r>
          </w:p>
        </w:tc>
        <w:tc>
          <w:tcPr>
            <w:tcW w:w="0" w:type="auto"/>
            <w:tcMar>
              <w:top w:w="80" w:type="dxa"/>
              <w:left w:w="100" w:type="dxa"/>
              <w:bottom w:w="80" w:type="dxa"/>
              <w:right w:w="100" w:type="dxa"/>
            </w:tcMar>
          </w:tcPr>
          <w:p w:rsidR="00B8365A" w:rsidRDefault="00000000">
            <w:pPr>
              <w:spacing w:after="60"/>
            </w:pPr>
            <w:r>
              <w:t>0.15</w:t>
            </w:r>
          </w:p>
        </w:tc>
        <w:tc>
          <w:tcPr>
            <w:tcW w:w="0" w:type="auto"/>
            <w:tcMar>
              <w:top w:w="80" w:type="dxa"/>
              <w:left w:w="100" w:type="dxa"/>
              <w:bottom w:w="80" w:type="dxa"/>
              <w:right w:w="100" w:type="dxa"/>
            </w:tcMar>
          </w:tcPr>
          <w:p w:rsidR="00B8365A" w:rsidRDefault="00000000">
            <w:pPr>
              <w:spacing w:after="60"/>
            </w:pPr>
            <w:r>
              <w:t>-0.47 to 0.78</w:t>
            </w:r>
          </w:p>
        </w:tc>
      </w:tr>
      <w:tr w:rsidR="00B8365A">
        <w:tblPrEx>
          <w:tblCellMar>
            <w:top w:w="0" w:type="dxa"/>
            <w:bottom w:w="0" w:type="dxa"/>
          </w:tblCellMar>
        </w:tblPrEx>
        <w:tc>
          <w:tcPr>
            <w:tcW w:w="0" w:type="auto"/>
            <w:tcMar>
              <w:top w:w="80" w:type="dxa"/>
              <w:left w:w="100" w:type="dxa"/>
              <w:bottom w:w="80" w:type="dxa"/>
              <w:right w:w="100" w:type="dxa"/>
            </w:tcMar>
          </w:tcPr>
          <w:p w:rsidR="00B8365A" w:rsidRDefault="00000000">
            <w:pPr>
              <w:spacing w:after="60"/>
            </w:pPr>
            <w:r>
              <w:t>FPO mean regional RSI change</w:t>
            </w:r>
          </w:p>
        </w:tc>
        <w:tc>
          <w:tcPr>
            <w:tcW w:w="0" w:type="auto"/>
            <w:tcMar>
              <w:top w:w="80" w:type="dxa"/>
              <w:left w:w="100" w:type="dxa"/>
              <w:bottom w:w="80" w:type="dxa"/>
              <w:right w:w="100" w:type="dxa"/>
            </w:tcMar>
          </w:tcPr>
          <w:p w:rsidR="00B8365A" w:rsidRDefault="00000000">
            <w:pPr>
              <w:spacing w:after="60"/>
            </w:pPr>
            <w:r>
              <w:t>0.12</w:t>
            </w:r>
          </w:p>
        </w:tc>
        <w:tc>
          <w:tcPr>
            <w:tcW w:w="0" w:type="auto"/>
            <w:tcMar>
              <w:top w:w="80" w:type="dxa"/>
              <w:left w:w="100" w:type="dxa"/>
              <w:bottom w:w="80" w:type="dxa"/>
              <w:right w:w="100" w:type="dxa"/>
            </w:tcMar>
          </w:tcPr>
          <w:p w:rsidR="00B8365A" w:rsidRDefault="00000000">
            <w:pPr>
              <w:spacing w:after="60"/>
            </w:pPr>
            <w:r>
              <w:t>-0.46 to 0.70</w:t>
            </w:r>
          </w:p>
        </w:tc>
        <w:tc>
          <w:tcPr>
            <w:tcW w:w="0" w:type="auto"/>
            <w:tcMar>
              <w:top w:w="80" w:type="dxa"/>
              <w:left w:w="100" w:type="dxa"/>
              <w:bottom w:w="80" w:type="dxa"/>
              <w:right w:w="100" w:type="dxa"/>
            </w:tcMar>
          </w:tcPr>
          <w:p w:rsidR="00B8365A" w:rsidRDefault="00000000">
            <w:pPr>
              <w:spacing w:after="60"/>
            </w:pPr>
            <w:r>
              <w:t>1.56</w:t>
            </w:r>
          </w:p>
        </w:tc>
        <w:tc>
          <w:tcPr>
            <w:tcW w:w="0" w:type="auto"/>
            <w:tcMar>
              <w:top w:w="80" w:type="dxa"/>
              <w:left w:w="100" w:type="dxa"/>
              <w:bottom w:w="80" w:type="dxa"/>
              <w:right w:w="100" w:type="dxa"/>
            </w:tcMar>
          </w:tcPr>
          <w:p w:rsidR="00B8365A" w:rsidRDefault="00000000">
            <w:pPr>
              <w:spacing w:after="60"/>
            </w:pPr>
            <w:r>
              <w:t>0.07 to 3.06</w:t>
            </w:r>
          </w:p>
        </w:tc>
      </w:tr>
    </w:tbl>
    <w:p w:rsidR="00B8365A" w:rsidRDefault="00000000">
      <w:r>
        <w:t>Interpretation:</w:t>
      </w:r>
    </w:p>
    <w:p w:rsidR="00B8365A" w:rsidRDefault="00000000">
      <w:pPr>
        <w:pStyle w:val="ListParagraph"/>
        <w:numPr>
          <w:ilvl w:val="0"/>
          <w:numId w:val="1"/>
        </w:numPr>
        <w:spacing w:after="80"/>
      </w:pPr>
      <w:r>
        <w:t>Cash transfers matter most for immediate macro demand support in the TPSO household confidence series.</w:t>
      </w:r>
    </w:p>
    <w:p w:rsidR="00B8365A" w:rsidRDefault="00000000">
      <w:pPr>
        <w:pStyle w:val="ListParagraph"/>
        <w:numPr>
          <w:ilvl w:val="0"/>
          <w:numId w:val="1"/>
        </w:numPr>
        <w:spacing w:after="80"/>
      </w:pPr>
      <w:r>
        <w:t>In-kind support matters more in the FPO regional macro-sentiment series, consistent with the role of health and cost-of-living support in stabilizing local economies.</w:t>
      </w:r>
    </w:p>
    <w:p w:rsidR="00B8365A" w:rsidRDefault="00000000">
      <w:pPr>
        <w:pStyle w:val="Heading2"/>
        <w:spacing w:before="180"/>
      </w:pPr>
      <w:r>
        <w:lastRenderedPageBreak/>
        <w:t>2. Distributional result: vulnerable occupations still lag</w:t>
      </w:r>
    </w:p>
    <w:p w:rsidR="00B8365A" w:rsidRDefault="00000000">
      <w:r>
        <w:t>The two-way fixed-effects panel gives a different answer from the aggregate model.</w:t>
      </w:r>
    </w:p>
    <w:tbl>
      <w:tblPr>
        <w:tblW w:w="5000" w:type="pct"/>
        <w:tblBorders>
          <w:top w:val="single" w:sz="1" w:space="0" w:color="9CA3AF"/>
          <w:left w:val="single" w:sz="1" w:space="0" w:color="D1D5DB"/>
          <w:bottom w:val="single" w:sz="1" w:space="0" w:color="9CA3AF"/>
          <w:right w:val="single" w:sz="1" w:space="0" w:color="D1D5DB"/>
          <w:insideH w:val="single" w:sz="1" w:space="0" w:color="E5E7EB"/>
          <w:insideV w:val="single" w:sz="1" w:space="0" w:color="E5E7EB"/>
        </w:tblBorders>
        <w:tblCellMar>
          <w:left w:w="10" w:type="dxa"/>
          <w:right w:w="10" w:type="dxa"/>
        </w:tblCellMar>
        <w:tblLook w:val="04A0" w:firstRow="1" w:lastRow="0" w:firstColumn="1" w:lastColumn="0" w:noHBand="0" w:noVBand="1"/>
      </w:tblPr>
      <w:tblGrid>
        <w:gridCol w:w="3562"/>
        <w:gridCol w:w="1822"/>
        <w:gridCol w:w="1400"/>
        <w:gridCol w:w="1990"/>
        <w:gridCol w:w="1330"/>
      </w:tblGrid>
      <w:tr w:rsidR="00B8365A">
        <w:tblPrEx>
          <w:tblCellMar>
            <w:top w:w="0" w:type="dxa"/>
            <w:bottom w:w="0" w:type="dxa"/>
          </w:tblCellMar>
        </w:tblPrEx>
        <w:trPr>
          <w:tblHeader/>
        </w:trPr>
        <w:tc>
          <w:tcPr>
            <w:tcW w:w="0" w:type="auto"/>
            <w:tcMar>
              <w:top w:w="80" w:type="dxa"/>
              <w:left w:w="100" w:type="dxa"/>
              <w:bottom w:w="80" w:type="dxa"/>
              <w:right w:w="100" w:type="dxa"/>
            </w:tcMar>
          </w:tcPr>
          <w:p w:rsidR="00B8365A" w:rsidRDefault="00000000">
            <w:pPr>
              <w:spacing w:after="60"/>
            </w:pPr>
            <w:r>
              <w:rPr>
                <w:b/>
                <w:bCs/>
              </w:rPr>
              <w:t>Outcome</w:t>
            </w:r>
          </w:p>
        </w:tc>
        <w:tc>
          <w:tcPr>
            <w:tcW w:w="0" w:type="auto"/>
            <w:tcMar>
              <w:top w:w="80" w:type="dxa"/>
              <w:left w:w="100" w:type="dxa"/>
              <w:bottom w:w="80" w:type="dxa"/>
              <w:right w:w="100" w:type="dxa"/>
            </w:tcMar>
          </w:tcPr>
          <w:p w:rsidR="00B8365A" w:rsidRDefault="00000000">
            <w:pPr>
              <w:spacing w:after="60"/>
            </w:pPr>
            <w:r>
              <w:rPr>
                <w:b/>
                <w:bCs/>
              </w:rPr>
              <w:t>Cash interaction</w:t>
            </w:r>
          </w:p>
        </w:tc>
        <w:tc>
          <w:tcPr>
            <w:tcW w:w="0" w:type="auto"/>
            <w:tcMar>
              <w:top w:w="80" w:type="dxa"/>
              <w:left w:w="100" w:type="dxa"/>
              <w:bottom w:w="80" w:type="dxa"/>
              <w:right w:w="100" w:type="dxa"/>
            </w:tcMar>
          </w:tcPr>
          <w:p w:rsidR="00B8365A" w:rsidRDefault="00000000">
            <w:pPr>
              <w:spacing w:after="60"/>
            </w:pPr>
            <w:r>
              <w:rPr>
                <w:b/>
                <w:bCs/>
              </w:rPr>
              <w:t>90% CI</w:t>
            </w:r>
          </w:p>
        </w:tc>
        <w:tc>
          <w:tcPr>
            <w:tcW w:w="0" w:type="auto"/>
            <w:tcMar>
              <w:top w:w="80" w:type="dxa"/>
              <w:left w:w="100" w:type="dxa"/>
              <w:bottom w:w="80" w:type="dxa"/>
              <w:right w:w="100" w:type="dxa"/>
            </w:tcMar>
          </w:tcPr>
          <w:p w:rsidR="00B8365A" w:rsidRDefault="00000000">
            <w:pPr>
              <w:spacing w:after="60"/>
            </w:pPr>
            <w:r>
              <w:rPr>
                <w:b/>
                <w:bCs/>
              </w:rPr>
              <w:t>In-kind interaction</w:t>
            </w:r>
          </w:p>
        </w:tc>
        <w:tc>
          <w:tcPr>
            <w:tcW w:w="0" w:type="auto"/>
            <w:tcMar>
              <w:top w:w="80" w:type="dxa"/>
              <w:left w:w="100" w:type="dxa"/>
              <w:bottom w:w="80" w:type="dxa"/>
              <w:right w:w="100" w:type="dxa"/>
            </w:tcMar>
          </w:tcPr>
          <w:p w:rsidR="00B8365A" w:rsidRDefault="00000000">
            <w:pPr>
              <w:spacing w:after="60"/>
            </w:pPr>
            <w:r>
              <w:rPr>
                <w:b/>
                <w:bCs/>
              </w:rPr>
              <w:t>90% CI</w:t>
            </w:r>
          </w:p>
        </w:tc>
      </w:tr>
      <w:tr w:rsidR="00B8365A">
        <w:tblPrEx>
          <w:tblCellMar>
            <w:top w:w="0" w:type="dxa"/>
            <w:bottom w:w="0" w:type="dxa"/>
          </w:tblCellMar>
        </w:tblPrEx>
        <w:tc>
          <w:tcPr>
            <w:tcW w:w="0" w:type="auto"/>
            <w:tcMar>
              <w:top w:w="80" w:type="dxa"/>
              <w:left w:w="100" w:type="dxa"/>
              <w:bottom w:w="80" w:type="dxa"/>
              <w:right w:w="100" w:type="dxa"/>
            </w:tcMar>
          </w:tcPr>
          <w:p w:rsidR="00B8365A" w:rsidRDefault="00000000">
            <w:pPr>
              <w:spacing w:after="60"/>
            </w:pPr>
            <w:r>
              <w:t>TPSO occupation CCI</w:t>
            </w:r>
          </w:p>
        </w:tc>
        <w:tc>
          <w:tcPr>
            <w:tcW w:w="0" w:type="auto"/>
            <w:tcMar>
              <w:top w:w="80" w:type="dxa"/>
              <w:left w:w="100" w:type="dxa"/>
              <w:bottom w:w="80" w:type="dxa"/>
              <w:right w:w="100" w:type="dxa"/>
            </w:tcMar>
          </w:tcPr>
          <w:p w:rsidR="00B8365A" w:rsidRDefault="00000000">
            <w:pPr>
              <w:spacing w:after="60"/>
            </w:pPr>
            <w:r>
              <w:t>-0.26</w:t>
            </w:r>
          </w:p>
        </w:tc>
        <w:tc>
          <w:tcPr>
            <w:tcW w:w="0" w:type="auto"/>
            <w:tcMar>
              <w:top w:w="80" w:type="dxa"/>
              <w:left w:w="100" w:type="dxa"/>
              <w:bottom w:w="80" w:type="dxa"/>
              <w:right w:w="100" w:type="dxa"/>
            </w:tcMar>
          </w:tcPr>
          <w:p w:rsidR="00B8365A" w:rsidRDefault="00000000">
            <w:pPr>
              <w:spacing w:after="60"/>
            </w:pPr>
            <w:r>
              <w:t>-0.44 to -0.07</w:t>
            </w:r>
          </w:p>
        </w:tc>
        <w:tc>
          <w:tcPr>
            <w:tcW w:w="0" w:type="auto"/>
            <w:tcMar>
              <w:top w:w="80" w:type="dxa"/>
              <w:left w:w="100" w:type="dxa"/>
              <w:bottom w:w="80" w:type="dxa"/>
              <w:right w:w="100" w:type="dxa"/>
            </w:tcMar>
          </w:tcPr>
          <w:p w:rsidR="00B8365A" w:rsidRDefault="00000000">
            <w:pPr>
              <w:spacing w:after="60"/>
            </w:pPr>
            <w:r>
              <w:t>0.16</w:t>
            </w:r>
          </w:p>
        </w:tc>
        <w:tc>
          <w:tcPr>
            <w:tcW w:w="0" w:type="auto"/>
            <w:tcMar>
              <w:top w:w="80" w:type="dxa"/>
              <w:left w:w="100" w:type="dxa"/>
              <w:bottom w:w="80" w:type="dxa"/>
              <w:right w:w="100" w:type="dxa"/>
            </w:tcMar>
          </w:tcPr>
          <w:p w:rsidR="00B8365A" w:rsidRDefault="00000000">
            <w:pPr>
              <w:spacing w:after="60"/>
            </w:pPr>
            <w:r>
              <w:t>-0.03 to 0.35</w:t>
            </w:r>
          </w:p>
        </w:tc>
      </w:tr>
      <w:tr w:rsidR="00B8365A">
        <w:tblPrEx>
          <w:tblCellMar>
            <w:top w:w="0" w:type="dxa"/>
            <w:bottom w:w="0" w:type="dxa"/>
          </w:tblCellMar>
        </w:tblPrEx>
        <w:tc>
          <w:tcPr>
            <w:tcW w:w="0" w:type="auto"/>
            <w:tcMar>
              <w:top w:w="80" w:type="dxa"/>
              <w:left w:w="100" w:type="dxa"/>
              <w:bottom w:w="80" w:type="dxa"/>
              <w:right w:w="100" w:type="dxa"/>
            </w:tcMar>
          </w:tcPr>
          <w:p w:rsidR="00B8365A" w:rsidRDefault="00000000">
            <w:pPr>
              <w:spacing w:after="60"/>
            </w:pPr>
            <w:r>
              <w:t>TPSO occupation future expectations</w:t>
            </w:r>
          </w:p>
        </w:tc>
        <w:tc>
          <w:tcPr>
            <w:tcW w:w="0" w:type="auto"/>
            <w:tcMar>
              <w:top w:w="80" w:type="dxa"/>
              <w:left w:w="100" w:type="dxa"/>
              <w:bottom w:w="80" w:type="dxa"/>
              <w:right w:w="100" w:type="dxa"/>
            </w:tcMar>
          </w:tcPr>
          <w:p w:rsidR="00B8365A" w:rsidRDefault="00000000">
            <w:pPr>
              <w:spacing w:after="60"/>
            </w:pPr>
            <w:r>
              <w:t>0.12</w:t>
            </w:r>
          </w:p>
        </w:tc>
        <w:tc>
          <w:tcPr>
            <w:tcW w:w="0" w:type="auto"/>
            <w:tcMar>
              <w:top w:w="80" w:type="dxa"/>
              <w:left w:w="100" w:type="dxa"/>
              <w:bottom w:w="80" w:type="dxa"/>
              <w:right w:w="100" w:type="dxa"/>
            </w:tcMar>
          </w:tcPr>
          <w:p w:rsidR="00B8365A" w:rsidRDefault="00000000">
            <w:pPr>
              <w:spacing w:after="60"/>
            </w:pPr>
            <w:r>
              <w:t>-0.19 to 0.43</w:t>
            </w:r>
          </w:p>
        </w:tc>
        <w:tc>
          <w:tcPr>
            <w:tcW w:w="0" w:type="auto"/>
            <w:tcMar>
              <w:top w:w="80" w:type="dxa"/>
              <w:left w:w="100" w:type="dxa"/>
              <w:bottom w:w="80" w:type="dxa"/>
              <w:right w:w="100" w:type="dxa"/>
            </w:tcMar>
          </w:tcPr>
          <w:p w:rsidR="00B8365A" w:rsidRDefault="00000000">
            <w:pPr>
              <w:spacing w:after="60"/>
            </w:pPr>
            <w:r>
              <w:t>0.32</w:t>
            </w:r>
          </w:p>
        </w:tc>
        <w:tc>
          <w:tcPr>
            <w:tcW w:w="0" w:type="auto"/>
            <w:tcMar>
              <w:top w:w="80" w:type="dxa"/>
              <w:left w:w="100" w:type="dxa"/>
              <w:bottom w:w="80" w:type="dxa"/>
              <w:right w:w="100" w:type="dxa"/>
            </w:tcMar>
          </w:tcPr>
          <w:p w:rsidR="00B8365A" w:rsidRDefault="00000000">
            <w:pPr>
              <w:spacing w:after="60"/>
            </w:pPr>
            <w:r>
              <w:t>0.03 to 0.61</w:t>
            </w:r>
          </w:p>
        </w:tc>
      </w:tr>
    </w:tbl>
    <w:p w:rsidR="00B8365A" w:rsidRDefault="00000000">
      <w:r>
        <w:t>Interpretation:</w:t>
      </w:r>
    </w:p>
    <w:p w:rsidR="00B8365A" w:rsidRDefault="00000000">
      <w:pPr>
        <w:pStyle w:val="ListParagraph"/>
        <w:numPr>
          <w:ilvl w:val="0"/>
          <w:numId w:val="1"/>
        </w:numPr>
        <w:spacing w:after="80"/>
      </w:pPr>
      <w:r>
        <w:t>High-cash-stimulus months did not close the confidence gap between vulnerable occupations and better-insulated groups.</w:t>
      </w:r>
    </w:p>
    <w:p w:rsidR="00B8365A" w:rsidRDefault="00000000">
      <w:pPr>
        <w:pStyle w:val="ListParagraph"/>
        <w:numPr>
          <w:ilvl w:val="0"/>
          <w:numId w:val="1"/>
        </w:numPr>
        <w:spacing w:after="80"/>
      </w:pPr>
      <w:r>
        <w:t>In-kind support is the more favorable channel for low-income-sensitive groups, especially when the outcome is expectations rather than current sentiment.</w:t>
      </w:r>
    </w:p>
    <w:p w:rsidR="00B8365A" w:rsidRDefault="00000000">
      <w:pPr>
        <w:pStyle w:val="ListParagraph"/>
        <w:numPr>
          <w:ilvl w:val="0"/>
          <w:numId w:val="1"/>
        </w:numPr>
        <w:spacing w:after="80"/>
      </w:pPr>
      <w:r>
        <w:t>A reasonable reading is that cash programs helped stabilize aggregate demand, but they were deployed in precisely the months when vulnerable groups were still suffering the deepest stress. In-kind programs appear more effective at improving relative expectations for those groups.</w:t>
      </w:r>
    </w:p>
    <w:p w:rsidR="00B8365A" w:rsidRDefault="00000000">
      <w:pPr>
        <w:pStyle w:val="Heading2"/>
        <w:spacing w:before="180"/>
      </w:pPr>
      <w:r>
        <w:t>3. Dynamic response from local projections</w:t>
      </w:r>
    </w:p>
    <w:p w:rsidR="00B8365A" w:rsidRDefault="00000000">
      <w:r>
        <w:t>The local projections reinforce that interpretation.</w:t>
      </w:r>
    </w:p>
    <w:p w:rsidR="00B8365A" w:rsidRDefault="00000000">
      <w:pPr>
        <w:pStyle w:val="ListParagraph"/>
        <w:numPr>
          <w:ilvl w:val="0"/>
          <w:numId w:val="1"/>
        </w:numPr>
        <w:spacing w:after="80"/>
      </w:pPr>
      <w:r>
        <w:t>Cash interaction:</w:t>
      </w:r>
    </w:p>
    <w:p w:rsidR="00B8365A" w:rsidRDefault="00000000">
      <w:pPr>
        <w:pStyle w:val="ListParagraph"/>
        <w:numPr>
          <w:ilvl w:val="1"/>
          <w:numId w:val="1"/>
        </w:numPr>
        <w:spacing w:after="80"/>
      </w:pPr>
      <w:r>
        <w:t>h=0: -0.11</w:t>
      </w:r>
    </w:p>
    <w:p w:rsidR="00B8365A" w:rsidRDefault="00000000">
      <w:pPr>
        <w:pStyle w:val="ListParagraph"/>
        <w:numPr>
          <w:ilvl w:val="1"/>
          <w:numId w:val="1"/>
        </w:numPr>
        <w:spacing w:after="80"/>
      </w:pPr>
      <w:r>
        <w:t>h=1: -0.12</w:t>
      </w:r>
    </w:p>
    <w:p w:rsidR="00B8365A" w:rsidRDefault="00000000">
      <w:pPr>
        <w:pStyle w:val="ListParagraph"/>
        <w:numPr>
          <w:ilvl w:val="1"/>
          <w:numId w:val="1"/>
        </w:numPr>
        <w:spacing w:after="80"/>
      </w:pPr>
      <w:r>
        <w:t>h=2: -0.01</w:t>
      </w:r>
    </w:p>
    <w:p w:rsidR="00B8365A" w:rsidRDefault="00000000">
      <w:pPr>
        <w:pStyle w:val="ListParagraph"/>
        <w:numPr>
          <w:ilvl w:val="1"/>
          <w:numId w:val="1"/>
        </w:numPr>
        <w:spacing w:after="80"/>
      </w:pPr>
      <w:r>
        <w:t>h=3: 0.01</w:t>
      </w:r>
    </w:p>
    <w:p w:rsidR="00B8365A" w:rsidRDefault="00000000">
      <w:pPr>
        <w:pStyle w:val="ListParagraph"/>
        <w:numPr>
          <w:ilvl w:val="0"/>
          <w:numId w:val="1"/>
        </w:numPr>
        <w:spacing w:after="80"/>
      </w:pPr>
      <w:r>
        <w:t>In-kind interaction:</w:t>
      </w:r>
    </w:p>
    <w:p w:rsidR="00B8365A" w:rsidRDefault="00000000">
      <w:pPr>
        <w:pStyle w:val="ListParagraph"/>
        <w:numPr>
          <w:ilvl w:val="1"/>
          <w:numId w:val="1"/>
        </w:numPr>
        <w:spacing w:after="80"/>
      </w:pPr>
      <w:r>
        <w:t>h=0: 0.06</w:t>
      </w:r>
    </w:p>
    <w:p w:rsidR="00B8365A" w:rsidRDefault="00000000">
      <w:pPr>
        <w:pStyle w:val="ListParagraph"/>
        <w:numPr>
          <w:ilvl w:val="1"/>
          <w:numId w:val="1"/>
        </w:numPr>
        <w:spacing w:after="80"/>
      </w:pPr>
      <w:r>
        <w:t>h=1: 0.09</w:t>
      </w:r>
    </w:p>
    <w:p w:rsidR="00B8365A" w:rsidRDefault="00000000">
      <w:pPr>
        <w:pStyle w:val="ListParagraph"/>
        <w:numPr>
          <w:ilvl w:val="1"/>
          <w:numId w:val="1"/>
        </w:numPr>
        <w:spacing w:after="80"/>
      </w:pPr>
      <w:r>
        <w:t>h=2: 0.05</w:t>
      </w:r>
    </w:p>
    <w:p w:rsidR="00B8365A" w:rsidRDefault="00000000">
      <w:pPr>
        <w:pStyle w:val="ListParagraph"/>
        <w:numPr>
          <w:ilvl w:val="1"/>
          <w:numId w:val="1"/>
        </w:numPr>
        <w:spacing w:after="80"/>
      </w:pPr>
      <w:r>
        <w:t>h=3: 0.06</w:t>
      </w:r>
    </w:p>
    <w:p w:rsidR="00B8365A" w:rsidRDefault="00000000">
      <w:r>
        <w:t>So the relative drag from cash-heavy episodes fades quickly, while the relative support from in-kind programs is small but persistently positive.</w:t>
      </w:r>
    </w:p>
    <w:p w:rsidR="00B8365A" w:rsidRDefault="00000000">
      <w:pPr>
        <w:spacing w:before="120" w:after="60"/>
        <w:jc w:val="center"/>
      </w:pPr>
      <w:r>
        <w:rPr>
          <w:noProof/>
        </w:rPr>
        <w:lastRenderedPageBreak/>
        <w:drawing>
          <wp:inline distT="0" distB="0" distL="0" distR="0">
            <wp:extent cx="4953000" cy="2724150"/>
            <wp:effectExtent l="0" t="0" r="0" b="0"/>
            <wp:docPr id="398483250" name="Picture 398483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724150"/>
                    </a:xfrm>
                    <a:prstGeom prst="rect">
                      <a:avLst/>
                    </a:prstGeom>
                  </pic:spPr>
                </pic:pic>
              </a:graphicData>
            </a:graphic>
          </wp:inline>
        </w:drawing>
      </w:r>
    </w:p>
    <w:p w:rsidR="00B8365A" w:rsidRDefault="00000000">
      <w:pPr>
        <w:spacing w:after="180"/>
        <w:jc w:val="center"/>
      </w:pPr>
      <w:r>
        <w:rPr>
          <w:i/>
          <w:iCs/>
        </w:rPr>
        <w:t>Local Projections</w:t>
      </w:r>
    </w:p>
    <w:p w:rsidR="00B8365A" w:rsidRDefault="00000000">
      <w:r>
        <w:t>The occupation gap itself widened over time:</w:t>
      </w:r>
    </w:p>
    <w:p w:rsidR="00B8365A" w:rsidRDefault="00000000">
      <w:pPr>
        <w:pStyle w:val="ListParagraph"/>
        <w:numPr>
          <w:ilvl w:val="0"/>
          <w:numId w:val="1"/>
        </w:numPr>
        <w:spacing w:after="80"/>
      </w:pPr>
      <w:r>
        <w:t>Average treated-minus-control gap in 2019: -1.41 CCI points</w:t>
      </w:r>
    </w:p>
    <w:p w:rsidR="00B8365A" w:rsidRDefault="00000000">
      <w:pPr>
        <w:pStyle w:val="ListParagraph"/>
        <w:numPr>
          <w:ilvl w:val="0"/>
          <w:numId w:val="1"/>
        </w:numPr>
        <w:spacing w:after="80"/>
      </w:pPr>
      <w:r>
        <w:t>Average treated-minus-control gap in 2024: -3.68 CCI points</w:t>
      </w:r>
    </w:p>
    <w:p w:rsidR="00B8365A" w:rsidRDefault="00000000">
      <w:r>
        <w:t>That is the most important distributional warning in the report. Thailand's post-pandemic confidence recovery was real, but it was not evenly shared.</w:t>
      </w:r>
    </w:p>
    <w:p w:rsidR="00B8365A" w:rsidRDefault="00000000">
      <w:pPr>
        <w:spacing w:before="120" w:after="60"/>
        <w:jc w:val="center"/>
      </w:pPr>
      <w:r>
        <w:rPr>
          <w:noProof/>
        </w:rPr>
        <w:drawing>
          <wp:inline distT="0" distB="0" distL="0" distR="0">
            <wp:extent cx="4953000" cy="2724150"/>
            <wp:effectExtent l="0" t="0" r="0" b="0"/>
            <wp:docPr id="1241083160" name="Picture 1241083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724150"/>
                    </a:xfrm>
                    <a:prstGeom prst="rect">
                      <a:avLst/>
                    </a:prstGeom>
                  </pic:spPr>
                </pic:pic>
              </a:graphicData>
            </a:graphic>
          </wp:inline>
        </w:drawing>
      </w:r>
    </w:p>
    <w:p w:rsidR="00B8365A" w:rsidRDefault="00000000">
      <w:pPr>
        <w:spacing w:after="180"/>
        <w:jc w:val="center"/>
      </w:pPr>
      <w:r>
        <w:rPr>
          <w:i/>
          <w:iCs/>
        </w:rPr>
        <w:t>Occupation Gap</w:t>
      </w:r>
    </w:p>
    <w:p w:rsidR="00B8365A" w:rsidRDefault="00000000">
      <w:pPr>
        <w:pStyle w:val="Heading1"/>
        <w:spacing w:before="180"/>
      </w:pPr>
      <w:r>
        <w:t>Important Policies Affecting Low-Income People</w:t>
      </w:r>
    </w:p>
    <w:p w:rsidR="00B8365A" w:rsidRDefault="00000000">
      <w:pPr>
        <w:pStyle w:val="ListParagraph"/>
        <w:numPr>
          <w:ilvl w:val="0"/>
          <w:numId w:val="1"/>
        </w:numPr>
        <w:spacing w:after="80"/>
      </w:pPr>
      <w:r>
        <w:t>2017-2018: State Welfare Card phase 1 and 2 created a durable low-income transfer architecture combining cash, transport, LPG, utilities, and purchases through designated channels.</w:t>
      </w:r>
    </w:p>
    <w:p w:rsidR="00B8365A" w:rsidRDefault="00000000">
      <w:pPr>
        <w:pStyle w:val="ListParagraph"/>
        <w:numPr>
          <w:ilvl w:val="0"/>
          <w:numId w:val="1"/>
        </w:numPr>
        <w:spacing w:after="80"/>
      </w:pPr>
      <w:r>
        <w:t>2019: Welfare-card phase-2 quality-of-life measures deepened the system and were explicitly framed around poverty reduction and income upgrading.</w:t>
      </w:r>
    </w:p>
    <w:p w:rsidR="00B8365A" w:rsidRDefault="00000000">
      <w:pPr>
        <w:pStyle w:val="ListParagraph"/>
        <w:numPr>
          <w:ilvl w:val="0"/>
          <w:numId w:val="1"/>
        </w:numPr>
        <w:spacing w:after="80"/>
      </w:pPr>
      <w:r>
        <w:t>2020: COVID emergency cash relief, welfare-card top-ups, and electricity/water support prevented a deeper collapse in household purchasing power.</w:t>
      </w:r>
    </w:p>
    <w:p w:rsidR="00B8365A" w:rsidRDefault="00000000">
      <w:pPr>
        <w:pStyle w:val="ListParagraph"/>
        <w:numPr>
          <w:ilvl w:val="0"/>
          <w:numId w:val="1"/>
        </w:numPr>
        <w:spacing w:after="80"/>
      </w:pPr>
      <w:r>
        <w:t>2021: Rao Chana and M33 Rao Rak Kan were the strongest cash-stimulus episodes in the sample. At the same time, health and vaccination expenditures lifted in-kind support sharply.</w:t>
      </w:r>
    </w:p>
    <w:p w:rsidR="00B8365A" w:rsidRDefault="00000000">
      <w:pPr>
        <w:pStyle w:val="ListParagraph"/>
        <w:numPr>
          <w:ilvl w:val="0"/>
          <w:numId w:val="1"/>
        </w:numPr>
        <w:spacing w:after="80"/>
      </w:pPr>
      <w:r>
        <w:lastRenderedPageBreak/>
        <w:t>2022: Continued health support and the new welfare-card registration cycle sustained the in-kind peak.</w:t>
      </w:r>
    </w:p>
    <w:p w:rsidR="00B8365A" w:rsidRDefault="00000000">
      <w:pPr>
        <w:pStyle w:val="ListParagraph"/>
        <w:numPr>
          <w:ilvl w:val="0"/>
          <w:numId w:val="1"/>
        </w:numPr>
        <w:spacing w:after="80"/>
      </w:pPr>
      <w:r>
        <w:t>2023: The 2022 welfare-card registration translated into a new entitlement cycle, while COVID health purchases normalized.</w:t>
      </w:r>
    </w:p>
    <w:p w:rsidR="00B8365A" w:rsidRDefault="00000000">
      <w:pPr>
        <w:pStyle w:val="ListParagraph"/>
        <w:numPr>
          <w:ilvl w:val="0"/>
          <w:numId w:val="1"/>
        </w:numPr>
        <w:spacing w:after="80"/>
      </w:pPr>
      <w:r>
        <w:t>2024: The government approved a THB 10,000 transfer for about 14.55 million State Welfare Card holders and disabled persons, explicitly to relieve living costs and lift consumption quickly.</w:t>
      </w:r>
    </w:p>
    <w:p w:rsidR="00B8365A" w:rsidRDefault="00000000">
      <w:pPr>
        <w:pStyle w:val="Heading1"/>
        <w:spacing w:before="180"/>
      </w:pPr>
      <w:r>
        <w:t>What This Means for Policy</w:t>
      </w:r>
    </w:p>
    <w:p w:rsidR="00B8365A" w:rsidRDefault="00000000">
      <w:r>
        <w:t>Three conclusions follow from the evidence.</w:t>
      </w:r>
    </w:p>
    <w:p w:rsidR="00B8365A" w:rsidRDefault="00000000">
      <w:r>
        <w:t>First, cash transfers are effective for fast economy-wide confidence support. That is what shows up most clearly in the aggregate TPSO change model and in BOT's October 2024 assessment of the 10,000-baht handout.</w:t>
      </w:r>
    </w:p>
    <w:p w:rsidR="00B8365A" w:rsidRDefault="00000000">
      <w:r>
        <w:t>Second, in-kind support is more important for sustaining confidence among vulnerable groups. Health spending, utility support, and predictable subsidized access to essentials appear to matter more for relative expectations than one-off cash pulses.</w:t>
      </w:r>
    </w:p>
    <w:p w:rsidR="00B8365A" w:rsidRDefault="00000000">
      <w:r>
        <w:t>Third, relying on temporary cash injections alone is not enough to close the confidence gap for low-income households. By 2024, national confidence had recovered far more than the confidence of the most exposed occupations.</w:t>
      </w:r>
    </w:p>
    <w:p w:rsidR="00B8365A" w:rsidRDefault="00000000">
      <w:r>
        <w:t>The policy mix that best fits the evidence is:</w:t>
      </w:r>
    </w:p>
    <w:p w:rsidR="00B8365A" w:rsidRDefault="00000000">
      <w:pPr>
        <w:pStyle w:val="ListParagraph"/>
        <w:numPr>
          <w:ilvl w:val="0"/>
          <w:numId w:val="1"/>
        </w:numPr>
        <w:spacing w:after="80"/>
      </w:pPr>
      <w:r>
        <w:t>Maintain rapid cash support for acute downturns.</w:t>
      </w:r>
    </w:p>
    <w:p w:rsidR="00B8365A" w:rsidRDefault="00000000">
      <w:pPr>
        <w:pStyle w:val="ListParagraph"/>
        <w:numPr>
          <w:ilvl w:val="0"/>
          <w:numId w:val="1"/>
        </w:numPr>
        <w:spacing w:after="80"/>
      </w:pPr>
      <w:r>
        <w:t>Pair it with predictable monthly entitlements through the welfare-card system.</w:t>
      </w:r>
    </w:p>
    <w:p w:rsidR="00B8365A" w:rsidRDefault="00000000">
      <w:pPr>
        <w:pStyle w:val="ListParagraph"/>
        <w:numPr>
          <w:ilvl w:val="0"/>
          <w:numId w:val="1"/>
        </w:numPr>
        <w:spacing w:after="80"/>
      </w:pPr>
      <w:r>
        <w:t>Preserve strong in-kind protection in health and utilities during shocks.</w:t>
      </w:r>
    </w:p>
    <w:p w:rsidR="00B8365A" w:rsidRDefault="00000000">
      <w:pPr>
        <w:pStyle w:val="ListParagraph"/>
        <w:numPr>
          <w:ilvl w:val="0"/>
          <w:numId w:val="1"/>
        </w:numPr>
        <w:spacing w:after="80"/>
      </w:pPr>
      <w:r>
        <w:t>Use automatic triggers tied to labor-market weakness and confidence deterioration so support arrives earlier.</w:t>
      </w:r>
    </w:p>
    <w:p w:rsidR="00B8365A" w:rsidRDefault="00000000">
      <w:pPr>
        <w:pStyle w:val="Heading1"/>
        <w:spacing w:before="180"/>
      </w:pPr>
      <w:r>
        <w:t>Source Notes</w:t>
      </w:r>
    </w:p>
    <w:p w:rsidR="00B8365A" w:rsidRDefault="00000000">
      <w:r>
        <w:t>Primary sources used in the report:</w:t>
      </w:r>
    </w:p>
    <w:p w:rsidR="00B8365A" w:rsidRDefault="00000000">
      <w:pPr>
        <w:pStyle w:val="ListParagraph"/>
        <w:numPr>
          <w:ilvl w:val="0"/>
          <w:numId w:val="1"/>
        </w:numPr>
        <w:spacing w:after="80"/>
      </w:pPr>
      <w:r>
        <w:t>NESDC annual national income tables: NI2024-Income.xlsx (https://www.nesdc.go.th/wordpress/wp-content/uploads/2025/12/NI2024-Income.xlsx)</w:t>
      </w:r>
    </w:p>
    <w:p w:rsidR="00B8365A" w:rsidRDefault="00000000">
      <w:pPr>
        <w:pStyle w:val="ListParagraph"/>
        <w:numPr>
          <w:ilvl w:val="0"/>
          <w:numId w:val="1"/>
        </w:numPr>
        <w:spacing w:after="80"/>
      </w:pPr>
      <w:r>
        <w:t>NESDC 2023 English release page: National Income of Thailand 2023 (https://www.nesdc.go.th/en/?ddl=36312&amp;p=36311)</w:t>
      </w:r>
    </w:p>
    <w:p w:rsidR="00B8365A" w:rsidRDefault="00000000">
      <w:pPr>
        <w:pStyle w:val="ListParagraph"/>
        <w:numPr>
          <w:ilvl w:val="0"/>
          <w:numId w:val="1"/>
        </w:numPr>
        <w:spacing w:after="80"/>
      </w:pPr>
      <w:r>
        <w:t>FPO regional RSI data catalog: Thailand Regional Economic Sentiment Index (https://catalog.fpo.go.th/dataset/thailand-regional-economic-sentiment-index-rsi)</w:t>
      </w:r>
    </w:p>
    <w:p w:rsidR="00B8365A" w:rsidRDefault="00000000">
      <w:pPr>
        <w:pStyle w:val="ListParagraph"/>
        <w:numPr>
          <w:ilvl w:val="0"/>
          <w:numId w:val="1"/>
        </w:numPr>
        <w:spacing w:after="80"/>
      </w:pPr>
      <w:r>
        <w:t>TPSO CCI API endpoint: CCI API (https://cci-survey-tpso.moc.go.th/cci-api/api/CCI/getcci)</w:t>
      </w:r>
    </w:p>
    <w:p w:rsidR="00B8365A" w:rsidRDefault="00000000">
      <w:pPr>
        <w:pStyle w:val="ListParagraph"/>
        <w:numPr>
          <w:ilvl w:val="0"/>
          <w:numId w:val="1"/>
        </w:numPr>
        <w:spacing w:after="80"/>
      </w:pPr>
      <w:r>
        <w:t>BOT February 2021 economic conditions: BOT Press Release No. 20/2021 (https://www.bot.or.th/en/news-and-media/news/news-20210331-1.html)</w:t>
      </w:r>
    </w:p>
    <w:p w:rsidR="00B8365A" w:rsidRDefault="00000000">
      <w:pPr>
        <w:pStyle w:val="ListParagraph"/>
        <w:numPr>
          <w:ilvl w:val="0"/>
          <w:numId w:val="1"/>
        </w:numPr>
        <w:spacing w:after="80"/>
      </w:pPr>
      <w:r>
        <w:t>BOT October 2021 economic conditions: BOT Press Release No. 88/2021 (https://www.bot.or.th/en/news-and-media/news/news-20211130.html)</w:t>
      </w:r>
    </w:p>
    <w:p w:rsidR="00B8365A" w:rsidRDefault="00000000">
      <w:pPr>
        <w:pStyle w:val="ListParagraph"/>
        <w:numPr>
          <w:ilvl w:val="0"/>
          <w:numId w:val="1"/>
        </w:numPr>
        <w:spacing w:after="80"/>
      </w:pPr>
      <w:r>
        <w:t>BOT October 2024 economic conditions: BOT Press Release No. 43/2024 (https://www.bot.or.th/en/news-and-media/news/news-20241129.html)</w:t>
      </w:r>
    </w:p>
    <w:p w:rsidR="00B8365A" w:rsidRDefault="00000000">
      <w:pPr>
        <w:pStyle w:val="ListParagraph"/>
        <w:numPr>
          <w:ilvl w:val="0"/>
          <w:numId w:val="1"/>
        </w:numPr>
        <w:spacing w:after="80"/>
      </w:pPr>
      <w:r>
        <w:t>FPO welfare-card phase 1 and 2 page: State Welfare Registration 2017 (https://www.fpo.go.th/main/General-information-public-</w:t>
      </w:r>
      <w:r>
        <w:lastRenderedPageBreak/>
        <w:t>service/%E0%B8%9B%E0%B8%A3%E0%B8%B0%E0%B8%8A%E0%B8%B2%E0%B8%8A%E0%B8%99%E0%B8%84%E0%B8%A7%E0%B8%A3%E0%B8%A3%E0%B8%B9%E0%B9%89/8198.aspx)</w:t>
      </w:r>
    </w:p>
    <w:p w:rsidR="00B8365A" w:rsidRDefault="00000000">
      <w:pPr>
        <w:pStyle w:val="ListParagraph"/>
        <w:numPr>
          <w:ilvl w:val="0"/>
          <w:numId w:val="1"/>
        </w:numPr>
        <w:spacing w:after="80"/>
      </w:pPr>
      <w:r>
        <w:t>FPO phase-2 quality-of-life infographic: State Welfare Card phase 2 (https://www.fpo.go.th/main/getattachment/News/Press-conference/10272/007-2562-info-%E0%B9%81%E0%B8%96%E0%B8%A5%E0%B8%87%E0%B8%82%E0%B9%88%E0%B8%B2%E0%B8%A7%E0%B8%A1%E0%B8%B2%E0%B8%95%E0%B8%A3%E0%B8%81%E0%B8%B2%E0%B8%A3%E0%B8%9E%E0%B8%B1%E0%B8%92%E0%B8%99%E0%B8%B2%E0%B8%84%E0%B8%B8%E0%B8%93%E0%B8%A0%E0%B8%B2%E0%B8%9E%E0%B8%8A%E0%B8%B5%E0%B8%A7%E0%B8%B4%E0%B8%95%E0%B8%9C%E0%B8%B9%E0%B9%89%E0%B8%A1%E0%B8%B5%E0%B8%9A%E0%B8%B1%E0%B8%95%E0%B8%A3%E0%B8%AA%E0%B8%A7%E0%B8%B1%E0%B8%AA%E0%B8%94%E0%B8%B4%E0%B8%81%E0%B8%B2%E0%B8%A3%E0%B9%81%E0%B8%AB%E0%B9%88%E0%B8%87%E0%B8%A3%E0%B8%B1%E0%B8%90-%E0%B8%A3%E0%B8%B0%E0%B8%A2%E0%B8%B0%E0%B8%97%E0%B8%B5%E0%B9%88-2.pdf.aspx)</w:t>
      </w:r>
    </w:p>
    <w:p w:rsidR="00B8365A" w:rsidRDefault="00000000">
      <w:pPr>
        <w:pStyle w:val="ListParagraph"/>
        <w:numPr>
          <w:ilvl w:val="0"/>
          <w:numId w:val="1"/>
        </w:numPr>
        <w:spacing w:after="80"/>
      </w:pPr>
      <w:r>
        <w:t>FPO Rao Chana press release: Press release 009/2564 (https://www.fpo.go.th/main/News/Press-conference/13953.aspx)</w:t>
      </w:r>
    </w:p>
    <w:p w:rsidR="00B8365A" w:rsidRDefault="00000000">
      <w:pPr>
        <w:pStyle w:val="ListParagraph"/>
        <w:numPr>
          <w:ilvl w:val="0"/>
          <w:numId w:val="1"/>
        </w:numPr>
        <w:spacing w:after="80"/>
      </w:pPr>
      <w:r>
        <w:t>FPO Khon La Khrueng phase 3 progress: Press release 192/2564 (https://www.fpo.go.th/main/getattachment/News/Press-conference/14992/%E0%B9%81%E0%B8%96%E0%B8%A5%E0%B8%87%E0%B8%82%E0%B9%88%E0%B8%B2%E0%B8%A7-%E0%B8%89%E0%B8%9A%E0%B8%B1%E0%B8%9A%E0%B8%97%E0%B8%B5%E0%B9%88-192-2564-%E0%B8%84%E0%B8%A7%E0%B8%B2%E0%B8%A1%E0%B8%84%E0%B8%B7%E0%B8%9A%E0%B8%AB%E0%B8%99%E0%B9%89%E0%B8%B2%E0%B9%82%E0%B8%84%E0%B8%A3%E0%B8%87%E0%B8%81%E0%B8%B2%E0%B8%A3%E0%B8%84%E0%B8%99%E0%B8%A5%E0%B8%B0%E0%B8%84%E0%B8%A3%E0%B8%B6%E0%B9%88%E0%B8%87-251064.pdf.aspx)</w:t>
      </w:r>
    </w:p>
    <w:p w:rsidR="00B8365A" w:rsidRDefault="00000000">
      <w:pPr>
        <w:pStyle w:val="ListParagraph"/>
        <w:numPr>
          <w:ilvl w:val="0"/>
          <w:numId w:val="1"/>
        </w:numPr>
        <w:spacing w:after="80"/>
      </w:pPr>
      <w:r>
        <w:t>FPO 2024 vulnerable-group handout: Press release 90/2567 (https://www.fpo.go.th/main/getattachment/News/Press-conference/19896/90-2567-%E0%B9%81%E0%B8%96%E0%B8%A5%E0%B8%87%E0%B8%82%E0%B9%88%E0%B8%B2%E0%B8%A7-%E0%B8%81%E0%B8%84-%E0%B9%82%E0%B8%84%E0%B8%A3%E0%B8%87%E0%B8%81%E0%B8%B2%E0%B8%A3%E0%B8%81%E0%B8%A3%E0%B8%B0%E0%B8%95%E0%B8%B8%E0%B9%89%E0%B8%99%E0%B9%80%E0%B8%A8%E0%B8%A3%E0%B8%A9%E0%B8%90%E0%B8%81%E0%B8%B4%E0%B8%88%E0%B8%9B%E0%B8%B5-67.pdf.aspx)</w:t>
      </w:r>
    </w:p>
    <w:p w:rsidR="00B8365A" w:rsidRDefault="00000000">
      <w:pPr>
        <w:pStyle w:val="ListParagraph"/>
        <w:numPr>
          <w:ilvl w:val="0"/>
          <w:numId w:val="1"/>
        </w:numPr>
        <w:spacing w:after="80"/>
      </w:pPr>
      <w:r>
        <w:t>FPO October 2024 fiscal conditions note: Monthly Economic Condition, October 2024 (https://www.fpo.go.th/main/getattachment/Economic-report/Monthly-economic-condition/20191/6-43_2567-Info-monthly-Oct-2024.pdf.aspx)</w:t>
      </w:r>
    </w:p>
    <w:p w:rsidR="00B8365A" w:rsidRDefault="00000000" w:rsidP="00DD275D">
      <w:pPr>
        <w:pStyle w:val="ListParagraph"/>
        <w:numPr>
          <w:ilvl w:val="0"/>
          <w:numId w:val="1"/>
        </w:numPr>
        <w:spacing w:after="80"/>
        <w:rPr>
          <w:rFonts w:hint="cs"/>
        </w:rPr>
      </w:pPr>
      <w:r>
        <w:t>UTCC/CEBF chamber-confidence archive: TCC archive page (https://cebf.utcc.ac.th/index_number.php?typeid=7)</w:t>
      </w:r>
    </w:p>
    <w:sectPr w:rsidR="00B8365A">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F128B"/>
    <w:multiLevelType w:val="hybridMultilevel"/>
    <w:tmpl w:val="2558FF88"/>
    <w:lvl w:ilvl="0" w:tplc="ABB618C4">
      <w:start w:val="1"/>
      <w:numFmt w:val="bullet"/>
      <w:lvlText w:val="●"/>
      <w:lvlJc w:val="left"/>
      <w:pPr>
        <w:ind w:left="720" w:hanging="360"/>
      </w:pPr>
    </w:lvl>
    <w:lvl w:ilvl="1" w:tplc="5FD4B3EC">
      <w:start w:val="1"/>
      <w:numFmt w:val="bullet"/>
      <w:lvlText w:val="○"/>
      <w:lvlJc w:val="left"/>
      <w:pPr>
        <w:ind w:left="1440" w:hanging="360"/>
      </w:pPr>
    </w:lvl>
    <w:lvl w:ilvl="2" w:tplc="E324633A">
      <w:start w:val="1"/>
      <w:numFmt w:val="bullet"/>
      <w:lvlText w:val="■"/>
      <w:lvlJc w:val="left"/>
      <w:pPr>
        <w:ind w:left="2160" w:hanging="360"/>
      </w:pPr>
    </w:lvl>
    <w:lvl w:ilvl="3" w:tplc="440CE42C">
      <w:start w:val="1"/>
      <w:numFmt w:val="bullet"/>
      <w:lvlText w:val="●"/>
      <w:lvlJc w:val="left"/>
      <w:pPr>
        <w:ind w:left="2880" w:hanging="360"/>
      </w:pPr>
    </w:lvl>
    <w:lvl w:ilvl="4" w:tplc="30709424">
      <w:start w:val="1"/>
      <w:numFmt w:val="bullet"/>
      <w:lvlText w:val="○"/>
      <w:lvlJc w:val="left"/>
      <w:pPr>
        <w:ind w:left="3600" w:hanging="360"/>
      </w:pPr>
    </w:lvl>
    <w:lvl w:ilvl="5" w:tplc="CB82F226">
      <w:start w:val="1"/>
      <w:numFmt w:val="bullet"/>
      <w:lvlText w:val="■"/>
      <w:lvlJc w:val="left"/>
      <w:pPr>
        <w:ind w:left="4320" w:hanging="360"/>
      </w:pPr>
    </w:lvl>
    <w:lvl w:ilvl="6" w:tplc="2B62D054">
      <w:start w:val="1"/>
      <w:numFmt w:val="bullet"/>
      <w:lvlText w:val="●"/>
      <w:lvlJc w:val="left"/>
      <w:pPr>
        <w:ind w:left="5040" w:hanging="360"/>
      </w:pPr>
    </w:lvl>
    <w:lvl w:ilvl="7" w:tplc="A66E6526">
      <w:start w:val="1"/>
      <w:numFmt w:val="bullet"/>
      <w:lvlText w:val="●"/>
      <w:lvlJc w:val="left"/>
      <w:pPr>
        <w:ind w:left="5760" w:hanging="360"/>
      </w:pPr>
    </w:lvl>
    <w:lvl w:ilvl="8" w:tplc="D3365FF4">
      <w:start w:val="1"/>
      <w:numFmt w:val="bullet"/>
      <w:lvlText w:val="●"/>
      <w:lvlJc w:val="left"/>
      <w:pPr>
        <w:ind w:left="6480" w:hanging="360"/>
      </w:pPr>
    </w:lvl>
  </w:abstractNum>
  <w:num w:numId="1" w16cid:durableId="10573641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65A"/>
    <w:rsid w:val="00B8365A"/>
    <w:rsid w:val="00DD275D"/>
    <w:rsid w:val="00F355D1"/>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decimalSymbol w:val="."/>
  <w:listSeparator w:val=","/>
  <w14:docId w14:val="5C8B4C9B"/>
  <w15:docId w15:val="{227EF184-FE94-BA4C-9A05-66E8CEBDC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GB" w:bidi="th-TH"/>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3369</Words>
  <Characters>19205</Characters>
  <Application>Microsoft Office Word</Application>
  <DocSecurity>0</DocSecurity>
  <Lines>160</Lines>
  <Paragraphs>45</Paragraphs>
  <ScaleCrop>false</ScaleCrop>
  <Company/>
  <LinksUpToDate>false</LinksUpToDate>
  <CharactersWithSpaces>22529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Consumer Confidence and Social Transfers in Thailand, 2017-2024</dc:title>
  <dc:creator>OpenAI Codex</dc:creator>
  <dc:description>DOCX export of the Codex-generated report.</dc:description>
  <cp:lastModifiedBy>Yani Payapsai</cp:lastModifiedBy>
  <cp:revision>2</cp:revision>
  <dcterms:created xsi:type="dcterms:W3CDTF">2026-04-29T10:40:00Z</dcterms:created>
  <dcterms:modified xsi:type="dcterms:W3CDTF">2026-04-29T11:38:00Z</dcterms:modified>
</cp:coreProperties>
</file>