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120"/>
        <w:jc w:val="center"/>
      </w:pPr>
      <w:r>
        <w:rPr>
          <w:b w:val="false"/>
          <w:bCs w:val="false"/>
          <w:i w:val="false"/>
          <w:iCs w:val="false"/>
        </w:rPr>
        <w:t xml:space="preserve">รายงาน: ความเชื่อมั่นผู้บริโภคและการโอนเพื่อสังคมของไทย ช่วงปี 2017-2024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รายงานฉบับนี้ตีความคำว่า "customer confidence" เป็น "ความเชื่อมั่นผู้บริโภค/ครัวเรือน" และวิเคราะห์ว่ารายจ่ายภาครัฐด้านการโอนเพื่อสังคมในรูปเงินสดและสิ่งของมีความสัมพันธ์กับความเชื่อมั่นอย่างไรในช่วงปี 2017-2024 โดยเน้นผลต่อประชาชนรายได้น้อยเป็นพิเศษ</w:t>
      </w:r>
    </w:p>
    <w:p>
      <w:pPr>
        <w:pStyle w:val="Heading1"/>
        <w:spacing w:after="120" w:before="180"/>
      </w:pPr>
      <w:r>
        <w:rPr>
          <w:b w:val="false"/>
          <w:bCs w:val="false"/>
          <w:i w:val="false"/>
          <w:iCs w:val="false"/>
        </w:rPr>
        <w:t xml:space="preserve">บทสรุปผู้บริหาร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ข้อมูล NESDC ชี้ว่าขนาดของการโอนเพื่อสังคมของไทยเพิ่มขึ้นมากในช่วง 2017-2024 โดยสวัสดิการสังคมในลักษณะเงินสดรวมเพิ่มจาก 459.2 พันล้านบาทเป็น 782.8 พันล้านบาท ขณะที่ social transfers in kind เพิ่มจาก 1.255 ล้านล้านบาทเป็น 1.628 ล้านล้านบาท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องค์ประกอบที่เกี่ยวข้องกับผู้มีรายได้น้อยโดยตรงขยายตัวเด่นทางฝั่งเงินสด โดย cash social assistance เพิ่มเกือบเท่าตัวจาก 104.0 พันล้านบาทในปี 2017 เป็น 200.6 พันล้านบาทในปี 2024 หรือเพิ่มขึ้น 92.8%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in-kind social assistance มีรูปแบบต่างออกไป คือค่อนข้างทรงตัวก่อนโควิด จากนั้นเพิ่มแรงในปี 2021-2022 ตามรายจ่ายด้านสาธารณสุขและค่าครองชีพ สูงสุดที่ 344.9 พันล้านบาทในปี 2022 ก่อนลดลงแรงในปี 2023 เมื่อรายจ่ายสุขภาพยุคโควิดลดลง และฟื้นบางส่วนในปี 2024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ดัชนีความเชื่อมั่นให้ภาพมหภาคที่สอดคล้องกันหลายแหล่ง TPSO national CCI เฉลี่ย 48.4 ในปี 2019 ลดลงเหลือ 42.1 ในปี 2020 ฟื้นเป็น 54.2 ในปี 2023 แล้วอ่อนลงเล็กน้อยเป็น 52.3 ในปี 2024 ส่วน FPO RSI รายภูมิภาคให้จังหวะ turning points แบบเดียวกันและมีความสัมพันธ์สูงกับ TPSO ในช่วงข้อมูลที่ทับซ้อนกัน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ในสมการ monthly national change model ความเข้มข้นของมาตรการเงินสดสัมพันธ์กับการเพิ่มขึ้นของ TPSO consumer confidence ราว 0.42 จุดดัชนีต่อการเพิ่มขึ้น 1 ส่วนเบี่ยงเบนมาตรฐานของ monthly cash proxy ขณะที่มาตรการ in-kind เด่นกว่าใน FPO sentiment measure โดยมีค่าสัมประสิทธิ์ร่วมสมัยประมาณ 1.56 จุด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อย่างไรก็ดี ใน occupation-level two-way fixed-effects panel ผลลัพธ์มีความละเอียดมากขึ้น กล่าวคือ high-transfer months ไม่ได้ลบช่องว่างความเชื่อมั่นระหว่างอาชีพที่เปราะบางทางรายได้กับกลุ่มที่มีฐานะมั่นคงกว่า เดือนที่มีมาตรการเงินสดเข้มข้นกลับสัมพันธ์กับความเชื่อมั่นเชิงสัมพัทธ์ที่อ่อนกว่าในกลุ่มเปราะบาง ขณะที่มาตรการ in-kind เป็นบวกเล็กน้อย โดยเฉพาะในดัชนีความคาดหวังอนาคต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นัยเชิงนโยบายคือ มาตรการเงินสดเหมาะกับการพยุงเศรษฐกิจและความเชื่อมั่นระยะสั้น แต่การยกระดับความเชื่อมั่นของคนรายได้น้อยอย่างยั่งยืนดูจะพึ่งพามาตรการ in-kind ที่คาดการณ์ได้ เช่น สุขภาพ ค่าสาธารณูปโภค และการบรรเทาค่าครองชีพที่จำเป็น มากกว่า</w:t>
      </w:r>
    </w:p>
    <w:p>
      <w:pPr>
        <w:pStyle w:val="Heading1"/>
        <w:spacing w:after="120" w:before="180"/>
      </w:pPr>
      <w:r>
        <w:rPr>
          <w:b w:val="false"/>
          <w:bCs w:val="false"/>
          <w:i w:val="false"/>
          <w:iCs w:val="false"/>
        </w:rPr>
        <w:t xml:space="preserve">ข้อมูล ขอบเขต และแนวตีความ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แกนหลักด้านการคลัง: ตารางรายได้ประชาชาติของ NESDC โดยเฉพาะ Table 61 ใน NI2024-Income.xlsx (https://www.nesdc.go.th/wordpress/wp-content/uploads/2025/12/NI2024-Income.xlsx)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ตัวชี้วัดความเชื่อมั่นผู้บริโภค: API ของ TPSO ทั้งชุด national, regional และ occupational แบบรายเดือน ช่วง 2019M1-2024M12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ตัวชี้วัดความเชื่อมั่นเศรษฐกิจภูมิภาค: FPO regional RSI แบบรายเดือน ช่วง 2018M1-2024M12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BOT: ใช้เพื่อประกอบการตีความสภาพเศรษฐกิจมหภาคและผลของมาตรการกระตุ้น ไม่ได้ใช้เป็น series หลักของ household confidence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TCC/UTCC: ใช้เป็น benchmark จากดัชนีความเชื่อมั่นหอการค้าไทยเพื่อ cross-check ทิศทาง ไม่ได้ใช้แทน household CCI ของ TPSO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หน้าต่างเวลาที่ผู้ใช้ขอคือ 2017-2024 ซึ่งฝั่งข้อมูลการคลังรายปีครอบคลุมครบทั้งช่วง ส่วนเศรษฐมิติแบบรายเดือนเริ่มช้ากว่าเพราะ TPSO panel ที่ใช้ได้เริ่มเดือนมกราคม 2019 และ FPO RSI เริ่มเดือนมกราคม 2018</w:t>
      </w:r>
    </w:p>
    <w:p>
      <w:pPr>
        <w:pStyle w:val="Heading1"/>
        <w:spacing w:after="120" w:before="180"/>
      </w:pPr>
      <w:r>
        <w:rPr>
          <w:b w:val="false"/>
          <w:bCs w:val="false"/>
          <w:i w:val="false"/>
          <w:iCs w:val="false"/>
        </w:rPr>
        <w:t xml:space="preserve">แนวโน้มการคลัง: การโอนเพื่อสังคมเปลี่ยนไปอย่างไร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ข้อมูลทางการของ NESDC แยก social transfers ทั้งหมดออกจากองค์ประกอบ social assistance ซึ่งเกี่ยวข้องกับผู้มีรายได้น้อยโดยตรงมากกว่า ทั้งสองส่วนควรถูกติดตามควบคู่กัน</w:t>
      </w:r>
    </w:p>
    <w:tbl>
      <w:tblPr>
        <w:tblW w:type="pct" w:w="100%"/>
        <w:tblBorders>
          <w:top w:val="single" w:color="9CA3AF" w:sz="1"/>
          <w:left w:val="single" w:color="D1D5DB" w:sz="1"/>
          <w:bottom w:val="single" w:color="9CA3AF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ปี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Cash social assistance (พันล้านบาท)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YoY 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In-kind social assistance (พันล้านบาท)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YoY 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บริบทนโยบายหลัก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2017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104.0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-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220.7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-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เริ่มโครงการบัตรสวัสดิการแห่งรัฐ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2018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145.6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217.2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-1.6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ขยายบัตรสวัสดิการ phase 1-2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2019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161.3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10.7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222.0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ยกระดับ phase 2 และมาตรการคุณภาพชีวิต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2020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176.5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9.4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228.8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เยียวยาโควิด เงินสดฉุกเฉินและลดค่าสาธารณูปโภค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2021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187.1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310.0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35.5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เราชนะ ม33เรารักกัน วัคซีน และเปิดเมือง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2022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188.3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344.9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11.2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รายจ่ายสุขภาพยังสูงและมีการลงทะเบียนรอบใหม่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2023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195.2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243.0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-29.6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รายจ่ายสุขภาพยุคโควิดลดลง และเริ่ม entitlement cycle ใหม่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2024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260.8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7.3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เงินโอน 10,000 บาทให้กลุ่มเปราะบาง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หากมองทั้งช่วง 2017-2024: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Total cash-like social benefits เพิ่ม 70.5%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Cash social assistance เพิ่ม 92.8%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Total social transfers in kind เพิ่ม 29.8%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In-kind social assistance เพิ่ม 18.2% แต่มี pandemic hump ชัดเจน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ประเด็นเชิงโครงสร้างที่สำคัญที่สุดคือ ฝั่งเงินสดขยายตัวต่อเนื่องและถาวรมากขึ้น ขณะที่ฝั่ง in-kind มีลักษณะผันผวนตามวิกฤต โดยเฉพาะรายจ่ายด้านสุขภาพ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</w:rPr>
        <w:t xml:space="preserve">Annual Social Transfers</w:t>
      </w:r>
    </w:p>
    <w:p>
      <w:pPr>
        <w:pStyle w:val="Heading1"/>
        <w:spacing w:after="120" w:before="180"/>
      </w:pPr>
      <w:r>
        <w:rPr>
          <w:b w:val="false"/>
          <w:bCs w:val="false"/>
          <w:i w:val="false"/>
          <w:iCs w:val="false"/>
        </w:rPr>
        <w:t xml:space="preserve">แนวโน้มความเชื่อมั่น: ดัชนีบอกอะไร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ความเชื่อมั่นลดลงแรงในช่วงโควิดและฟื้นตัวในปี 2022-2024 แต่การฟื้นตัวยังไม่สมบูรณ์และไม่กระจายเท่ากัน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ค่าเฉลี่ยรายปีของ TPSO national CCI: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2019: 48.4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2020: 42.1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2021: 43.0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2022: 46.2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2023: 54.2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2024: 52.3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ค่าเฉลี่ยรายปีของ FPO mean regional RSI: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2018: 78.4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2019: 65.4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2020: 52.8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2021: 55.6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2022: 66.4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2023: 76.0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2024: 74.3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ค่าสหสัมพันธ์ระหว่าง TPSO national CCI และ FPO mean regional RSI ในช่วงข้อมูลที่ทับซ้อนกันอยู่ที่ 0.94 แปลว่าทั้งสองแหล่งให้จังหวะ turning points ที่สอดคล้องกันมาก แม้ระดับดัชนีจะต่างกัน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ดัชนี TCC ที่ใช้เป็น benchmark ก็สอดคล้องในเชิงทิศทางเช่นกัน: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เมษายน 2020 TCC-CI: 32.1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ตุลาคม 2021 TCC-CI: 19.9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ตุลาคม 2024 TCC-CI: 48.9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ค่าระดับของ TCC ต่ำกว่า TPSO เพราะเป็นคนละ survey instrument แต่เรื่องเล่าโดยรวมตรงกัน คือทรุดตัวในโควิดและฟื้นบางส่วนหลังเปิดเมืองและมีมาตรการกระตุ้น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</w:rPr>
        <w:t xml:space="preserve">Confidence Indicators</w:t>
      </w:r>
    </w:p>
    <w:p>
      <w:pPr>
        <w:pStyle w:val="Heading1"/>
        <w:spacing w:after="120" w:before="180"/>
      </w:pPr>
      <w:r>
        <w:rPr>
          <w:b w:val="false"/>
          <w:bCs w:val="false"/>
          <w:i w:val="false"/>
          <w:iCs w:val="false"/>
        </w:rPr>
        <w:t xml:space="preserve">กรอบเศรษฐมิติ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ปัญหาหลักของการออกแบบคือ ข้อมูลการคลังเป็นรายปี แต่ข้อมูลความเชื่อมั่นเป็นรายเดือน ดังนั้นจึงใช้ mixed-frequency design แบบโปร่งใส โดยมีสามขั้นตอนหลัก: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1. ใช้ยอด annual social assistance ของ NESDC เป็น anchor ของขนาดทางการคลังที่แท้จริง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2. สร้าง monthly policy-intensity calendar เพื่อกระจายยอด annual totals ลงสู่รายเดือนตาม timing ของมาตรการเงินสดและ in-kind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3. ประมาณค่าด้วยแบบจำลอง 3 ชุด</w:t>
      </w:r>
    </w:p>
    <w:p>
      <w:pPr>
        <w:pStyle w:val="Heading2"/>
        <w:spacing w:after="120" w:before="180"/>
      </w:pPr>
      <w:r>
        <w:rPr>
          <w:b w:val="false"/>
          <w:bCs w:val="false"/>
          <w:i w:val="false"/>
          <w:iCs w:val="false"/>
        </w:rPr>
        <w:t xml:space="preserve">1. การสร้าง monthly fiscal proxy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ให้: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A_cash,y คือ annual cash social assistance ของปี y จาก NESDC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A_inkind,y คือ annual in-kind social assistance ของปี y จาก NESDC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w_cash,t คือ monthly cash-intensity weight ของเดือน 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w_inkind,t คือ monthly in-kind-intensity weight ของเดือน 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ทุกเดือนเริ่มจาก baseline weight เท่ากับ 1 แล้วเพิ่มน้ำหนักตามช่วงเวลาที่มาตรการมีผล ภายในปีเดียวกัน นิยามรายจ่าย proxy รายเดือนเป็น:</w:t>
      </w:r>
    </w:p>
    <w:p>
      <w:pPr>
        <w:spacing w:after="140" w:before="120"/>
        <w:jc w:val="center"/>
      </w:pPr>
      <m:oMath>
        <m:sSub>
          <m:sSubPr/>
          <m:e>
            <m:r>
              <m:t>cash proxy</m:t>
            </m:r>
          </m:e>
          <m:sub>
            <m:r>
              <m:t>t</m:t>
            </m:r>
          </m:sub>
        </m:sSub>
        <m:r>
          <m:t> = </m:t>
        </m:r>
        <m:f>
          <m:num>
            <m:sSub>
              <m:sSubPr/>
              <m:e>
                <m:r>
                  <m:t>A</m:t>
                </m:r>
              </m:e>
              <m:sub>
                <m:r>
                  <m:t>cash,y</m:t>
                </m:r>
              </m:sub>
            </m:sSub>
            <m:r>
              <m:t> × </m:t>
            </m:r>
            <m:sSub>
              <m:sSubPr/>
              <m:e>
                <m:r>
                  <m:t>w</m:t>
                </m:r>
              </m:e>
              <m:sub>
                <m:r>
                  <m:t>cash,t</m:t>
                </m:r>
              </m:sub>
            </m:sSub>
          </m:num>
          <m:den>
            <m:nary>
              <m:naryPr>
                <m:chr m:val="∑"/>
                <m:limLoc m:val="undOvr"/>
                <m:supHide m:val="1"/>
              </m:naryPr>
              <m:sub>
                <m:r>
                  <m:t>m ∈ y</m:t>
                </m:r>
              </m:sub>
              <m:e>
                <m:sSub>
                  <m:sSubPr/>
                  <m:e>
                    <m:r>
                      <m:t>w</m:t>
                    </m:r>
                  </m:e>
                  <m:sub>
                    <m:r>
                      <m:t>cash,m</m:t>
                    </m:r>
                  </m:sub>
                </m:sSub>
              </m:e>
            </m:nary>
          </m:den>
        </m:f>
      </m:oMath>
    </w:p>
    <w:p>
      <w:pPr>
        <w:spacing w:after="140" w:before="120"/>
        <w:jc w:val="center"/>
      </w:pPr>
      <m:oMath>
        <m:sSub>
          <m:sSubPr/>
          <m:e>
            <m:r>
              <m:t>inkind proxy</m:t>
            </m:r>
          </m:e>
          <m:sub>
            <m:r>
              <m:t>t</m:t>
            </m:r>
          </m:sub>
        </m:sSub>
        <m:r>
          <m:t> = </m:t>
        </m:r>
        <m:f>
          <m:num>
            <m:sSub>
              <m:sSubPr/>
              <m:e>
                <m:r>
                  <m:t>A</m:t>
                </m:r>
              </m:e>
              <m:sub>
                <m:r>
                  <m:t>inkind,y</m:t>
                </m:r>
              </m:sub>
            </m:sSub>
            <m:r>
              <m:t> × </m:t>
            </m:r>
            <m:sSub>
              <m:sSubPr/>
              <m:e>
                <m:r>
                  <m:t>w</m:t>
                </m:r>
              </m:e>
              <m:sub>
                <m:r>
                  <m:t>inkind,t</m:t>
                </m:r>
              </m:sub>
            </m:sSub>
          </m:num>
          <m:den>
            <m:nary>
              <m:naryPr>
                <m:chr m:val="∑"/>
                <m:limLoc m:val="undOvr"/>
                <m:supHide m:val="1"/>
              </m:naryPr>
              <m:sub>
                <m:r>
                  <m:t>m ∈ y</m:t>
                </m:r>
              </m:sub>
              <m:e>
                <m:sSub>
                  <m:sSubPr/>
                  <m:e>
                    <m:r>
                      <m:t>w</m:t>
                    </m:r>
                  </m:e>
                  <m:sub>
                    <m:r>
                      <m:t>inkind,m</m:t>
                    </m:r>
                  </m:sub>
                </m:sSub>
              </m:e>
            </m:nary>
          </m:den>
        </m:f>
      </m:oMath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นิยามนี้ทำให้ monthly proxies ทั้ง 12 เดือนรวมกันเท่ากับยอด annual totals ของ NESDC อย่างพอดีในแต่ละปี จากนั้นจึงแปลงเป็นค่า standardized ตลอดทั้ง sample:</w:t>
      </w:r>
    </w:p>
    <w:p>
      <w:pPr>
        <w:spacing w:after="140" w:before="120"/>
        <w:jc w:val="center"/>
      </w:pPr>
      <m:oMath>
        <m:sSub>
          <m:sSubPr/>
          <m:e>
            <m:r>
              <m:t>cash z</m:t>
            </m:r>
          </m:e>
          <m:sub>
            <m:r>
              <m:t>t</m:t>
            </m:r>
          </m:sub>
        </m:sSub>
        <m:r>
          <m:t> = </m:t>
        </m:r>
        <m:f>
          <m:num>
            <m:d>
              <m:dPr/>
              <m:e>
                <m:sSub>
                  <m:sSubPr/>
                  <m:e>
                    <m:r>
                      <m:t>cash proxy</m:t>
                    </m:r>
                  </m:e>
                  <m:sub>
                    <m:r>
                      <m:t>t</m:t>
                    </m:r>
                  </m:sub>
                </m:sSub>
                <m:r>
                  <m:t> − mean(cash proxy)</m:t>
                </m:r>
              </m:e>
            </m:d>
          </m:num>
          <m:den>
            <m:r>
              <m:t>sd(cash proxy)</m:t>
            </m:r>
          </m:den>
        </m:f>
      </m:oMath>
    </w:p>
    <w:p>
      <w:pPr>
        <w:spacing w:after="140" w:before="120"/>
        <w:jc w:val="center"/>
      </w:pPr>
      <m:oMath>
        <m:sSub>
          <m:sSubPr/>
          <m:e>
            <m:r>
              <m:t>inkind z</m:t>
            </m:r>
          </m:e>
          <m:sub>
            <m:r>
              <m:t>t</m:t>
            </m:r>
          </m:sub>
        </m:sSub>
        <m:r>
          <m:t> = </m:t>
        </m:r>
        <m:f>
          <m:num>
            <m:d>
              <m:dPr/>
              <m:e>
                <m:sSub>
                  <m:sSubPr/>
                  <m:e>
                    <m:r>
                      <m:t>inkind proxy</m:t>
                    </m:r>
                  </m:e>
                  <m:sub>
                    <m:r>
                      <m:t>t</m:t>
                    </m:r>
                  </m:sub>
                </m:sSub>
                <m:r>
                  <m:t> − mean(inkind proxy)</m:t>
                </m:r>
              </m:e>
            </m:d>
          </m:num>
          <m:den>
            <m:r>
              <m:t>sd(inkind proxy)</m:t>
            </m:r>
          </m:den>
        </m:f>
      </m:oMath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ดังนั้นค่าสัมประสิทธิ์ทั้งหมดจึงตีความได้ว่าเป็นการตอบสนองของดัชนีความเชื่อมั่นต่อการเพิ่มขึ้น 1 ส่วนเบี่ยงเบนมาตรฐานของ monthly transfer-intensity proxy</w:t>
      </w:r>
    </w:p>
    <w:p>
      <w:pPr>
        <w:pStyle w:val="Heading2"/>
        <w:spacing w:after="120" w:before="180"/>
      </w:pPr>
      <w:r>
        <w:rPr>
          <w:b w:val="false"/>
          <w:bCs w:val="false"/>
          <w:i w:val="false"/>
          <w:iCs w:val="false"/>
        </w:rPr>
        <w:t xml:space="preserve">2. ตาราง calibration ของ policy intensity</w:t>
      </w:r>
    </w:p>
    <w:tbl>
      <w:tblPr>
        <w:tblW w:type="pct" w:w="100%"/>
        <w:tblBorders>
          <w:top w:val="single" w:color="9CA3AF" w:sz="1"/>
          <w:left w:val="single" w:color="D1D5DB" w:sz="1"/>
          <w:bottom w:val="single" w:color="9CA3AF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ช่วงมาตรการ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เดือน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Cash weight add-on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In-kind weight add-on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เหตุผลเชิงนโยบาย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เปิดตัวบัตรสวัสดิการแห่งรัฐ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2017-10 ถึง 2018-03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ช่วง rollout เริ่มต้นและรอบเติมสิทธิ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ยกระดับบัตรสวัสดิการ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2018-04 ถึง 2019-12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2 และมาตรการคุณภาพชีวิต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เงินสดเยียวยาโควิดระยะแรก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2020-04 ถึง 2020-06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cash stabilization เร่งด่วน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ขยายมาตรการค่าครองชีพโควิด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2020-07 ถึง 2020-12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ค่าน้ำ ค่าไฟ และบรรเทาค่าครองชีพ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เราชนะ และ ม33เรารักกัน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2021-02 ถึง 2021-05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มาตรการเงินสดเข้มข้น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วัคซีนและการเปิดเมือง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2021-06 ถึง 2021-12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รายจ่ายสุขภาพและการฟื้นกิจกรรมเศรษฐกิจ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สุขภาพและสวัสดิการปี 2022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2022-01 ถึง 2022-09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สุขภาพและสวัสดิการต่อเนื่อง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วงรอบใหม่ของบัตรสวัสดิการ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2023-04 ถึง 2023-12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entitlement cycle ใหม่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เงิน 10,000 บาท กลุ่มเปราะบาง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2024-09 ถึง 2024-11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one-off cash stimulus ขนาดใหญ่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น้ำหนักเหล่านี้ไม่ใช่ค่าประมาณทางเศรษฐมิติ แต่เป็น calibration device เพื่อสะท้อน timing ของมาตรการรายเดือนโดยไม่ทำให้ยอดรายปีผิดจากข้อมูลทางการ</w:t>
      </w:r>
    </w:p>
    <w:p>
      <w:pPr>
        <w:pStyle w:val="Heading2"/>
        <w:spacing w:after="120" w:before="180"/>
      </w:pPr>
      <w:r>
        <w:rPr>
          <w:b w:val="false"/>
          <w:bCs w:val="false"/>
          <w:i w:val="false"/>
          <w:iCs w:val="false"/>
        </w:rPr>
        <w:t xml:space="preserve">3. นิยามตัวแปรและ sample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Sample ระดับประเทศ: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TPSO national CCI รายเดือน: 2019M1-2024M12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FPO mean regional RSI รายเดือน: 2018M1-2024M12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TCC ใช้เป็น benchmark เฉพาะบางเดือนเพื่อ cross-check ไม่ได้ใช้เป็น dependent variable หลัก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Sample ระดับอาชีพ: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7 กลุ่มอาชีพจาก TPSO รายเดือน ช่วง 2019M1-2024M12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ตัวแปรตาม: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cci_o,t = ดัชนีความเชื่อมั่นรวมของกลุ่มอาชีพ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future_o,t = ดัชนีความคาดหวังในอนาคตของกลุ่มอาชีพ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ตัวแปรบอกความเปราะบางด้านรายได้: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LowInc_o = 1 สำหรับเกษตรกร รับจ้างบริการ/อาชีพบริการอิสระ และไม่ได้ทำงาน/บำนาญ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LowInc_o = 0 สำหรับข้าราชการ/รัฐวิสาหกิจ/พนักงานของรัฐ นักศึกษา พนักงานบริษัท และนักธุรกิจ/เจ้าของกิจการ/เจ้าของแผงค้า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จำนวนข้อมูลที่ใช้จริง: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National TPSO change model: 70 observations หลัง differencing และใส่ lags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National FPO change model: 82 observations หลัง differencing และใส่ lags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Occupation TWFE สำหรับ cci_o,t: 504 observations, 72 เดือน, 7 อาชีพ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Occupation TWFE สำหรับ future_o,t: 336 observations, 48 เดือน, 7 อาชีพ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Local projections: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h=0: 497 observations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h=1: 490 observations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h=2: 483 observations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h=3: 476 observations</w:t>
      </w:r>
    </w:p>
    <w:p>
      <w:pPr>
        <w:pStyle w:val="Heading2"/>
        <w:spacing w:after="120" w:before="180"/>
      </w:pPr>
      <w:r>
        <w:rPr>
          <w:b w:val="false"/>
          <w:bCs w:val="false"/>
          <w:i w:val="false"/>
          <w:iCs w:val="false"/>
        </w:rPr>
        <w:t xml:space="preserve">4. Model A: National confidence change model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สมการที่ประมาณมีรูปแบบเป็น:</w:t>
      </w:r>
    </w:p>
    <w:p>
      <w:pPr>
        <w:spacing w:after="140" w:before="120"/>
        <w:jc w:val="center"/>
      </w:pPr>
      <m:oMath>
        <m:sSub>
          <m:sSubPr/>
          <m:e>
            <m:r>
              <m:t>ΔY</m:t>
            </m:r>
          </m:e>
          <m:sub>
            <m:r>
              <m:t>t</m:t>
            </m:r>
          </m:sub>
        </m:sSub>
        <m:r>
          <m:t> = α + </m:t>
        </m:r>
        <m:sSub>
          <m:sSubPr/>
          <m:e>
            <m:r>
              <m:t>β</m:t>
            </m:r>
          </m:e>
          <m:sub>
            <m:r>
              <m:t>0</m:t>
            </m:r>
          </m:sub>
        </m:sSub>
        <m:r>
          <m:t> </m:t>
        </m:r>
        <m:sSub>
          <m:sSubPr/>
          <m:e>
            <m:r>
              <m:t>cash z</m:t>
            </m:r>
          </m:e>
          <m:sub>
            <m:r>
              <m:t>t</m:t>
            </m:r>
          </m:sub>
        </m:sSub>
        <m:r>
          <m:t> + </m:t>
        </m:r>
        <m:sSub>
          <m:sSubPr/>
          <m:e>
            <m:r>
              <m:t>β</m:t>
            </m:r>
          </m:e>
          <m:sub>
            <m:r>
              <m:t>1</m:t>
            </m:r>
          </m:sub>
        </m:sSub>
        <m:r>
          <m:t> </m:t>
        </m:r>
        <m:sSub>
          <m:sSubPr/>
          <m:e>
            <m:r>
              <m:t>inkind z</m:t>
            </m:r>
          </m:e>
          <m:sub>
            <m:r>
              <m:t>t</m:t>
            </m:r>
          </m:sub>
        </m:sSub>
        <m:r>
          <m:t> + </m:t>
        </m:r>
        <m:sSub>
          <m:sSubPr/>
          <m:e>
            <m:r>
              <m:t>β</m:t>
            </m:r>
          </m:e>
          <m:sub>
            <m:r>
              <m:t>2</m:t>
            </m:r>
          </m:sub>
        </m:sSub>
        <m:r>
          <m:t> </m:t>
        </m:r>
        <m:sSub>
          <m:sSubPr/>
          <m:e>
            <m:r>
              <m:t>cash z</m:t>
            </m:r>
          </m:e>
          <m:sub>
            <m:r>
              <m:t>t−1</m:t>
            </m:r>
          </m:sub>
        </m:sSub>
        <m:r>
          <m:t> + </m:t>
        </m:r>
        <m:sSub>
          <m:sSubPr/>
          <m:e>
            <m:r>
              <m:t>β</m:t>
            </m:r>
          </m:e>
          <m:sub>
            <m:r>
              <m:t>3</m:t>
            </m:r>
          </m:sub>
        </m:sSub>
        <m:r>
          <m:t> </m:t>
        </m:r>
        <m:sSub>
          <m:sSubPr/>
          <m:e>
            <m:r>
              <m:t>inkind z</m:t>
            </m:r>
          </m:e>
          <m:sub>
            <m:r>
              <m:t>t−1</m:t>
            </m:r>
          </m:sub>
        </m:sSub>
        <m:r>
          <m:t> + ρ </m:t>
        </m:r>
        <m:sSub>
          <m:sSubPr/>
          <m:e>
            <m:r>
              <m:t>ΔY</m:t>
            </m:r>
          </m:e>
          <m:sub>
            <m:r>
              <m:t>t−1</m:t>
            </m:r>
          </m:sub>
        </m:sSub>
        <m:r>
          <m:t> + </m:t>
        </m:r>
        <m:sSub>
          <m:sSubPr/>
          <m:e>
            <m:r>
              <m:t>e</m:t>
            </m:r>
          </m:e>
          <m:sub>
            <m:r>
              <m:t>t</m:t>
            </m:r>
          </m:sub>
        </m:sSub>
      </m:oMath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โดยที่: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Y_t คือ TPSO national CCI หรือ FPO mean regional RSI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Delta Y_t คือการเปลี่ยนแปลงรายเดือนของดัชนีดังกล่าว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cash_z,t และ inkind_z,t คือ standardized fiscal proxies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rho สะท้อน persistence ระยะสั้นของการเปลี่ยนแปลงความเชื่อมั่น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การตีความ: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beta_0 คือผลร่วมสมัยของความเข้มข้นมาตรการเงินสดต่อ aggregate confidence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beta_1 คือผลร่วมสมัยของความเข้มข้นมาตรการ in-kind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beta_2 และ beta_3 คือ delayed effects 1 เดือน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แบบจำลองนี้จงใจทำให้เรียบง่าย เพราะต้องการสรุป short-run macro association ระหว่าง transfer intensity กับ confidence ไม่ได้อ้างว่าเป็น fully structural causal estimate</w:t>
      </w:r>
    </w:p>
    <w:p>
      <w:pPr>
        <w:pStyle w:val="Heading2"/>
        <w:spacing w:after="120" w:before="180"/>
      </w:pPr>
      <w:r>
        <w:rPr>
          <w:b w:val="false"/>
          <w:bCs w:val="false"/>
          <w:i w:val="false"/>
          <w:iCs w:val="false"/>
        </w:rPr>
        <w:t xml:space="preserve">5. Model B: Occupation-level two-way fixed effects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แบบจำลองเชิงกระจายตัวหลักของรายงานคือ:</w:t>
      </w:r>
    </w:p>
    <w:p>
      <w:pPr>
        <w:spacing w:after="140" w:before="120"/>
        <w:jc w:val="center"/>
      </w:pPr>
      <m:oMath>
        <m:sSub>
          <m:sSubPr/>
          <m:e>
            <m:r>
              <m:t>Y</m:t>
            </m:r>
          </m:e>
          <m:sub>
            <m:r>
              <m:t>o,t</m:t>
            </m:r>
          </m:sub>
        </m:sSub>
        <m:r>
          <m:t> = </m:t>
        </m:r>
        <m:sSub>
          <m:sSubPr/>
          <m:e>
            <m:r>
              <m:t>α</m:t>
            </m:r>
          </m:e>
          <m:sub>
            <m:r>
              <m:t>o</m:t>
            </m:r>
          </m:sub>
        </m:sSub>
        <m:r>
          <m:t> + </m:t>
        </m:r>
        <m:sSub>
          <m:sSubPr/>
          <m:e>
            <m:r>
              <m:t>λ</m:t>
            </m:r>
          </m:e>
          <m:sub>
            <m:r>
              <m:t>t</m:t>
            </m:r>
          </m:sub>
        </m:sSub>
        <m:r>
          <m:t> + </m:t>
        </m:r>
        <m:sSub>
          <m:sSubPr/>
          <m:e>
            <m:r>
              <m:t>θ</m:t>
            </m:r>
          </m:e>
          <m:sub>
            <m:r>
              <m:t>cash</m:t>
            </m:r>
          </m:sub>
        </m:sSub>
        <m:r>
          <m:t> </m:t>
        </m:r>
        <m:d>
          <m:dPr/>
          <m:e>
            <m:sSub>
              <m:sSubPr/>
              <m:e>
                <m:r>
                  <m:t>LowInc</m:t>
                </m:r>
              </m:e>
              <m:sub>
                <m:r>
                  <m:t>o</m:t>
                </m:r>
              </m:sub>
            </m:sSub>
            <m:r>
              <m:t> × </m:t>
            </m:r>
            <m:sSub>
              <m:sSubPr/>
              <m:e>
                <m:r>
                  <m:t>cash z</m:t>
                </m:r>
              </m:e>
              <m:sub>
                <m:r>
                  <m:t>t</m:t>
                </m:r>
              </m:sub>
            </m:sSub>
          </m:e>
        </m:d>
        <m:r>
          <m:t> + </m:t>
        </m:r>
        <m:sSub>
          <m:sSubPr/>
          <m:e>
            <m:r>
              <m:t>θ</m:t>
            </m:r>
          </m:e>
          <m:sub>
            <m:r>
              <m:t>inkind</m:t>
            </m:r>
          </m:sub>
        </m:sSub>
        <m:r>
          <m:t> </m:t>
        </m:r>
        <m:d>
          <m:dPr/>
          <m:e>
            <m:sSub>
              <m:sSubPr/>
              <m:e>
                <m:r>
                  <m:t>LowInc</m:t>
                </m:r>
              </m:e>
              <m:sub>
                <m:r>
                  <m:t>o</m:t>
                </m:r>
              </m:sub>
            </m:sSub>
            <m:r>
              <m:t> × </m:t>
            </m:r>
            <m:sSub>
              <m:sSubPr/>
              <m:e>
                <m:r>
                  <m:t>inkind z</m:t>
                </m:r>
              </m:e>
              <m:sub>
                <m:r>
                  <m:t>t</m:t>
                </m:r>
              </m:sub>
            </m:sSub>
          </m:e>
        </m:d>
        <m:r>
          <m:t> + </m:t>
        </m:r>
        <m:sSub>
          <m:sSubPr/>
          <m:e>
            <m:r>
              <m:t>u</m:t>
            </m:r>
          </m:e>
          <m:sub>
            <m:r>
              <m:t>o,t</m:t>
            </m:r>
          </m:sub>
        </m:sSub>
      </m:oMath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โดยที่: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alpha_o คือ occupation fixed effects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lambda_t คือ month fixed effects เต็มรูปแบบ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Y_o,t คือ cci_o,t หรือ future_o,t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ประเด็น identification ที่สำคัญ: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เนื่องจาก lambda_t ดูดซับ shocks ร่วมของทุกอาชีพในเดือนเดียวกัน main effects ของ cash_z,t และ inkind_z,t จึงถูก absorbed ไปทั้งหมด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แบบจำลองนี้จึงระบุได้เฉพาะ relative response ของ low-income-sensitive occupations เทียบกับกลุ่มที่เปราะบางน้อยกว่าในเดือนที่ transfer intensity สูง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การตีความ: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theta_cash &gt; 0 หมายถึงเดือนที่ cash-heavy ช่วยแคบช่องว่างความเชื่อมั่นของกลุ่มเปราะบาง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theta_cash &lt; 0 หมายถึงเดือนที่ cash-heavy สัมพันธ์กับช่องว่างที่กว้างขึ้น หรือการฟื้นตัวเชิงสัมพัทธ์ที่อ่อนกว่า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theta_inkind ตีความแบบเดียวกันสำหรับมาตรการ in-kind</w:t>
      </w:r>
    </w:p>
    <w:p>
      <w:pPr>
        <w:pStyle w:val="Heading2"/>
        <w:spacing w:after="120" w:before="180"/>
      </w:pPr>
      <w:r>
        <w:rPr>
          <w:b w:val="false"/>
          <w:bCs w:val="false"/>
          <w:i w:val="false"/>
          <w:iCs w:val="false"/>
        </w:rPr>
        <w:t xml:space="preserve">6. Model C: Local projections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เพื่อดูพลวัตระยะสั้น ใช้สมการ local projection สำหรับ horizon h = 0, 1, 2, 3 ดังนี้:</w:t>
      </w:r>
    </w:p>
    <w:p>
      <w:pPr>
        <w:spacing w:after="140" w:before="120"/>
        <w:jc w:val="center"/>
      </w:pPr>
      <m:oMath>
        <m:sSub>
          <m:sSubPr/>
          <m:e>
            <m:r>
              <m:t>Y</m:t>
            </m:r>
          </m:e>
          <m:sub>
            <m:r>
              <m:t>o,t+h</m:t>
            </m:r>
          </m:sub>
        </m:sSub>
        <m:r>
          <m:t> − </m:t>
        </m:r>
        <m:sSub>
          <m:sSubPr/>
          <m:e>
            <m:r>
              <m:t>Y</m:t>
            </m:r>
          </m:e>
          <m:sub>
            <m:r>
              <m:t>o,t−1</m:t>
            </m:r>
          </m:sub>
        </m:sSub>
        <m:r>
          <m:t> = </m:t>
        </m:r>
        <m:sSub>
          <m:sSubPr/>
          <m:e>
            <m:r>
              <m:t>α</m:t>
            </m:r>
          </m:e>
          <m:sub>
            <m:r>
              <m:t>o,h</m:t>
            </m:r>
          </m:sub>
        </m:sSub>
        <m:r>
          <m:t> + </m:t>
        </m:r>
        <m:sSub>
          <m:sSubPr/>
          <m:e>
            <m:r>
              <m:t>λ</m:t>
            </m:r>
          </m:e>
          <m:sub>
            <m:r>
              <m:t>t,h</m:t>
            </m:r>
          </m:sub>
        </m:sSub>
        <m:r>
          <m:t> + </m:t>
        </m:r>
        <m:sSub>
          <m:sSubPr/>
          <m:e>
            <m:r>
              <m:t>ψ</m:t>
            </m:r>
          </m:e>
          <m:sub>
            <m:r>
              <m:t>cash,h</m:t>
            </m:r>
          </m:sub>
        </m:sSub>
        <m:r>
          <m:t> </m:t>
        </m:r>
        <m:d>
          <m:dPr/>
          <m:e>
            <m:sSub>
              <m:sSubPr/>
              <m:e>
                <m:r>
                  <m:t>LowInc</m:t>
                </m:r>
              </m:e>
              <m:sub>
                <m:r>
                  <m:t>o</m:t>
                </m:r>
              </m:sub>
            </m:sSub>
            <m:r>
              <m:t> × </m:t>
            </m:r>
            <m:sSub>
              <m:sSubPr/>
              <m:e>
                <m:r>
                  <m:t>cash z</m:t>
                </m:r>
              </m:e>
              <m:sub>
                <m:r>
                  <m:t>t</m:t>
                </m:r>
              </m:sub>
            </m:sSub>
          </m:e>
        </m:d>
        <m:r>
          <m:t> + </m:t>
        </m:r>
        <m:sSub>
          <m:sSubPr/>
          <m:e>
            <m:r>
              <m:t>ψ</m:t>
            </m:r>
          </m:e>
          <m:sub>
            <m:r>
              <m:t>inkind,h</m:t>
            </m:r>
          </m:sub>
        </m:sSub>
        <m:r>
          <m:t> </m:t>
        </m:r>
        <m:d>
          <m:dPr/>
          <m:e>
            <m:sSub>
              <m:sSubPr/>
              <m:e>
                <m:r>
                  <m:t>LowInc</m:t>
                </m:r>
              </m:e>
              <m:sub>
                <m:r>
                  <m:t>o</m:t>
                </m:r>
              </m:sub>
            </m:sSub>
            <m:r>
              <m:t> × </m:t>
            </m:r>
            <m:sSub>
              <m:sSubPr/>
              <m:e>
                <m:r>
                  <m:t>inkind z</m:t>
                </m:r>
              </m:e>
              <m:sub>
                <m:r>
                  <m:t>t</m:t>
                </m:r>
              </m:sub>
            </m:sSub>
          </m:e>
        </m:d>
        <m:r>
          <m:t> + </m:t>
        </m:r>
        <m:sSub>
          <m:sSubPr/>
          <m:e>
            <m:r>
              <m:t>v</m:t>
            </m:r>
          </m:e>
          <m:sub>
            <m:r>
              <m:t>o,t+h</m:t>
            </m:r>
          </m:sub>
        </m:sSub>
      </m:oMath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โดย: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ฝั่งซ้ายคือ cumulative change จาก t-1 ไป t+h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alpha_o,h และ lambda_t,h เป็น horizon-specific fixed effects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การตีความ: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psi_cash,h และ psi_inkind,h แสดงว่า relative confidence response ของกลุ่มเปราะบางพัฒนาไปอย่างไรในอีก 0-3 เดือนหลังจากเดือนที่ transfer intensity สูง</w:t>
      </w:r>
    </w:p>
    <w:p>
      <w:pPr>
        <w:pStyle w:val="Heading2"/>
        <w:spacing w:after="120" w:before="180"/>
      </w:pPr>
      <w:r>
        <w:rPr>
          <w:b w:val="false"/>
          <w:bCs w:val="false"/>
          <w:i w:val="false"/>
          <w:iCs w:val="false"/>
        </w:rPr>
        <w:t xml:space="preserve">7. วิธีประมาณค่าและ variance formulas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แบบจำลอง occupation panel ประมาณด้วย ordinary least squares หลังจากทำ exact two-way demeaning ให้ X เป็นเมทริกซ์ของ demeaned regressors และ u เป็น residual vector จะได้ clustered variance estimator เป็น:</w:t>
      </w:r>
    </w:p>
    <w:p>
      <w:pPr>
        <w:spacing w:after="140" w:before="120"/>
        <w:jc w:val="center"/>
      </w:pPr>
      <m:oMath>
        <m:sSub>
          <m:sSubPr/>
          <m:e>
            <m:r>
              <m:t>V</m:t>
            </m:r>
          </m:e>
          <m:sub>
            <m:r>
              <m:t>cluster</m:t>
            </m:r>
          </m:sub>
        </m:sSub>
        <m:r>
          <m:t> = s </m:t>
        </m:r>
        <m:sSup>
          <m:sSupPr/>
          <m:e>
            <m:d>
              <m:dPr/>
              <m:e>
                <m:r>
                  <m:t>X′X</m:t>
                </m:r>
              </m:e>
            </m:d>
          </m:e>
          <m:sup>
            <m:r>
              <m:t>−1</m:t>
            </m:r>
          </m:sup>
        </m:sSup>
        <m:r>
          <m:t> </m:t>
        </m:r>
        <m:d>
          <m:dPr>
            <m:begChr m:val="["/>
            <m:endChr m:val="]"/>
          </m:dPr>
          <m:e>
            <m:nary>
              <m:naryPr>
                <m:chr m:val="∑"/>
                <m:limLoc m:val="undOvr"/>
                <m:supHide m:val="1"/>
              </m:naryPr>
              <m:sub>
                <m:r>
                  <m:t>g</m:t>
                </m:r>
              </m:sub>
              <m:e>
                <m:d>
                  <m:dPr/>
                  <m:e>
                    <m:sSub>
                      <m:sSubPr/>
                      <m:e>
                        <m:r>
                          <m:t>X′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t> </m:t>
                    </m:r>
                    <m:sSub>
                      <m:sSubPr/>
                      <m:e>
                        <m:r>
                          <m:t>u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t> </m:t>
                    </m:r>
                    <m:sSub>
                      <m:sSubPr/>
                      <m:e>
                        <m:r>
                          <m:t>u′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t> </m:t>
                    </m:r>
                    <m:sSub>
                      <m:sSubPr/>
                      <m:e>
                        <m:r>
                          <m:t>X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e>
                </m:d>
              </m:e>
            </m:nary>
          </m:e>
        </m:d>
        <m:r>
          <m:t> </m:t>
        </m:r>
        <m:sSup>
          <m:sSupPr/>
          <m:e>
            <m:d>
              <m:dPr/>
              <m:e>
                <m:r>
                  <m:t>X′X</m:t>
                </m:r>
              </m:e>
            </m:d>
          </m:e>
          <m:sup>
            <m:r>
              <m:t>−1</m:t>
            </m:r>
          </m:sup>
        </m:sSup>
      </m:oMath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โดย g คือ monthly clusters และ:</w:t>
      </w:r>
    </w:p>
    <w:p>
      <w:pPr>
        <w:spacing w:after="140" w:before="120"/>
        <w:jc w:val="center"/>
      </w:pPr>
      <m:oMath>
        <m:r>
          <m:t>s = </m:t>
        </m:r>
        <m:d>
          <m:dPr/>
          <m:e>
            <m:f>
              <m:num>
                <m:r>
                  <m:t>M</m:t>
                </m:r>
              </m:num>
              <m:den>
                <m:r>
                  <m:t>M − 1</m:t>
                </m:r>
              </m:den>
            </m:f>
          </m:e>
        </m:d>
        <m:r>
          <m:t> </m:t>
        </m:r>
        <m:d>
          <m:dPr/>
          <m:e>
            <m:f>
              <m:num>
                <m:r>
                  <m:t>N − 1</m:t>
                </m:r>
              </m:num>
              <m:den>
                <m:r>
                  <m:t>N − K</m:t>
                </m:r>
              </m:den>
            </m:f>
          </m:e>
        </m:d>
      </m:oMath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นิยาม: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M คือจำนวน clusters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N คือจำนวน 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K คือจำนวน regressors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ดังนั้น occupation models ในรายงานนี้ใช้ month-clustered robust standard errors พร้อม small-sample correction ตามนิยามข้างต้น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ฝั่ง national change models ใช้ Newey-West style HAC estimator ด้วย Bartlett weights และกำหนด lag length L = 3:</w:t>
      </w:r>
    </w:p>
    <w:p>
      <w:pPr>
        <w:spacing w:after="140" w:before="120"/>
        <w:jc w:val="center"/>
      </w:pPr>
      <m:oMath>
        <m:sSub>
          <m:sSubPr/>
          <m:e>
            <m:r>
              <m:t>V</m:t>
            </m:r>
          </m:e>
          <m:sub>
            <m:r>
              <m:t>HAC</m:t>
            </m:r>
          </m:sub>
        </m:sSub>
        <m:r>
          <m:t> = </m:t>
        </m:r>
        <m:sSup>
          <m:sSupPr/>
          <m:e>
            <m:d>
              <m:dPr/>
              <m:e>
                <m:r>
                  <m:t>X′X</m:t>
                </m:r>
              </m:e>
            </m:d>
          </m:e>
          <m:sup>
            <m:r>
              <m:t>−1</m:t>
            </m:r>
          </m:sup>
        </m:sSup>
        <m:r>
          <m:t> S </m:t>
        </m:r>
        <m:sSup>
          <m:sSupPr/>
          <m:e>
            <m:d>
              <m:dPr/>
              <m:e>
                <m:r>
                  <m:t>X′X</m:t>
                </m:r>
              </m:e>
            </m:d>
          </m:e>
          <m:sup>
            <m:r>
              <m:t>−1</m:t>
            </m:r>
          </m:sup>
        </m:sSup>
      </m:oMath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โดย:</w:t>
      </w:r>
    </w:p>
    <w:p>
      <w:pPr>
        <w:spacing w:after="140" w:before="120"/>
        <w:jc w:val="center"/>
      </w:pPr>
      <m:oMath>
        <m:r>
          <m:t>S = Σₜ uₜ² xₜ xₜ′ + Σℓ₌₁ᴸ (1 − ℓ/(L+1)) Σₜ₌ℓ₊₁ᵀ uₜ uₜ₋ℓ (xₜ xₜ₋ℓ′ + xₜ₋ℓ xₜ′)</m:t>
        </m:r>
      </m:oMath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รายงานนี้ใช้ 90% confidence intervals ซึ่งคำนวณจาก coefficient plus/minus 1.645 standard errors</w:t>
      </w:r>
    </w:p>
    <w:p>
      <w:pPr>
        <w:pStyle w:val="Heading2"/>
        <w:spacing w:after="120" w:before="180"/>
      </w:pPr>
      <w:r>
        <w:rPr>
          <w:b w:val="false"/>
          <w:bCs w:val="false"/>
          <w:i w:val="false"/>
          <w:iCs w:val="false"/>
        </w:rPr>
        <w:t xml:space="preserve">8. สมมติฐานเชิง identification และข้อจำกัด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สมมติฐานหลักของงานนี้ไม่ใช่การบอกว่า transfers เป็น exogenous โดยสมบูรณ์ แต่เป็นการตีความแบบพอประมาณมากกว่า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ใน national change models ค่าสัมประสิทธิ์วัด short-run comovement แบบมีการควบคุม persistence บางส่วน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ใน occupation TWFE และ local projection การระบุผลมาจากความแตกต่างว่ากลุ่มอาชีพเปราะบางเคลื่อนไหวต่างจากกลุ่มไม่เปราะบางหรือไม่ ภายในเดือนเดียวกันที่ transfer intensity สูง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จุดแข็งของกรอบนี้คือดีกว่า pure before-after comparison แต่ก็ยังมีข้อจำกัด: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Monthly fiscal proxy เป็นตัวแปรที่สร้างขึ้น ไม่ใช่รายจ่ายรายเดือนที่สังเกตได้โดยตรง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ความเข้มข้นของมาตรการถูก encode จาก timing ของนโยบาย ไม่ใช่ disbursement ledger รายเดือน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บางมาตรการอาจ endogenous ต่อภาวะเศรษฐกิจที่เลวลง โดยเฉพาะช่วง 2020-2021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ตัวแปร exposure dummy ถูกออกแบบให้เรียบง่าย จึงอาจจับความต่างภายในอาชีพได้ไม่ครบ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แบบจำลอง future expectations มีจำนวนข้อมูลน้อยลงเพราะ series ของ TPSO มี missing values บางช่วง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ดังนั้นข้อสรุปเชิงวิธีวิทยาจึงยังเหมือนเดิม: รายงานฉบับนี้เป็น longitudinal empirical framework ที่จริงจังและโปร่งใส แต่ควรอ่านเป็น mixed-frequency policy evaluation exercise ไม่ใช่ structural causal estimate ขั้นเด็ดขาด</w:t>
      </w:r>
    </w:p>
    <w:p>
      <w:pPr>
        <w:pStyle w:val="Heading1"/>
        <w:spacing w:after="120" w:before="180"/>
      </w:pPr>
      <w:r>
        <w:rPr>
          <w:b w:val="false"/>
          <w:bCs w:val="false"/>
          <w:i w:val="false"/>
          <w:iCs w:val="false"/>
        </w:rPr>
        <w:t xml:space="preserve">ผลลัพธ์เชิงเศรษฐมิติ</w:t>
      </w:r>
    </w:p>
    <w:p>
      <w:pPr>
        <w:pStyle w:val="Heading2"/>
        <w:spacing w:after="120" w:before="180"/>
      </w:pPr>
      <w:r>
        <w:rPr>
          <w:b w:val="false"/>
          <w:bCs w:val="false"/>
          <w:i w:val="false"/>
          <w:iCs w:val="false"/>
        </w:rPr>
        <w:t xml:space="preserve">1. ผลต่อความเชื่อมั่นระดับมหภาค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สมการ national change model บ่งชี้ว่า transfer intensity ที่สูงขึ้นสัมพันธ์กับการพยุง confidence ในระดับมหภาค</w:t>
      </w:r>
    </w:p>
    <w:tbl>
      <w:tblPr>
        <w:tblW w:type="pct" w:w="100%"/>
        <w:tblBorders>
          <w:top w:val="single" w:color="9CA3AF" w:sz="1"/>
          <w:left w:val="single" w:color="D1D5DB" w:sz="1"/>
          <w:bottom w:val="single" w:color="9CA3AF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ตัวแปรตาม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Cash proxy coef.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90% CI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In-kind proxy coef.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90% CI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TPSO national CCI change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0.42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0.15 ถึง 0.69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0.15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-0.47 ถึง 0.78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FPO mean regional RSI change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-0.46 ถึง 0.70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1.56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0.07 ถึง 3.06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การตีความ: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มาตรการเงินสดมีบทบาทชัดที่สุดต่อการพยุง demand และความเชื่อมั่นใน series ของ TPSO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มาตรการ in-kind เด่นกว่าใน FPO regional macro-sentiment ซึ่งสอดคล้องกับบทบาทของสุขภาพและ cost-of-living support ต่อเสถียรภาพเศรษฐกิจภูมิภาค</w:t>
      </w:r>
    </w:p>
    <w:p>
      <w:pPr>
        <w:pStyle w:val="Heading2"/>
        <w:spacing w:after="120" w:before="180"/>
      </w:pPr>
      <w:r>
        <w:rPr>
          <w:b w:val="false"/>
          <w:bCs w:val="false"/>
          <w:i w:val="false"/>
          <w:iCs w:val="false"/>
        </w:rPr>
        <w:t xml:space="preserve">2. ผลเชิงกระจายตัว: กลุ่มเปราะบางยังตามหลัง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ผลจาก occupation-level two-way fixed effects ต่างจากผลมหภาคค่อนข้างชัด</w:t>
      </w:r>
    </w:p>
    <w:tbl>
      <w:tblPr>
        <w:tblW w:type="pct" w:w="100%"/>
        <w:tblBorders>
          <w:top w:val="single" w:color="9CA3AF" w:sz="1"/>
          <w:left w:val="single" w:color="D1D5DB" w:sz="1"/>
          <w:bottom w:val="single" w:color="9CA3AF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ตัวแปรตาม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Cash interaction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90% CI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In-kind interaction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90% CI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TPSO occupation CCI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-0.26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-0.44 ถึง -0.07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0.16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-0.03 ถึง 0.35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TPSO occupation future expectations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-0.19 ถึง 0.43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0.32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0.03 ถึง 0.61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การตีความ: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เดือนที่มี cash stimulus สูงไม่ได้ทำให้ช่องว่าง confidence ของกลุ่มเปราะบางแคบลง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มาตรการ in-kind ดูเป็นช่องทางที่เป็นบวกกว่าสำหรับกลุ่มรายได้น้อย โดยเฉพาะเมื่อวัดด้วยดัชนีความคาดหวังในอนาคต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การอ่านที่สมเหตุสมผลคือ cash programs ช่วยพยุง aggregate demand จริง แต่ถูกใช้ในช่วงที่กลุ่มเปราะบางกำลังเผชิญ stress สูงที่สุด จึงยังไม่เพียงพอที่จะทำให้ relative recovery ของคนกลุ่มนี้ดีขึ้นทันที</w:t>
      </w:r>
    </w:p>
    <w:p>
      <w:pPr>
        <w:pStyle w:val="Heading2"/>
        <w:spacing w:after="120" w:before="180"/>
      </w:pPr>
      <w:r>
        <w:rPr>
          <w:b w:val="false"/>
          <w:bCs w:val="false"/>
          <w:i w:val="false"/>
          <w:iCs w:val="false"/>
        </w:rPr>
        <w:t xml:space="preserve">3. พลวัตระยะสั้นจาก local projections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ผล local projections สนับสนุนข้อสรุปข้างต้น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Cash interaction: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h=0: -0.11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h=1: -0.12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h=2: -0.01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h=3: 0.01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In-kind interaction: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h=0: 0.06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h=1: 0.09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h=2: 0.05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h=3: 0.06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ดังนั้น relative drag จาก cash-heavy episodes จะค่อยๆ จางลงในอีกไม่กี่เดือน ขณะที่ผลบวกของ in-kind มีขนาดไม่ใหญ่แต่ค่อนข้างต่อเนื่อง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</w:rPr>
        <w:t xml:space="preserve">Local Projections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ช่องว่าง treated-minus-control เองก็แย่ลงเมื่อเวลาผ่านไป: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ค่าเฉลี่ย gap ในปี 2019: -1.41 จุด CCI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ค่าเฉลี่ย gap ในปี 2024: -3.68 จุด CCI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นี่คือคำเตือนเชิงการกระจายผลที่สำคัญที่สุดในรายงาน กล่าวคือ การฟื้นตัวของ confidence หลังโควิดเกิดขึ้นจริง แต่ไม่ได้กระจายถึงทุกกลุ่มเท่าๆ กัน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</w:rPr>
        <w:t xml:space="preserve">Occupation Gap</w:t>
      </w:r>
    </w:p>
    <w:p>
      <w:pPr>
        <w:pStyle w:val="Heading1"/>
        <w:spacing w:after="120" w:before="180"/>
      </w:pPr>
      <w:r>
        <w:rPr>
          <w:b w:val="false"/>
          <w:bCs w:val="false"/>
          <w:i w:val="false"/>
          <w:iCs w:val="false"/>
        </w:rPr>
        <w:t xml:space="preserve">นโยบายสำคัญที่กระทบคนรายได้น้อย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2017-2018: บัตรสวัสดิการแห่งรัฐ phase 1 และ 2 สร้างโครงสร้างการโอนถาวรสำหรับผู้มีรายได้น้อย ทั้งเงินสด ค่าเดินทาง LPG ค่าสาธารณูปโภค และการซื้อสินค้าผ่านช่องทางที่กำหนด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2019: มาตรการคุณภาพชีวิต phase 2 ทำให้ระบบสวัสดิการลึกขึ้นและเชื่อมกับเป้าหมายลดความยากจนและเพิ่มศักยภาพรายได้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2020: เงินสดเยียวยาโควิด การเติมเงินบัตรสวัสดิการ และการช่วยค่าน้ำค่าไฟ ช่วยไม่ให้กำลังซื้อครัวเรือนทรุดแรงกว่านี้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2021: เราชนะ และ ม33เรารักกัน เป็นช่วงที่ cash stimulus เข้มข้นที่สุดใน sample ขณะเดียวกันรายจ่ายสุขภาพและวัคซีนก็ทำให้ in-kind support เพิ่มขึ้นมาก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2022: รายจ่ายสุขภาพและการลงทะเบียนบัตรสวัสดิการรอบใหม่ช่วยคงระดับ in-kind support ไว้สูง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2023: ผลของการลงทะเบียนใหม่ในปี 2022 ทำให้เกิด entitlement cycle ใหม่ ขณะที่รายจ่ายสุขภาพยุคโควิด normalize ลง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2024: รัฐอนุมัติเงิน 10,000 บาทให้ผู้ถือบัตรสวัสดิการแห่งรัฐและคนพิการประมาณ 14.55 ล้านคน โดยมีเป้าหมายชัดเจนในการบรรเทาค่าครองชีพและเร่งการบริโภค</w:t>
      </w:r>
    </w:p>
    <w:p>
      <w:pPr>
        <w:pStyle w:val="Heading1"/>
        <w:spacing w:after="120" w:before="180"/>
      </w:pPr>
      <w:r>
        <w:rPr>
          <w:b w:val="false"/>
          <w:bCs w:val="false"/>
          <w:i w:val="false"/>
          <w:iCs w:val="false"/>
        </w:rPr>
        <w:t xml:space="preserve">ความหมายเชิงนโยบาย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จากหลักฐานทั้งหมด สรุปได้ 3 ประเด็นใหญ่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ประเด็นแรก มาตรการเงินสดมีประสิทธิภาพในการพยุง confidence ระดับมหภาคอย่างรวดเร็ว ซึ่งสะท้อนชัดที่สุดใน aggregate TPSO change model และสอดคล้องกับการตีความของ BOT ต่อผลของมาตรการ 10,000 บาทในปี 2024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ประเด็นที่สอง มาตรการ in-kind มีความสำคัญมากกว่าสำหรับการประคอง confidence ของกลุ่มเปราะบาง สุขภาพ ค่าสาธารณูปโภค และการเข้าถึงสินค้าจำเป็นแบบคาดการณ์ได้ดูมีผลต่อ relative expectations มากกว่าการอัดเงินก้อนแบบชั่วคราว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ประเด็นที่สาม การพึ่ง one-off cash injections เพียงอย่างเดียวไม่เพียงพอที่จะปิดช่องว่างความเชื่อมั่นของคนรายได้น้อย เพราะแม้ national confidence จะฟื้นตัวมากในปี 2024 แต่ความเชื่อมั่นของอาชีพที่เปราะบางยังตามหลังอย่างชัดเจน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policy mix ที่สอดคล้องกับหลักฐานในรายงานนี้คือ: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ใช้มาตรการเงินสดอย่างรวดเร็วในช่วง downturn เฉียบพลัน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จับคู่กับสิทธิประโยชน์รายเดือนที่คาดการณ์ได้ผ่านระบบบัตรสวัสดิการแห่งรัฐ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คงความแข็งแรงของ in-kind protection ด้านสุขภาพและสาธารณูปโภคในช่วงวิกฤต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ใช้ automatic triggers ที่ผูกกับความอ่อนแอของตลาดแรงงานและความเชื่อมั่น เพื่อให้การช่วยเหลือมาถึงเร็วขึ้น</w:t>
      </w:r>
    </w:p>
    <w:p>
      <w:pPr>
        <w:pStyle w:val="Heading1"/>
        <w:spacing w:after="120" w:before="180"/>
      </w:pPr>
      <w:r>
        <w:rPr>
          <w:b w:val="false"/>
          <w:bCs w:val="false"/>
          <w:i w:val="false"/>
          <w:iCs w:val="false"/>
        </w:rPr>
        <w:t xml:space="preserve">หมายเหตุแหล่งข้อมูล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แหล่งข้อมูลหลักที่ใช้ในรายงาน: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NESDC annual national income tables: NI2024-Income.xlsx (https://www.nesdc.go.th/wordpress/wp-content/uploads/2025/12/NI2024-Income.xlsx)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NESDC 2023 English release page: National Income of Thailand 2023 (https://www.nesdc.go.th/en/?ddl=36312&amp;p=36311)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FPO regional RSI data catalog: Thailand Regional Economic Sentiment Index (https://catalog.fpo.go.th/dataset/thailand-regional-economic-sentiment-index-rsi)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TPSO CCI API endpoint: CCI API (https://cci-survey-tpso.moc.go.th/cci-api/api/CCI/getcci)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BOT February 2021 economic conditions: BOT Press Release No. 20/2021 (https://www.bot.or.th/en/news-and-media/news/news-20210331-1.html)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BOT October 2021 economic conditions: BOT Press Release No. 88/2021 (https://www.bot.or.th/en/news-and-media/news/news-20211130.html)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BOT October 2024 economic conditions: BOT Press Release No. 43/2024 (https://www.bot.or.th/en/news-and-media/news/news-20241129.html)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FPO welfare-card phase 1 and 2 page: State Welfare Registration 2017 (https://www.fpo.go.th/main/General-information-public-service/%E0%B8%9B%E0%B8%A3%E0%B8%B0%E0%B8%8A%E0%B8%B2%E0%B8%8A%E0%B8%99%E0%B8%84%E0%B8%A7%E0%B8%A3%E0%B8%A3%E0%B8%B9%E0%B9%89/8198.aspx)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FPO phase-2 quality-of-life infographic: State Welfare Card phase 2 (https://www.fpo.go.th/main/getattachment/News/Press-conference/10272/007-2562-info-%E0%B9%81%E0%B8%96%E0%B8%A5%E0%B8%87%E0%B8%82%E0%B9%88%E0%B8%B2%E0%B8%A7%E0%B8%A1%E0%B8%B2%E0%B8%95%E0%B8%A3%E0%B8%81%E0%B8%B2%E0%B8%A3%E0%B8%9E%E0%B8%B1%E0%B8%92%E0%B8%99%E0%B8%B2%E0%B8%84%E0%B8%B8%E0%B8%93%E0%B8%A0%E0%B8%B2%E0%B8%9E%E0%B8%8A%E0%B8%B5%E0%B8%A7%E0%B8%B4%E0%B8%95%E0%B8%9C%E0%B8%B9%E0%B9%89%E0%B8%A1%E0%B8%B5%E0%B8%9A%E0%B8%B1%E0%B8%95%E0%B8%A3%E0%B8%AA%E0%B8%A7%E0%B8%B1%E0%B8%AA%E0%B8%94%E0%B8%B4%E0%B8%81%E0%B8%B2%E0%B8%A3%E0%B9%81%E0%B8%AB%E0%B9%88%E0%B8%87%E0%B8%A3%E0%B8%B1%E0%B8%90-%E0%B8%A3%E0%B8%B0%E0%B8%A2%E0%B8%B0%E0%B8%97%E0%B8%B5%E0%B9%88-2.pdf.asp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FPO Rao Chana press release: Press release 009/2564 (https://www.fpo.go.th/main/News/Press-conference/13953.aspx)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FPO Khon La Khrueng phase 3 progress: Press release 192/2564 (https://www.fpo.go.th/main/getattachment/News/Press-conference/14992/%E0%B9%81%E0%B8%96%E0%B8%A5%E0%B8%87%E0%B8%82%E0%B9%88%E0%B8%B2%E0%B8%A7-%E0%B8%89%E0%B8%9A%E0%B8%B1%E0%B8%9A%E0%B8%97%E0%B8%B5%E0%B9%88-192-2564-%E0%B8%84%E0%B8%A7%E0%B8%B2%E0%B8%A1%E0%B8%84%E0%B8%B7%E0%B8%9A%E0%B8%AB%E0%B8%99%E0%B9%89%E0%B8%B2%E0%B9%82%E0%B8%84%E0%B8%A3%E0%B8%87%E0%B8%81%E0%B8%B2%E0%B8%A3%E0%B8%84%E0%B8%99%E0%B8%A5%E0%B8%B0%E0%B8%84%E0%B8%A3%E0%B8%B6%E0%B9%88%E0%B8%87-251064.pdf.asp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FPO 2024 vulnerable-group handout: Press release 90/2567 (https://www.fpo.go.th/main/getattachment/News/Press-conference/19896/90-2567-%E0%B9%81%E0%B8%96%E0%B8%A5%E0%B8%87%E0%B8%82%E0%B9%88%E0%B8%B2%E0%B8%A7-%E0%B8%81%E0%B8%84-%E0%B9%82%E0%B8%84%E0%B8%A3%E0%B8%87%E0%B8%81%E0%B8%B2%E0%B8%A3%E0%B8%81%E0%B8%A3%E0%B8%B0%E0%B8%95%E0%B8%B8%E0%B9%89%E0%B8%99%E0%B9%80%E0%B8%A8%E0%B8%A3%E0%B8%A9%E0%B8%90%E0%B8%81%E0%B8%B4%E0%B8%88%E0%B8%9B%E0%B8%B5-67.pdf.asp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FPO October 2024 fiscal conditions note: Monthly Economic Condition, October 2024 (https://www.fpo.go.th/main/getattachment/Economic-report/Monthly-economic-condition/20191/6-43_2567-Info-monthly-Oct-2024.pdf.aspx)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UTCC/CEBF chamber-confidence archive: TCC archive page (https://cebf.utcc.ac.th/index_number.php?typeid=7)</w:t>
      </w:r>
    </w:p>
    <w:p>
      <w:pPr>
        <w:pStyle w:val="Heading1"/>
        <w:spacing w:after="120" w:before="180"/>
      </w:pPr>
      <w:r>
        <w:rPr>
          <w:b w:val="false"/>
          <w:bCs w:val="false"/>
          <w:i w:val="false"/>
          <w:iCs w:val="false"/>
        </w:rPr>
        <w:t xml:space="preserve">ไฟล์ที่สร้างใน workspace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รายงานภาษาไทย: customer_confidence_social_transfers_report_2017_2024_th.md (/Users/pingpayap/Documents/Codex/2026-04-29-make-a-report-of-the-increase/customer_confidence_social_transfers_report_2017_2024_th.md)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ข้อมูล annual transfers: nesdc_social_transfers_2017_2024.csv (/Users/pingpayap/Documents/Codex/2026-04-29-make-a-report-of-the-increase/data/nesdc_social_transfers_2017_2024.csv)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policy calendar: policy_transfer_calendar_2017_2024.csv (/Users/pingpayap/Documents/Codex/2026-04-29-make-a-report-of-the-increase/data/policy_transfer_calendar_2017_2024.csv)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ผลประมาณค่า TWFE: twfe_main.csv (/Users/pingpayap/Documents/Codex/2026-04-29-make-a-report-of-the-increase/results/twfe_main.csv)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ผล local projections: local_projections.csv (/Users/pingpayap/Documents/Codex/2026-04-29-make-a-report-of-the-increase/results/local_projections.csv)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751b9b72a330054c1443aaf7db3bc7df6365fd.png"/><Relationship Id="rId8" Type="http://schemas.openxmlformats.org/officeDocument/2006/relationships/image" Target="media/6b37fe70636d9bd7bd4511774fb7304ac5e66060.png"/><Relationship Id="rId9" Type="http://schemas.openxmlformats.org/officeDocument/2006/relationships/image" Target="media/64a7b6b4e08d6cbc57ec4ffe59cd81b9cfc6dc34.png"/><Relationship Id="rId10" Type="http://schemas.openxmlformats.org/officeDocument/2006/relationships/image" Target="media/f3fa91239d44f02dbecd62aa742c7d764ed3d99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รายงาน: ความเชื่อมั่นผู้บริโภคและการโอนเพื่อสังคมของไทย ช่วงปี 2017-2024</dc:title>
  <dc:creator>OpenAI Codex</dc:creator>
  <dc:description>DOCX export of the Codex-generated report.</dc:description>
  <cp:lastModifiedBy>Un-named</cp:lastModifiedBy>
  <cp:revision>1</cp:revision>
  <dcterms:created xsi:type="dcterms:W3CDTF">2026-04-29T10:45:10.196Z</dcterms:created>
  <dcterms:modified xsi:type="dcterms:W3CDTF">2026-04-29T10:45:10.199Z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