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 w:before="40"/>
        <w:jc w:val="center"/>
      </w:pPr>
      <w:r>
        <w:rPr>
          <w:rFonts w:ascii="Aptos Display" w:cs="Aptos Display" w:eastAsia="Aptos Display" w:hAnsi="Aptos Display"/>
          <w:b/>
          <w:bCs/>
          <w:i w:val="false"/>
          <w:iCs w:val="false"/>
          <w:caps/>
          <w:color w:val="9A3412"/>
          <w:sz w:val="16"/>
          <w:szCs w:val="16"/>
        </w:rPr>
        <w:t xml:space="preserve">LONGFORM ECONOMIC EDITION</w:t>
      </w:r>
    </w:p>
    <w:p>
      <w:pPr>
        <w:spacing w:after="80" w:before="20"/>
        <w:jc w:val="center"/>
      </w:pPr>
      <w:r>
        <w:rPr>
          <w:rFonts w:ascii="Aptos Display" w:cs="Aptos Display" w:eastAsia="Aptos Display" w:hAnsi="Aptos Display"/>
          <w:b/>
          <w:bCs/>
          <w:i w:val="false"/>
          <w:iCs w:val="false"/>
          <w:caps w:val="false"/>
          <w:color w:val="292524"/>
          <w:sz w:val="44"/>
          <w:szCs w:val="44"/>
        </w:rPr>
        <w:t xml:space="preserve">รายงาน: ความเชื่อมั่นผู้บริโภคและการโอนเพื่อสังคมของไทย ช่วงปี 2017-2024</w:t>
      </w:r>
    </w:p>
    <w:p>
      <w:pPr>
        <w:spacing w:after="160"/>
        <w:jc w:val="center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57534E"/>
          <w:sz w:val="21"/>
          <w:szCs w:val="21"/>
        </w:rPr>
        <w:t xml:space="preserve">NESDC • FPO • BOT • TCC • TPSO • ช่วงข้อมูล 2017-2024</w:t>
      </w:r>
    </w:p>
    <w:p>
      <w:pPr>
        <w:pBdr>
          <w:bottom w:val="single" w:color="FDBA74" w:sz="10"/>
        </w:pBdr>
        <w:spacing w:after="80" w:before="80"/>
      </w:pPr>
    </w:p>
    <w:p>
      <w:pPr>
        <w:spacing w:after="190" w:before="160" w:line="360"/>
        <w:jc w:val="center"/>
      </w:pPr>
      <w:r>
        <w:rPr>
          <w:rFonts w:ascii="Aptos" w:cs="Aptos" w:eastAsia="Aptos" w:hAnsi="Aptos"/>
          <w:b w:val="false"/>
          <w:bCs w:val="false"/>
          <w:i/>
          <w:iCs/>
          <w:caps w:val="false"/>
          <w:color w:val="7C2D12"/>
          <w:sz w:val="25"/>
          <w:szCs w:val="25"/>
        </w:rPr>
        <w:t xml:space="preserve">มาตรการเงินสดเหมาะกับการพยุงเศรษฐกิจและความเชื่อมั่นระยะสั้น แต่ความเชื่อมั่นที่ยั่งยืนของคนรายได้น้อยดูจะพึ่งพามาตรการ in-kind ที่คาดการณ์ได้มากกว่า</w:t>
      </w:r>
    </w:p>
    <w:tbl>
      <w:tblPr>
        <w:tblW w:type="pct" w:w="100%"/>
        <w:tblBorders>
          <w:top w:val="single" w:color="FFFFFF" w:sz="0"/>
          <w:left w:val="single" w:color="FFFFFF" w:sz="0"/>
          <w:bottom w:val="single" w:color="FFFFFF" w:sz="0"/>
          <w:right w:val="single" w:color="FFFFFF" w:sz="0"/>
          <w:insideH w:val="single" w:color="FFFFFF" w:sz="0"/>
          <w:insideV w:val="single" w:color="FFFFFF" w:sz="0"/>
        </w:tblBorders>
      </w:tblPr>
      <w:tblGrid>
        <w:gridCol w:w="100"/>
      </w:tblGrid>
      <w:tr>
        <w:tc>
          <w:tcPr>
            <w:tcBorders>
              <w:top w:val="single" w:color="FDBA74" w:sz="1"/>
              <w:left w:val="single" w:color="9A3412" w:sz="7"/>
              <w:bottom w:val="single" w:color="FDBA74" w:sz="1"/>
              <w:right w:val="single" w:color="FDBA74" w:sz="1"/>
            </w:tcBorders>
            <w:shd w:fill="FFFBEB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35"/>
            </w:pPr>
            <w:r>
              <w:rPr>
                <w:rFonts w:ascii="Aptos Display" w:cs="Aptos Display" w:eastAsia="Aptos Display" w:hAnsi="Aptos Display"/>
                <w:b/>
                <w:bCs/>
                <w:i w:val="false"/>
                <w:iCs w:val="false"/>
                <w:caps w:val="false"/>
                <w:color w:val="7C2D12"/>
                <w:sz w:val="19"/>
                <w:szCs w:val="19"/>
              </w:rPr>
              <w:t xml:space="preserve">อ่านแบบย่อ</w:t>
            </w:r>
          </w:p>
          <w:p>
            <w:pPr>
              <w:spacing w:after="15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2"/>
                <w:szCs w:val="22"/>
              </w:rPr>
              <w:t xml:space="preserve">ใจความสำคัญ: เงินสดช่วยพยุง sentiment ระยะสั้นได้เด่น แต่ in-kind ที่คาดการณ์ได้มีบทบาทมากกว่าสำหรับความคาดหวังของกลุ่มเปราะบาง</w:t>
            </w:r>
          </w:p>
        </w:tc>
      </w:tr>
    </w:tbl>
    <w:p>
      <w:pPr>
        <w:spacing w:after="90"/>
      </w:pPr>
      <w:r>
        <w:t xml:space="preserve"/>
      </w:r>
    </w:p>
    <w:tbl>
      <w:tblPr>
        <w:tblW w:type="pct" w:w="100%"/>
        <w:tblBorders>
          <w:top w:val="single" w:color="FFFFFF" w:sz="0"/>
          <w:left w:val="single" w:color="FFFFFF" w:sz="0"/>
          <w:bottom w:val="single" w:color="FFFFFF" w:sz="0"/>
          <w:right w:val="single" w:color="FFFFFF" w:sz="0"/>
          <w:insideH w:val="single" w:color="FFFFFF" w:sz="0"/>
          <w:insideV w:val="single" w:color="FFFFFF" w:sz="0"/>
        </w:tblBorders>
      </w:tblPr>
      <w:tblGrid>
        <w:gridCol w:w="4500"/>
        <w:gridCol w:w="4500"/>
      </w:tblGrid>
      <w:tr>
        <w:tc>
          <w:tcPr>
            <w:tcBorders>
              <w:top w:val="single" w:color="FDBA74" w:sz="1"/>
              <w:left w:val="single" w:color="FDBA74" w:sz="1"/>
              <w:bottom w:val="single" w:color="FDBA74" w:sz="1"/>
              <w:right w:val="single" w:color="FDBA74" w:sz="1"/>
            </w:tcBorders>
            <w:shd w:fill="FFF7ED" w:val="clear"/>
            <w:tcMar>
              <w:top w:type="dxa" w:w="140"/>
              <w:left w:type="dxa" w:w="160"/>
              <w:bottom w:type="dxa" w:w="150"/>
              <w:right w:type="dxa" w:w="160"/>
            </w:tcMar>
          </w:tcPr>
          <w:p>
            <w:pPr>
              <w:spacing w:after="30"/>
            </w:pPr>
            <w:r>
              <w:rPr>
                <w:rFonts w:ascii="Aptos Display" w:cs="Aptos Display" w:eastAsia="Aptos Display" w:hAnsi="Aptos Display"/>
                <w:b/>
                <w:bCs/>
                <w:color w:val="7C2D12"/>
                <w:sz w:val="34"/>
                <w:szCs w:val="34"/>
              </w:rPr>
              <w:t xml:space="preserve">+92.8%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57534E"/>
                <w:sz w:val="20"/>
                <w:szCs w:val="20"/>
              </w:rPr>
              <w:t xml:space="preserve">cash social assistance 2017-2024</w:t>
            </w:r>
          </w:p>
        </w:tc>
        <w:tc>
          <w:tcPr>
            <w:tcBorders>
              <w:top w:val="single" w:color="FDBA74" w:sz="1"/>
              <w:left w:val="single" w:color="FDBA74" w:sz="1"/>
              <w:bottom w:val="single" w:color="FDBA74" w:sz="1"/>
              <w:right w:val="single" w:color="FDBA74" w:sz="1"/>
            </w:tcBorders>
            <w:shd w:fill="FFF7ED" w:val="clear"/>
            <w:tcMar>
              <w:top w:type="dxa" w:w="140"/>
              <w:left w:type="dxa" w:w="160"/>
              <w:bottom w:type="dxa" w:w="150"/>
              <w:right w:type="dxa" w:w="160"/>
            </w:tcMar>
          </w:tcPr>
          <w:p>
            <w:pPr>
              <w:spacing w:after="30"/>
            </w:pPr>
            <w:r>
              <w:rPr>
                <w:rFonts w:ascii="Aptos Display" w:cs="Aptos Display" w:eastAsia="Aptos Display" w:hAnsi="Aptos Display"/>
                <w:b/>
                <w:bCs/>
                <w:color w:val="7C2D12"/>
                <w:sz w:val="34"/>
                <w:szCs w:val="34"/>
              </w:rPr>
              <w:t xml:space="preserve">344.9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57534E"/>
                <w:sz w:val="20"/>
                <w:szCs w:val="20"/>
              </w:rPr>
              <w:t xml:space="preserve">พันล้านบาท จุดสูงสุด in-kind ปี 2022</w:t>
            </w:r>
          </w:p>
        </w:tc>
      </w:tr>
      <w:tr>
        <w:tc>
          <w:tcPr>
            <w:tcBorders>
              <w:top w:val="single" w:color="FDBA74" w:sz="1"/>
              <w:left w:val="single" w:color="FDBA74" w:sz="1"/>
              <w:bottom w:val="single" w:color="FDBA74" w:sz="1"/>
              <w:right w:val="single" w:color="FDBA74" w:sz="1"/>
            </w:tcBorders>
            <w:shd w:fill="FFF7ED" w:val="clear"/>
            <w:tcMar>
              <w:top w:type="dxa" w:w="140"/>
              <w:left w:type="dxa" w:w="160"/>
              <w:bottom w:type="dxa" w:w="150"/>
              <w:right w:type="dxa" w:w="160"/>
            </w:tcMar>
          </w:tcPr>
          <w:p>
            <w:pPr>
              <w:spacing w:after="30"/>
            </w:pPr>
            <w:r>
              <w:rPr>
                <w:rFonts w:ascii="Aptos Display" w:cs="Aptos Display" w:eastAsia="Aptos Display" w:hAnsi="Aptos Display"/>
                <w:b/>
                <w:bCs/>
                <w:color w:val="7C2D12"/>
                <w:sz w:val="34"/>
                <w:szCs w:val="34"/>
              </w:rPr>
              <w:t xml:space="preserve">52.3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57534E"/>
                <w:sz w:val="20"/>
                <w:szCs w:val="20"/>
              </w:rPr>
              <w:t xml:space="preserve">TPSO national CCI เฉลี่ยปี 2024</w:t>
            </w:r>
          </w:p>
        </w:tc>
        <w:tc>
          <w:tcPr>
            <w:tcBorders>
              <w:top w:val="single" w:color="FDBA74" w:sz="1"/>
              <w:left w:val="single" w:color="FDBA74" w:sz="1"/>
              <w:bottom w:val="single" w:color="FDBA74" w:sz="1"/>
              <w:right w:val="single" w:color="FDBA74" w:sz="1"/>
            </w:tcBorders>
            <w:shd w:fill="FFF7ED" w:val="clear"/>
            <w:tcMar>
              <w:top w:type="dxa" w:w="140"/>
              <w:left w:type="dxa" w:w="160"/>
              <w:bottom w:type="dxa" w:w="150"/>
              <w:right w:type="dxa" w:w="160"/>
            </w:tcMar>
          </w:tcPr>
          <w:p>
            <w:pPr>
              <w:spacing w:after="30"/>
            </w:pPr>
            <w:r>
              <w:rPr>
                <w:rFonts w:ascii="Aptos Display" w:cs="Aptos Display" w:eastAsia="Aptos Display" w:hAnsi="Aptos Display"/>
                <w:b/>
                <w:bCs/>
                <w:color w:val="7C2D12"/>
                <w:sz w:val="34"/>
                <w:szCs w:val="34"/>
              </w:rPr>
              <w:t xml:space="preserve">0.42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57534E"/>
                <w:sz w:val="20"/>
                <w:szCs w:val="20"/>
              </w:rPr>
              <w:t xml:space="preserve">ผลร่วมสมัยมาตรการเงินสดต่อ TPSO CCI</w:t>
            </w:r>
          </w:p>
        </w:tc>
      </w:tr>
    </w:tbl>
    <w:p>
      <w:pPr>
        <w:spacing w:after="80" w:before="170" w:line="330"/>
        <w:jc w:val="center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57534E"/>
          <w:sz w:val="22"/>
          <w:szCs w:val="22"/>
        </w:rPr>
        <w:t xml:space="preserve">รายงานฉบับนี้เชื่อมข้อมูลการคลังรายปีของ NESDC กับดัชนีความเชื่อมั่นรายเดือนจาก TPSO และ FPO เพื่อประเมินว่าเงินโอนเพื่อสังคมแบบเงินสดและแบบสิ่งของสัมพันธ์กับความเชื่อมั่นของครัวเรือนไทยอย่างไร โดยเน้นผลต่อคนรายได้น้อยเป็นพิเศษ</w:t>
      </w:r>
    </w:p>
    <w:p>
      <w:pPr>
        <w:spacing w:after="0" w:before="220"/>
      </w:pPr>
      <w:r>
        <w:br w:type="page"/>
      </w:r>
    </w:p>
    <w:p>
      <w:pPr>
        <w:spacing w:after="120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รายงานฉบับนี้ตีความคำว่า "customer confidence" เป็น "ความเชื่อมั่นผู้บริโภค/ครัวเรือน" และวิเคราะห์ว่ารายจ่ายภาครัฐด้านการโอนเพื่อสังคมในรูปเงินสดและสิ่งของมีความสัมพันธ์กับความเชื่อมั่นอย่างไรในช่วงปี 2017-2024 โดยเน้นผลต่อประชาชนรายได้น้อยเป็นพิเศษ</w:t>
      </w:r>
    </w:p>
    <w:p>
      <w:pPr>
        <w:pStyle w:val="Heading1"/>
        <w:pBdr>
          <w:bottom w:val="single" w:color="9A3412" w:sz="6"/>
        </w:pBdr>
        <w:spacing w:after="90" w:before="240"/>
      </w:pPr>
      <w:r>
        <w:rPr>
          <w:rFonts w:ascii="Aptos Display" w:cs="Aptos Display" w:eastAsia="Aptos Display" w:hAnsi="Aptos Display"/>
          <w:b/>
          <w:bCs/>
          <w:color w:val="7C2D12"/>
          <w:sz w:val="29"/>
          <w:szCs w:val="29"/>
        </w:rPr>
        <w:t xml:space="preserve">บทสรุปผู้บริหาร</w:t>
      </w:r>
    </w:p>
    <w:p>
      <w:pPr>
        <w:pStyle w:val="ListParagraph"/>
        <w:numPr>
          <w:ilvl w:val="0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ข้อมูล NESDC ชี้ว่าขนาดของการโอนเพื่อสังคมของไทยเพิ่มขึ้นมากในช่วง 2017-2024 โดยสวัสดิการสังคมในลักษณะเงินสดรวมเพิ่มจาก 459.2 พันล้านบาทเป็น 782.8 พันล้านบาท ขณะที่ social transfers in kind เพิ่มจาก 1.255 ล้านล้านบาทเป็น 1.628 ล้านล้านบาท</w:t>
      </w:r>
    </w:p>
    <w:p>
      <w:pPr>
        <w:pStyle w:val="ListParagraph"/>
        <w:numPr>
          <w:ilvl w:val="0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องค์ประกอบที่เกี่ยวข้องกับผู้มีรายได้น้อยโดยตรงขยายตัวเด่นทางฝั่งเงินสด โดย cash social assistance เพิ่มเกือบเท่าตัวจาก 104.0 พันล้านบาทในปี 2017 เป็น 200.6 พันล้านบาทในปี 2024 หรือเพิ่มขึ้น 92.8%</w:t>
      </w:r>
    </w:p>
    <w:p>
      <w:pPr>
        <w:pStyle w:val="ListParagraph"/>
        <w:numPr>
          <w:ilvl w:val="0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in-kind social assistance มีรูปแบบต่างออกไป คือค่อนข้างทรงตัวก่อนโควิด จากนั้นเพิ่มแรงในปี 2021-2022 ตามรายจ่ายด้านสาธารณสุขและค่าครองชีพ สูงสุดที่ 344.9 พันล้านบาทในปี 2022 ก่อนลดลงแรงในปี 2023 เมื่อรายจ่ายสุขภาพยุคโควิดลดลง และฟื้นบางส่วนในปี 2024</w:t>
      </w:r>
    </w:p>
    <w:p>
      <w:pPr>
        <w:pStyle w:val="ListParagraph"/>
        <w:numPr>
          <w:ilvl w:val="0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ดัชนีความเชื่อมั่นให้ภาพมหภาคที่สอดคล้องกันหลายแหล่ง TPSO national CCI เฉลี่ย 48.4 ในปี 2019 ลดลงเหลือ 42.1 ในปี 2020 ฟื้นเป็น 54.2 ในปี 2023 แล้วอ่อนลงเล็กน้อยเป็น 52.3 ในปี 2024 ส่วน FPO RSI รายภูมิภาคให้จังหวะ turning points แบบเดียวกันและมีความสัมพันธ์สูงกับ TPSO ในช่วงข้อมูลที่ทับซ้อนกัน</w:t>
      </w:r>
    </w:p>
    <w:p>
      <w:pPr>
        <w:pStyle w:val="ListParagraph"/>
        <w:numPr>
          <w:ilvl w:val="0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ในสมการ monthly national change model ความเข้มข้นของมาตรการเงินสดสัมพันธ์กับการเพิ่มขึ้นของ TPSO consumer confidence ราว 0.42 จุดดัชนีต่อการเพิ่มขึ้น 1 ส่วนเบี่ยงเบนมาตรฐานของ monthly cash proxy ขณะที่มาตรการ in-kind เด่นกว่าใน FPO sentiment measure โดยมีค่าสัมประสิทธิ์ร่วมสมัยประมาณ 1.56 จุด</w:t>
      </w:r>
    </w:p>
    <w:p>
      <w:pPr>
        <w:pStyle w:val="ListParagraph"/>
        <w:numPr>
          <w:ilvl w:val="0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อย่างไรก็ดี ใน occupation-level two-way fixed-effects panel ผลลัพธ์มีความละเอียดมากขึ้น กล่าวคือ high-transfer months ไม่ได้ลบช่องว่างความเชื่อมั่นระหว่างอาชีพที่เปราะบางทางรายได้กับกลุ่มที่มีฐานะมั่นคงกว่า เดือนที่มีมาตรการเงินสดเข้มข้นกลับสัมพันธ์กับความเชื่อมั่นเชิงสัมพัทธ์ที่อ่อนกว่าในกลุ่มเปราะบาง ขณะที่มาตรการ in-kind เป็นบวกเล็กน้อย โดยเฉพาะในดัชนีความคาดหวังอนาคต</w:t>
      </w:r>
    </w:p>
    <w:p>
      <w:pPr>
        <w:pStyle w:val="ListParagraph"/>
        <w:numPr>
          <w:ilvl w:val="0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นัยเชิงนโยบายคือ มาตรการเงินสดเหมาะกับการพยุงเศรษฐกิจและความเชื่อมั่นระยะสั้น แต่การยกระดับความเชื่อมั่นของคนรายได้น้อยอย่างยั่งยืนดูจะพึ่งพามาตรการ in-kind ที่คาดการณ์ได้ เช่น สุขภาพ ค่าสาธารณูปโภค และการบรรเทาค่าครองชีพที่จำเป็น มากกว่า</w:t>
      </w:r>
    </w:p>
    <w:p>
      <w:pPr>
        <w:pStyle w:val="Heading1"/>
        <w:pBdr>
          <w:bottom w:val="single" w:color="9A3412" w:sz="6"/>
        </w:pBdr>
        <w:spacing w:after="90" w:before="240"/>
      </w:pPr>
      <w:r>
        <w:rPr>
          <w:rFonts w:ascii="Aptos Display" w:cs="Aptos Display" w:eastAsia="Aptos Display" w:hAnsi="Aptos Display"/>
          <w:b/>
          <w:bCs/>
          <w:color w:val="7C2D12"/>
          <w:sz w:val="29"/>
          <w:szCs w:val="29"/>
        </w:rPr>
        <w:t xml:space="preserve">ข้อมูล ขอบเขต และแนวตีความ</w:t>
      </w:r>
    </w:p>
    <w:p>
      <w:pPr>
        <w:pStyle w:val="ListParagraph"/>
        <w:numPr>
          <w:ilvl w:val="0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แกนหลักด้านการคลัง: ตารางรายได้ประชาชาติของ NESDC โดยเฉพาะ Table 61 ใน NI2024-Income.xlsx (https://www.nesdc.go.th/wordpress/wp-content/uploads/2025/12/NI2024-Income.xlsx)</w:t>
      </w:r>
    </w:p>
    <w:p>
      <w:pPr>
        <w:pStyle w:val="ListParagraph"/>
        <w:numPr>
          <w:ilvl w:val="0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ตัวชี้วัดความเชื่อมั่นผู้บริโภค: API ของ TPSO ทั้งชุด national, regional และ occupational แบบรายเดือน ช่วง 2019M1-2024M12</w:t>
      </w:r>
    </w:p>
    <w:p>
      <w:pPr>
        <w:pStyle w:val="ListParagraph"/>
        <w:numPr>
          <w:ilvl w:val="0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ตัวชี้วัดความเชื่อมั่นเศรษฐกิจภูมิภาค: FPO regional RSI แบบรายเดือน ช่วง 2018M1-2024M12</w:t>
      </w:r>
    </w:p>
    <w:p>
      <w:pPr>
        <w:pStyle w:val="ListParagraph"/>
        <w:numPr>
          <w:ilvl w:val="0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BOT: ใช้เพื่อประกอบการตีความสภาพเศรษฐกิจมหภาคและผลของมาตรการกระตุ้น ไม่ได้ใช้เป็น series หลักของ household confidence</w:t>
      </w:r>
    </w:p>
    <w:p>
      <w:pPr>
        <w:pStyle w:val="ListParagraph"/>
        <w:numPr>
          <w:ilvl w:val="0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TCC/UTCC: ใช้เป็น benchmark จากดัชนีความเชื่อมั่นหอการค้าไทยเพื่อ cross-check ทิศทาง ไม่ได้ใช้แทน household CCI ของ TPSO</w:t>
      </w:r>
    </w:p>
    <w:p>
      <w:pPr>
        <w:spacing w:after="140" w:line="34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7C2D12"/>
          <w:sz w:val="25"/>
          <w:szCs w:val="25"/>
        </w:rPr>
        <w:t xml:space="preserve">หน้าต่างเวลาที่ผู้ใช้ขอคือ 2017-2024 ซึ่งฝั่งข้อมูลการคลังรายปีครอบคลุมครบทั้งช่วง ส่วนเศรษฐมิติแบบรายเดือนเริ่มช้ากว่าเพราะ TPSO panel ที่ใช้ได้เริ่มเดือนมกราคม 2019 และ FPO RSI เริ่มเดือนมกราคม 2018</w:t>
      </w:r>
    </w:p>
    <w:p>
      <w:pPr>
        <w:pStyle w:val="Heading1"/>
        <w:pBdr>
          <w:bottom w:val="single" w:color="9A3412" w:sz="6"/>
        </w:pBdr>
        <w:spacing w:after="90" w:before="240"/>
      </w:pPr>
      <w:r>
        <w:rPr>
          <w:rFonts w:ascii="Aptos Display" w:cs="Aptos Display" w:eastAsia="Aptos Display" w:hAnsi="Aptos Display"/>
          <w:b/>
          <w:bCs/>
          <w:color w:val="7C2D12"/>
          <w:sz w:val="29"/>
          <w:szCs w:val="29"/>
        </w:rPr>
        <w:t xml:space="preserve">แนวโน้มการคลัง: การโอนเพื่อสังคมเปลี่ยนไปอย่างไร</w:t>
      </w:r>
    </w:p>
    <w:p>
      <w:pPr>
        <w:spacing w:after="140" w:line="34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7C2D12"/>
          <w:sz w:val="25"/>
          <w:szCs w:val="25"/>
        </w:rPr>
        <w:t xml:space="preserve">ข้อมูลทางการของ NESDC แยก social transfers ทั้งหมดออกจากองค์ประกอบ social assistance ซึ่งเกี่ยวข้องกับผู้มีรายได้น้อยโดยตรงมากกว่า ทั้งสองส่วนควรถูกติดตามควบคู่กัน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E5E7EB" w:sz="1"/>
          <w:insideV w:val="single" w:color="E5E7EB" w:sz="1"/>
        </w:tblBorders>
        <w:tblCellSpacing w:type="dxa" w:w="0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FDBA74" w:sz="1"/>
              <w:left w:val="single" w:color="E5E7EB" w:sz="1"/>
              <w:bottom w:val="single" w:color="FDBA74" w:sz="1"/>
              <w:right w:val="single" w:color="E5E7EB" w:sz="1"/>
            </w:tcBorders>
            <w:shd w:fill="FEF3C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aps w:val="false"/>
                <w:color w:val="7C2D12"/>
                <w:sz w:val="22"/>
                <w:szCs w:val="22"/>
              </w:rPr>
              <w:t xml:space="preserve">ปี</w:t>
            </w:r>
          </w:p>
        </w:tc>
        <w:tc>
          <w:tcPr>
            <w:tcBorders>
              <w:top w:val="single" w:color="FDBA74" w:sz="1"/>
              <w:left w:val="single" w:color="E5E7EB" w:sz="1"/>
              <w:bottom w:val="single" w:color="FDBA74" w:sz="1"/>
              <w:right w:val="single" w:color="E5E7EB" w:sz="1"/>
            </w:tcBorders>
            <w:shd w:fill="FEF3C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aps w:val="false"/>
                <w:color w:val="7C2D12"/>
                <w:sz w:val="22"/>
                <w:szCs w:val="22"/>
              </w:rPr>
              <w:t xml:space="preserve">Cash social assistance (พันล้านบาท)</w:t>
            </w:r>
          </w:p>
        </w:tc>
        <w:tc>
          <w:tcPr>
            <w:tcBorders>
              <w:top w:val="single" w:color="FDBA74" w:sz="1"/>
              <w:left w:val="single" w:color="E5E7EB" w:sz="1"/>
              <w:bottom w:val="single" w:color="FDBA74" w:sz="1"/>
              <w:right w:val="single" w:color="E5E7EB" w:sz="1"/>
            </w:tcBorders>
            <w:shd w:fill="FEF3C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aps w:val="false"/>
                <w:color w:val="7C2D12"/>
                <w:sz w:val="22"/>
                <w:szCs w:val="22"/>
              </w:rPr>
              <w:t xml:space="preserve">YoY %</w:t>
            </w:r>
          </w:p>
        </w:tc>
        <w:tc>
          <w:tcPr>
            <w:tcBorders>
              <w:top w:val="single" w:color="FDBA74" w:sz="1"/>
              <w:left w:val="single" w:color="E5E7EB" w:sz="1"/>
              <w:bottom w:val="single" w:color="FDBA74" w:sz="1"/>
              <w:right w:val="single" w:color="E5E7EB" w:sz="1"/>
            </w:tcBorders>
            <w:shd w:fill="FEF3C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aps w:val="false"/>
                <w:color w:val="7C2D12"/>
                <w:sz w:val="22"/>
                <w:szCs w:val="22"/>
              </w:rPr>
              <w:t xml:space="preserve">In-kind social assistance (พันล้านบาท)</w:t>
            </w:r>
          </w:p>
        </w:tc>
        <w:tc>
          <w:tcPr>
            <w:tcBorders>
              <w:top w:val="single" w:color="FDBA74" w:sz="1"/>
              <w:left w:val="single" w:color="E5E7EB" w:sz="1"/>
              <w:bottom w:val="single" w:color="FDBA74" w:sz="1"/>
              <w:right w:val="single" w:color="E5E7EB" w:sz="1"/>
            </w:tcBorders>
            <w:shd w:fill="FEF3C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aps w:val="false"/>
                <w:color w:val="7C2D12"/>
                <w:sz w:val="22"/>
                <w:szCs w:val="22"/>
              </w:rPr>
              <w:t xml:space="preserve">YoY %</w:t>
            </w:r>
          </w:p>
        </w:tc>
        <w:tc>
          <w:tcPr>
            <w:tcBorders>
              <w:top w:val="single" w:color="FDBA74" w:sz="1"/>
              <w:left w:val="single" w:color="E5E7EB" w:sz="1"/>
              <w:bottom w:val="single" w:color="FDBA74" w:sz="1"/>
              <w:right w:val="single" w:color="E5E7EB" w:sz="1"/>
            </w:tcBorders>
            <w:shd w:fill="FEF3C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aps w:val="false"/>
                <w:color w:val="7C2D12"/>
                <w:sz w:val="22"/>
                <w:szCs w:val="22"/>
              </w:rPr>
              <w:t xml:space="preserve">บริบทนโยบายหลัก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2017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104.0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-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220.7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-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เริ่มโครงการบัตรสวัสดิการแห่งรัฐ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2018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145.6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40.0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217.2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-1.6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ขยายบัตรสวัสดิการ phase 1-2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2019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161.3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10.7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222.0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2.2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ยกระดับ phase 2 และมาตรการคุณภาพชีวิต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2020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176.5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9.4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228.8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3.0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เยียวยาโควิด เงินสดฉุกเฉินและลดค่าสาธารณูปโภค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2021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187.1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6.0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310.0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35.5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เราชนะ ม33เรารักกัน วัคซีน และเปิดเมือง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2022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188.3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0.6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344.9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11.2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รายจ่ายสุขภาพยังสูงและมีการลงทะเบียนรอบใหม่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2023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195.2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3.7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243.0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-29.6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รายจ่ายสุขภาพยุคโควิดลดลง และเริ่ม entitlement cycle ใหม่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2024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200.6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2.7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260.8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7.3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เงินโอน 10,000 บาทให้กลุ่มเปราะบาง</w:t>
            </w:r>
          </w:p>
        </w:tc>
      </w:tr>
    </w:tbl>
    <w:p>
      <w:pPr>
        <w:spacing w:after="120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หากมองทั้งช่วง 2017-2024:</w:t>
      </w:r>
    </w:p>
    <w:p>
      <w:pPr>
        <w:pStyle w:val="ListParagraph"/>
        <w:numPr>
          <w:ilvl w:val="0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Total cash-like social benefits เพิ่ม 70.5%</w:t>
      </w:r>
    </w:p>
    <w:p>
      <w:pPr>
        <w:pStyle w:val="ListParagraph"/>
        <w:numPr>
          <w:ilvl w:val="0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Cash social assistance เพิ่ม 92.8%</w:t>
      </w:r>
    </w:p>
    <w:p>
      <w:pPr>
        <w:pStyle w:val="ListParagraph"/>
        <w:numPr>
          <w:ilvl w:val="0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Total social transfers in kind เพิ่ม 29.8%</w:t>
      </w:r>
    </w:p>
    <w:p>
      <w:pPr>
        <w:pStyle w:val="ListParagraph"/>
        <w:numPr>
          <w:ilvl w:val="0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In-kind social assistance เพิ่ม 18.2% แต่มี pandemic hump ชัดเจน</w:t>
      </w:r>
    </w:p>
    <w:p>
      <w:pPr>
        <w:spacing w:after="120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ประเด็นเชิงโครงสร้างที่สำคัญที่สุดคือ ฝั่งเงินสดขยายตัวต่อเนื่องและถาวรมากขึ้น ขณะที่ฝั่ง in-kind มีลักษณะผันผวนตามวิกฤต โดยเฉพาะรายจ่ายด้านสุขภาพ</w:t>
      </w:r>
    </w:p>
    <w:p>
      <w:pPr>
        <w:spacing w:after="60" w:before="140"/>
        <w:jc w:val="center"/>
      </w:pPr>
      <w:r>
        <w:drawing>
          <wp:inline distT="0" distB="0" distL="0" distR="0">
            <wp:extent cx="4762500" cy="2619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10"/>
        <w:jc w:val="center"/>
      </w:pPr>
      <w:r>
        <w:rPr>
          <w:rFonts w:ascii="Aptos" w:cs="Aptos" w:eastAsia="Aptos" w:hAnsi="Aptos"/>
          <w:i/>
          <w:iCs/>
          <w:color w:val="57534E"/>
          <w:sz w:val="18"/>
          <w:szCs w:val="18"/>
        </w:rPr>
        <w:t xml:space="preserve">Annual Social Transfers</w:t>
      </w:r>
    </w:p>
    <w:p>
      <w:pPr>
        <w:pStyle w:val="Heading1"/>
        <w:pBdr>
          <w:bottom w:val="single" w:color="9A3412" w:sz="6"/>
        </w:pBdr>
        <w:spacing w:after="90" w:before="240"/>
      </w:pPr>
      <w:r>
        <w:rPr>
          <w:rFonts w:ascii="Aptos Display" w:cs="Aptos Display" w:eastAsia="Aptos Display" w:hAnsi="Aptos Display"/>
          <w:b/>
          <w:bCs/>
          <w:color w:val="7C2D12"/>
          <w:sz w:val="29"/>
          <w:szCs w:val="29"/>
        </w:rPr>
        <w:t xml:space="preserve">แนวโน้มความเชื่อมั่น: ดัชนีบอกอะไร</w:t>
      </w:r>
    </w:p>
    <w:p>
      <w:pPr>
        <w:spacing w:after="140" w:line="34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7C2D12"/>
          <w:sz w:val="25"/>
          <w:szCs w:val="25"/>
        </w:rPr>
        <w:t xml:space="preserve">ความเชื่อมั่นลดลงแรงในช่วงโควิดและฟื้นตัวในปี 2022-2024 แต่การฟื้นตัวยังไม่สมบูรณ์และไม่กระจายเท่ากัน</w:t>
      </w:r>
    </w:p>
    <w:p>
      <w:pPr>
        <w:pStyle w:val="ListParagraph"/>
        <w:numPr>
          <w:ilvl w:val="0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ค่าเฉลี่ยรายปีของ TPSO national CCI:</w:t>
      </w:r>
    </w:p>
    <w:p>
      <w:pPr>
        <w:pStyle w:val="ListParagraph"/>
        <w:numPr>
          <w:ilvl w:val="1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2019: 48.4</w:t>
      </w:r>
    </w:p>
    <w:p>
      <w:pPr>
        <w:pStyle w:val="ListParagraph"/>
        <w:numPr>
          <w:ilvl w:val="1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2020: 42.1</w:t>
      </w:r>
    </w:p>
    <w:p>
      <w:pPr>
        <w:pStyle w:val="ListParagraph"/>
        <w:numPr>
          <w:ilvl w:val="1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2021: 43.0</w:t>
      </w:r>
    </w:p>
    <w:p>
      <w:pPr>
        <w:pStyle w:val="ListParagraph"/>
        <w:numPr>
          <w:ilvl w:val="1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2022: 46.2</w:t>
      </w:r>
    </w:p>
    <w:p>
      <w:pPr>
        <w:pStyle w:val="ListParagraph"/>
        <w:numPr>
          <w:ilvl w:val="1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2023: 54.2</w:t>
      </w:r>
    </w:p>
    <w:p>
      <w:pPr>
        <w:pStyle w:val="ListParagraph"/>
        <w:numPr>
          <w:ilvl w:val="1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2024: 52.3</w:t>
      </w:r>
    </w:p>
    <w:p>
      <w:pPr>
        <w:pStyle w:val="ListParagraph"/>
        <w:numPr>
          <w:ilvl w:val="0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ค่าเฉลี่ยรายปีของ FPO mean regional RSI:</w:t>
      </w:r>
    </w:p>
    <w:p>
      <w:pPr>
        <w:pStyle w:val="ListParagraph"/>
        <w:numPr>
          <w:ilvl w:val="1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2018: 78.4</w:t>
      </w:r>
    </w:p>
    <w:p>
      <w:pPr>
        <w:pStyle w:val="ListParagraph"/>
        <w:numPr>
          <w:ilvl w:val="1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2019: 65.4</w:t>
      </w:r>
    </w:p>
    <w:p>
      <w:pPr>
        <w:pStyle w:val="ListParagraph"/>
        <w:numPr>
          <w:ilvl w:val="1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2020: 52.8</w:t>
      </w:r>
    </w:p>
    <w:p>
      <w:pPr>
        <w:pStyle w:val="ListParagraph"/>
        <w:numPr>
          <w:ilvl w:val="1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2021: 55.6</w:t>
      </w:r>
    </w:p>
    <w:p>
      <w:pPr>
        <w:pStyle w:val="ListParagraph"/>
        <w:numPr>
          <w:ilvl w:val="1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2022: 66.4</w:t>
      </w:r>
    </w:p>
    <w:p>
      <w:pPr>
        <w:pStyle w:val="ListParagraph"/>
        <w:numPr>
          <w:ilvl w:val="1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2023: 76.0</w:t>
      </w:r>
    </w:p>
    <w:p>
      <w:pPr>
        <w:pStyle w:val="ListParagraph"/>
        <w:numPr>
          <w:ilvl w:val="1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2024: 74.3</w:t>
      </w:r>
    </w:p>
    <w:p>
      <w:pPr>
        <w:spacing w:after="120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ค่าสหสัมพันธ์ระหว่าง TPSO national CCI และ FPO mean regional RSI ในช่วงข้อมูลที่ทับซ้อนกันอยู่ที่ 0.94 แปลว่าทั้งสองแหล่งให้จังหวะ turning points ที่สอดคล้องกันมาก แม้ระดับดัชนีจะต่างกัน</w:t>
      </w:r>
    </w:p>
    <w:p>
      <w:pPr>
        <w:spacing w:after="120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ดัชนี TCC ที่ใช้เป็น benchmark ก็สอดคล้องในเชิงทิศทางเช่นกัน:</w:t>
      </w:r>
    </w:p>
    <w:p>
      <w:pPr>
        <w:pStyle w:val="ListParagraph"/>
        <w:numPr>
          <w:ilvl w:val="0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เมษายน 2020 TCC-CI: 32.1</w:t>
      </w:r>
    </w:p>
    <w:p>
      <w:pPr>
        <w:pStyle w:val="ListParagraph"/>
        <w:numPr>
          <w:ilvl w:val="0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ตุลาคม 2021 TCC-CI: 19.9</w:t>
      </w:r>
    </w:p>
    <w:p>
      <w:pPr>
        <w:pStyle w:val="ListParagraph"/>
        <w:numPr>
          <w:ilvl w:val="0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ตุลาคม 2024 TCC-CI: 48.9</w:t>
      </w:r>
    </w:p>
    <w:p>
      <w:pPr>
        <w:spacing w:after="120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ค่าระดับของ TCC ต่ำกว่า TPSO เพราะเป็นคนละ survey instrument แต่เรื่องเล่าโดยรวมตรงกัน คือทรุดตัวในโควิดและฟื้นบางส่วนหลังเปิดเมืองและมีมาตรการกระตุ้น</w:t>
      </w:r>
    </w:p>
    <w:p>
      <w:pPr>
        <w:spacing w:after="60" w:before="140"/>
        <w:jc w:val="center"/>
      </w:pPr>
      <w:r>
        <w:drawing>
          <wp:inline distT="0" distB="0" distL="0" distR="0">
            <wp:extent cx="4762500" cy="2619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10"/>
        <w:jc w:val="center"/>
      </w:pPr>
      <w:r>
        <w:rPr>
          <w:rFonts w:ascii="Aptos" w:cs="Aptos" w:eastAsia="Aptos" w:hAnsi="Aptos"/>
          <w:i/>
          <w:iCs/>
          <w:color w:val="57534E"/>
          <w:sz w:val="18"/>
          <w:szCs w:val="18"/>
        </w:rPr>
        <w:t xml:space="preserve">Confidence Indicators</w:t>
      </w:r>
    </w:p>
    <w:p>
      <w:pPr>
        <w:pStyle w:val="Heading1"/>
        <w:pBdr>
          <w:bottom w:val="single" w:color="9A3412" w:sz="6"/>
        </w:pBdr>
        <w:spacing w:after="90" w:before="240"/>
      </w:pPr>
      <w:r>
        <w:rPr>
          <w:rFonts w:ascii="Aptos Display" w:cs="Aptos Display" w:eastAsia="Aptos Display" w:hAnsi="Aptos Display"/>
          <w:b/>
          <w:bCs/>
          <w:color w:val="7C2D12"/>
          <w:sz w:val="29"/>
          <w:szCs w:val="29"/>
        </w:rPr>
        <w:t xml:space="preserve">กรอบเศรษฐมิติ</w:t>
      </w:r>
    </w:p>
    <w:p>
      <w:pPr>
        <w:spacing w:after="140" w:line="34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7C2D12"/>
          <w:sz w:val="25"/>
          <w:szCs w:val="25"/>
        </w:rPr>
        <w:t xml:space="preserve">ปัญหาหลักของการออกแบบคือ ข้อมูลการคลังเป็นรายปี แต่ข้อมูลความเชื่อมั่นเป็นรายเดือน ดังนั้นจึงใช้ mixed-frequency design แบบโปร่งใส โดยมีสามขั้นตอนหลัก:</w:t>
      </w:r>
    </w:p>
    <w:p>
      <w:pPr>
        <w:spacing w:after="85" w:line="330"/>
        <w:jc w:val="both"/>
      </w:pPr>
      <w:r>
        <w:rPr>
          <w:rFonts w:ascii="Aptos Display" w:cs="Aptos Display" w:eastAsia="Aptos Display" w:hAnsi="Aptos Display"/>
          <w:b/>
          <w:bCs/>
          <w:color w:val="7C2D12"/>
          <w:sz w:val="22"/>
          <w:szCs w:val="22"/>
        </w:rPr>
        <w:t xml:space="preserve">1. </w:t>
      </w: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ใช้ยอด annual social assistance ของ NESDC เป็น anchor ของขนาดทางการคลังที่แท้จริง</w:t>
      </w:r>
    </w:p>
    <w:p>
      <w:pPr>
        <w:spacing w:after="85" w:line="330"/>
        <w:jc w:val="both"/>
      </w:pPr>
      <w:r>
        <w:rPr>
          <w:rFonts w:ascii="Aptos Display" w:cs="Aptos Display" w:eastAsia="Aptos Display" w:hAnsi="Aptos Display"/>
          <w:b/>
          <w:bCs/>
          <w:color w:val="7C2D12"/>
          <w:sz w:val="22"/>
          <w:szCs w:val="22"/>
        </w:rPr>
        <w:t xml:space="preserve">2. </w:t>
      </w: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สร้าง monthly policy-intensity calendar เพื่อกระจายยอด annual totals ลงสู่รายเดือนตาม timing ของมาตรการเงินสดและ in-kind</w:t>
      </w:r>
    </w:p>
    <w:p>
      <w:pPr>
        <w:spacing w:after="85" w:line="330"/>
        <w:jc w:val="both"/>
      </w:pPr>
      <w:r>
        <w:rPr>
          <w:rFonts w:ascii="Aptos Display" w:cs="Aptos Display" w:eastAsia="Aptos Display" w:hAnsi="Aptos Display"/>
          <w:b/>
          <w:bCs/>
          <w:color w:val="7C2D12"/>
          <w:sz w:val="22"/>
          <w:szCs w:val="22"/>
        </w:rPr>
        <w:t xml:space="preserve">3. </w:t>
      </w: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ประมาณค่าด้วยแบบจำลอง 3 ชุด</w:t>
      </w:r>
    </w:p>
    <w:p>
      <w:pPr>
        <w:pStyle w:val="Heading2"/>
        <w:spacing w:after="70" w:before="180"/>
      </w:pPr>
      <w:r>
        <w:rPr>
          <w:rFonts w:ascii="Aptos Display" w:cs="Aptos Display" w:eastAsia="Aptos Display" w:hAnsi="Aptos Display"/>
          <w:b/>
          <w:bCs/>
          <w:color w:val="7C2D12"/>
          <w:sz w:val="24"/>
          <w:szCs w:val="24"/>
        </w:rPr>
        <w:t xml:space="preserve">1. การสร้าง monthly fiscal proxy</w:t>
      </w:r>
    </w:p>
    <w:p>
      <w:pPr>
        <w:spacing w:after="120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ให้:</w:t>
      </w:r>
    </w:p>
    <w:p>
      <w:pPr>
        <w:pStyle w:val="ListParagraph"/>
        <w:numPr>
          <w:ilvl w:val="0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A_cash,y คือ annual cash social assistance ของปี y จาก NESDC</w:t>
      </w:r>
    </w:p>
    <w:p>
      <w:pPr>
        <w:pStyle w:val="ListParagraph"/>
        <w:numPr>
          <w:ilvl w:val="0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A_inkind,y คือ annual in-kind social assistance ของปี y จาก NESDC</w:t>
      </w:r>
    </w:p>
    <w:p>
      <w:pPr>
        <w:pStyle w:val="ListParagraph"/>
        <w:numPr>
          <w:ilvl w:val="0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w_cash,t คือ monthly cash-intensity weight ของเดือน t</w:t>
      </w:r>
    </w:p>
    <w:p>
      <w:pPr>
        <w:pStyle w:val="ListParagraph"/>
        <w:numPr>
          <w:ilvl w:val="0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w_inkind,t คือ monthly in-kind-intensity weight ของเดือน t</w:t>
      </w:r>
    </w:p>
    <w:p>
      <w:pPr>
        <w:spacing w:after="120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ทุกเดือนเริ่มจาก baseline weight เท่ากับ 1 แล้วเพิ่มน้ำหนักตามช่วงเวลาที่มาตรการมีผล ภายในปีเดียวกัน นิยามรายจ่าย proxy รายเดือนเป็น:</w:t>
      </w:r>
    </w:p>
    <w:p>
      <w:pPr>
        <w:spacing w:after="170" w:before="140"/>
        <w:jc w:val="center"/>
      </w:pPr>
      <m:oMath>
        <m:sSub>
          <m:sSubPr/>
          <m:e>
            <m:r>
              <m:t>cash proxy</m:t>
            </m:r>
          </m:e>
          <m:sub>
            <m:r>
              <m:t>t</m:t>
            </m:r>
          </m:sub>
        </m:sSub>
        <m:r>
          <m:t> = </m:t>
        </m:r>
        <m:f>
          <m:num>
            <m:sSub>
              <m:sSubPr/>
              <m:e>
                <m:r>
                  <m:t>A</m:t>
                </m:r>
              </m:e>
              <m:sub>
                <m:r>
                  <m:t>cash,y</m:t>
                </m:r>
              </m:sub>
            </m:sSub>
            <m:r>
              <m:t> × </m:t>
            </m:r>
            <m:sSub>
              <m:sSubPr/>
              <m:e>
                <m:r>
                  <m:t>w</m:t>
                </m:r>
              </m:e>
              <m:sub>
                <m:r>
                  <m:t>cash,t</m:t>
                </m:r>
              </m:sub>
            </m:sSub>
          </m:num>
          <m:den>
            <m:nary>
              <m:naryPr>
                <m:chr m:val="∑"/>
                <m:limLoc m:val="undOvr"/>
                <m:supHide m:val="1"/>
              </m:naryPr>
              <m:sub>
                <m:r>
                  <m:t>m ∈ y</m:t>
                </m:r>
              </m:sub>
              <m:e>
                <m:sSub>
                  <m:sSubPr/>
                  <m:e>
                    <m:r>
                      <m:t>w</m:t>
                    </m:r>
                  </m:e>
                  <m:sub>
                    <m:r>
                      <m:t>cash,m</m:t>
                    </m:r>
                  </m:sub>
                </m:sSub>
              </m:e>
            </m:nary>
          </m:den>
        </m:f>
      </m:oMath>
    </w:p>
    <w:p>
      <w:pPr>
        <w:spacing w:after="170" w:before="140"/>
        <w:jc w:val="center"/>
      </w:pPr>
      <m:oMath>
        <m:sSub>
          <m:sSubPr/>
          <m:e>
            <m:r>
              <m:t>inkind proxy</m:t>
            </m:r>
          </m:e>
          <m:sub>
            <m:r>
              <m:t>t</m:t>
            </m:r>
          </m:sub>
        </m:sSub>
        <m:r>
          <m:t> = </m:t>
        </m:r>
        <m:f>
          <m:num>
            <m:sSub>
              <m:sSubPr/>
              <m:e>
                <m:r>
                  <m:t>A</m:t>
                </m:r>
              </m:e>
              <m:sub>
                <m:r>
                  <m:t>inkind,y</m:t>
                </m:r>
              </m:sub>
            </m:sSub>
            <m:r>
              <m:t> × </m:t>
            </m:r>
            <m:sSub>
              <m:sSubPr/>
              <m:e>
                <m:r>
                  <m:t>w</m:t>
                </m:r>
              </m:e>
              <m:sub>
                <m:r>
                  <m:t>inkind,t</m:t>
                </m:r>
              </m:sub>
            </m:sSub>
          </m:num>
          <m:den>
            <m:nary>
              <m:naryPr>
                <m:chr m:val="∑"/>
                <m:limLoc m:val="undOvr"/>
                <m:supHide m:val="1"/>
              </m:naryPr>
              <m:sub>
                <m:r>
                  <m:t>m ∈ y</m:t>
                </m:r>
              </m:sub>
              <m:e>
                <m:sSub>
                  <m:sSubPr/>
                  <m:e>
                    <m:r>
                      <m:t>w</m:t>
                    </m:r>
                  </m:e>
                  <m:sub>
                    <m:r>
                      <m:t>inkind,m</m:t>
                    </m:r>
                  </m:sub>
                </m:sSub>
              </m:e>
            </m:nary>
          </m:den>
        </m:f>
      </m:oMath>
    </w:p>
    <w:p>
      <w:pPr>
        <w:spacing w:after="120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นิยามนี้ทำให้ monthly proxies ทั้ง 12 เดือนรวมกันเท่ากับยอด annual totals ของ NESDC อย่างพอดีในแต่ละปี จากนั้นจึงแปลงเป็นค่า standardized ตลอดทั้ง sample:</w:t>
      </w:r>
    </w:p>
    <w:p>
      <w:pPr>
        <w:spacing w:after="170" w:before="140"/>
        <w:jc w:val="center"/>
      </w:pPr>
      <m:oMath>
        <m:sSub>
          <m:sSubPr/>
          <m:e>
            <m:r>
              <m:t>cash z</m:t>
            </m:r>
          </m:e>
          <m:sub>
            <m:r>
              <m:t>t</m:t>
            </m:r>
          </m:sub>
        </m:sSub>
        <m:r>
          <m:t> = </m:t>
        </m:r>
        <m:f>
          <m:num>
            <m:d>
              <m:dPr/>
              <m:e>
                <m:sSub>
                  <m:sSubPr/>
                  <m:e>
                    <m:r>
                      <m:t>cash proxy</m:t>
                    </m:r>
                  </m:e>
                  <m:sub>
                    <m:r>
                      <m:t>t</m:t>
                    </m:r>
                  </m:sub>
                </m:sSub>
                <m:r>
                  <m:t> − mean(cash proxy)</m:t>
                </m:r>
              </m:e>
            </m:d>
          </m:num>
          <m:den>
            <m:r>
              <m:t>sd(cash proxy)</m:t>
            </m:r>
          </m:den>
        </m:f>
      </m:oMath>
    </w:p>
    <w:p>
      <w:pPr>
        <w:spacing w:after="170" w:before="140"/>
        <w:jc w:val="center"/>
      </w:pPr>
      <m:oMath>
        <m:sSub>
          <m:sSubPr/>
          <m:e>
            <m:r>
              <m:t>inkind z</m:t>
            </m:r>
          </m:e>
          <m:sub>
            <m:r>
              <m:t>t</m:t>
            </m:r>
          </m:sub>
        </m:sSub>
        <m:r>
          <m:t> = </m:t>
        </m:r>
        <m:f>
          <m:num>
            <m:d>
              <m:dPr/>
              <m:e>
                <m:sSub>
                  <m:sSubPr/>
                  <m:e>
                    <m:r>
                      <m:t>inkind proxy</m:t>
                    </m:r>
                  </m:e>
                  <m:sub>
                    <m:r>
                      <m:t>t</m:t>
                    </m:r>
                  </m:sub>
                </m:sSub>
                <m:r>
                  <m:t> − mean(inkind proxy)</m:t>
                </m:r>
              </m:e>
            </m:d>
          </m:num>
          <m:den>
            <m:r>
              <m:t>sd(inkind proxy)</m:t>
            </m:r>
          </m:den>
        </m:f>
      </m:oMath>
    </w:p>
    <w:p>
      <w:pPr>
        <w:spacing w:after="120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ดังนั้นค่าสัมประสิทธิ์ทั้งหมดจึงตีความได้ว่าเป็นการตอบสนองของดัชนีความเชื่อมั่นต่อการเพิ่มขึ้น 1 ส่วนเบี่ยงเบนมาตรฐานของ monthly transfer-intensity proxy</w:t>
      </w:r>
    </w:p>
    <w:p>
      <w:pPr>
        <w:pStyle w:val="Heading2"/>
        <w:spacing w:after="70" w:before="180"/>
      </w:pPr>
      <w:r>
        <w:rPr>
          <w:rFonts w:ascii="Aptos Display" w:cs="Aptos Display" w:eastAsia="Aptos Display" w:hAnsi="Aptos Display"/>
          <w:b/>
          <w:bCs/>
          <w:color w:val="7C2D12"/>
          <w:sz w:val="24"/>
          <w:szCs w:val="24"/>
        </w:rPr>
        <w:t xml:space="preserve">2. ตาราง calibration ของ policy intensity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E5E7EB" w:sz="1"/>
          <w:insideV w:val="single" w:color="E5E7EB" w:sz="1"/>
        </w:tblBorders>
        <w:tblCellSpacing w:type="dxa" w:w="0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FDBA74" w:sz="1"/>
              <w:left w:val="single" w:color="E5E7EB" w:sz="1"/>
              <w:bottom w:val="single" w:color="FDBA74" w:sz="1"/>
              <w:right w:val="single" w:color="E5E7EB" w:sz="1"/>
            </w:tcBorders>
            <w:shd w:fill="FEF3C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aps w:val="false"/>
                <w:color w:val="7C2D12"/>
                <w:sz w:val="22"/>
                <w:szCs w:val="22"/>
              </w:rPr>
              <w:t xml:space="preserve">ช่วงมาตรการ</w:t>
            </w:r>
          </w:p>
        </w:tc>
        <w:tc>
          <w:tcPr>
            <w:tcBorders>
              <w:top w:val="single" w:color="FDBA74" w:sz="1"/>
              <w:left w:val="single" w:color="E5E7EB" w:sz="1"/>
              <w:bottom w:val="single" w:color="FDBA74" w:sz="1"/>
              <w:right w:val="single" w:color="E5E7EB" w:sz="1"/>
            </w:tcBorders>
            <w:shd w:fill="FEF3C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aps w:val="false"/>
                <w:color w:val="7C2D12"/>
                <w:sz w:val="22"/>
                <w:szCs w:val="22"/>
              </w:rPr>
              <w:t xml:space="preserve">เดือน</w:t>
            </w:r>
          </w:p>
        </w:tc>
        <w:tc>
          <w:tcPr>
            <w:tcBorders>
              <w:top w:val="single" w:color="FDBA74" w:sz="1"/>
              <w:left w:val="single" w:color="E5E7EB" w:sz="1"/>
              <w:bottom w:val="single" w:color="FDBA74" w:sz="1"/>
              <w:right w:val="single" w:color="E5E7EB" w:sz="1"/>
            </w:tcBorders>
            <w:shd w:fill="FEF3C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aps w:val="false"/>
                <w:color w:val="7C2D12"/>
                <w:sz w:val="22"/>
                <w:szCs w:val="22"/>
              </w:rPr>
              <w:t xml:space="preserve">Cash weight add-on</w:t>
            </w:r>
          </w:p>
        </w:tc>
        <w:tc>
          <w:tcPr>
            <w:tcBorders>
              <w:top w:val="single" w:color="FDBA74" w:sz="1"/>
              <w:left w:val="single" w:color="E5E7EB" w:sz="1"/>
              <w:bottom w:val="single" w:color="FDBA74" w:sz="1"/>
              <w:right w:val="single" w:color="E5E7EB" w:sz="1"/>
            </w:tcBorders>
            <w:shd w:fill="FEF3C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aps w:val="false"/>
                <w:color w:val="7C2D12"/>
                <w:sz w:val="22"/>
                <w:szCs w:val="22"/>
              </w:rPr>
              <w:t xml:space="preserve">In-kind weight add-on</w:t>
            </w:r>
          </w:p>
        </w:tc>
        <w:tc>
          <w:tcPr>
            <w:tcBorders>
              <w:top w:val="single" w:color="FDBA74" w:sz="1"/>
              <w:left w:val="single" w:color="E5E7EB" w:sz="1"/>
              <w:bottom w:val="single" w:color="FDBA74" w:sz="1"/>
              <w:right w:val="single" w:color="E5E7EB" w:sz="1"/>
            </w:tcBorders>
            <w:shd w:fill="FEF3C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aps w:val="false"/>
                <w:color w:val="7C2D12"/>
                <w:sz w:val="22"/>
                <w:szCs w:val="22"/>
              </w:rPr>
              <w:t xml:space="preserve">เหตุผลเชิงนโยบาย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เปิดตัวบัตรสวัสดิการแห่งรัฐ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2017-10 ถึง 2018-03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1.4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0.8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ช่วง rollout เริ่มต้นและรอบเติมสิทธิ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ยกระดับบัตรสวัสดิการ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2018-04 ถึง 2019-12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0.7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0.5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phase 2 และมาตรการคุณภาพชีวิต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เงินสดเยียวยาโควิดระยะแรก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2020-04 ถึง 2020-06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4.8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0.8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cash stabilization เร่งด่วน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ขยายมาตรการค่าครองชีพโควิด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2020-07 ถึง 2020-12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1.7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1.4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ค่าน้ำ ค่าไฟ และบรรเทาค่าครองชีพ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เราชนะ และ ม33เรารักกัน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2021-02 ถึง 2021-05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5.6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1.1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มาตรการเงินสดเข้มข้น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วัคซีนและการเปิดเมือง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2021-06 ถึง 2021-12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2.4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3.8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รายจ่ายสุขภาพและการฟื้นกิจกรรมเศรษฐกิจ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สุขภาพและสวัสดิการปี 2022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2022-01 ถึง 2022-09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1.3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2.8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สุขภาพและสวัสดิการต่อเนื่อง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วงรอบใหม่ของบัตรสวัสดิการ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2023-04 ถึง 2023-12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0.9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0.5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entitlement cycle ใหม่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เงิน 10,000 บาท กลุ่มเปราะบาง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2024-09 ถึง 2024-11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5.2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0.2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one-off cash stimulus ขนาดใหญ่</w:t>
            </w:r>
          </w:p>
        </w:tc>
      </w:tr>
    </w:tbl>
    <w:p>
      <w:pPr>
        <w:spacing w:after="120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น้ำหนักเหล่านี้ไม่ใช่ค่าประมาณทางเศรษฐมิติ แต่เป็น calibration device เพื่อสะท้อน timing ของมาตรการรายเดือนโดยไม่ทำให้ยอดรายปีผิดจากข้อมูลทางการ</w:t>
      </w:r>
    </w:p>
    <w:p>
      <w:pPr>
        <w:pStyle w:val="Heading2"/>
        <w:spacing w:after="70" w:before="180"/>
      </w:pPr>
      <w:r>
        <w:rPr>
          <w:rFonts w:ascii="Aptos Display" w:cs="Aptos Display" w:eastAsia="Aptos Display" w:hAnsi="Aptos Display"/>
          <w:b/>
          <w:bCs/>
          <w:color w:val="7C2D12"/>
          <w:sz w:val="24"/>
          <w:szCs w:val="24"/>
        </w:rPr>
        <w:t xml:space="preserve">3. นิยามตัวแปรและ sample</w:t>
      </w:r>
    </w:p>
    <w:p>
      <w:pPr>
        <w:spacing w:after="120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Sample ระดับประเทศ:</w:t>
      </w:r>
    </w:p>
    <w:p>
      <w:pPr>
        <w:pStyle w:val="ListParagraph"/>
        <w:numPr>
          <w:ilvl w:val="0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TPSO national CCI รายเดือน: 2019M1-2024M12</w:t>
      </w:r>
    </w:p>
    <w:p>
      <w:pPr>
        <w:pStyle w:val="ListParagraph"/>
        <w:numPr>
          <w:ilvl w:val="0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FPO mean regional RSI รายเดือน: 2018M1-2024M12</w:t>
      </w:r>
    </w:p>
    <w:p>
      <w:pPr>
        <w:pStyle w:val="ListParagraph"/>
        <w:numPr>
          <w:ilvl w:val="0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TCC ใช้เป็น benchmark เฉพาะบางเดือนเพื่อ cross-check ไม่ได้ใช้เป็น dependent variable หลัก</w:t>
      </w:r>
    </w:p>
    <w:p>
      <w:pPr>
        <w:spacing w:after="120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Sample ระดับอาชีพ:</w:t>
      </w:r>
    </w:p>
    <w:p>
      <w:pPr>
        <w:pStyle w:val="ListParagraph"/>
        <w:numPr>
          <w:ilvl w:val="0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7 กลุ่มอาชีพจาก TPSO รายเดือน ช่วง 2019M1-2024M12</w:t>
      </w:r>
    </w:p>
    <w:p>
      <w:pPr>
        <w:pStyle w:val="ListParagraph"/>
        <w:numPr>
          <w:ilvl w:val="0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ตัวแปรตาม:</w:t>
      </w:r>
    </w:p>
    <w:p>
      <w:pPr>
        <w:pStyle w:val="ListParagraph"/>
        <w:numPr>
          <w:ilvl w:val="1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cci_o,t = ดัชนีความเชื่อมั่นรวมของกลุ่มอาชีพ</w:t>
      </w:r>
    </w:p>
    <w:p>
      <w:pPr>
        <w:pStyle w:val="ListParagraph"/>
        <w:numPr>
          <w:ilvl w:val="1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future_o,t = ดัชนีความคาดหวังในอนาคตของกลุ่มอาชีพ</w:t>
      </w:r>
    </w:p>
    <w:p>
      <w:pPr>
        <w:pStyle w:val="ListParagraph"/>
        <w:numPr>
          <w:ilvl w:val="0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ตัวแปรบอกความเปราะบางด้านรายได้:</w:t>
      </w:r>
    </w:p>
    <w:p>
      <w:pPr>
        <w:pStyle w:val="ListParagraph"/>
        <w:numPr>
          <w:ilvl w:val="1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LowInc_o = 1 สำหรับเกษตรกร รับจ้างบริการ/อาชีพบริการอิสระ และไม่ได้ทำงาน/บำนาญ</w:t>
      </w:r>
    </w:p>
    <w:p>
      <w:pPr>
        <w:pStyle w:val="ListParagraph"/>
        <w:numPr>
          <w:ilvl w:val="1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LowInc_o = 0 สำหรับข้าราชการ/รัฐวิสาหกิจ/พนักงานของรัฐ นักศึกษา พนักงานบริษัท และนักธุรกิจ/เจ้าของกิจการ/เจ้าของแผงค้า</w:t>
      </w:r>
    </w:p>
    <w:p>
      <w:pPr>
        <w:spacing w:after="120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จำนวนข้อมูลที่ใช้จริง:</w:t>
      </w:r>
    </w:p>
    <w:p>
      <w:pPr>
        <w:pStyle w:val="ListParagraph"/>
        <w:numPr>
          <w:ilvl w:val="0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National TPSO change model: 70 observations หลัง differencing และใส่ lags</w:t>
      </w:r>
    </w:p>
    <w:p>
      <w:pPr>
        <w:pStyle w:val="ListParagraph"/>
        <w:numPr>
          <w:ilvl w:val="0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National FPO change model: 82 observations หลัง differencing และใส่ lags</w:t>
      </w:r>
    </w:p>
    <w:p>
      <w:pPr>
        <w:pStyle w:val="ListParagraph"/>
        <w:numPr>
          <w:ilvl w:val="0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Occupation TWFE สำหรับ cci_o,t: 504 observations, 72 เดือน, 7 อาชีพ</w:t>
      </w:r>
    </w:p>
    <w:p>
      <w:pPr>
        <w:pStyle w:val="ListParagraph"/>
        <w:numPr>
          <w:ilvl w:val="0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Occupation TWFE สำหรับ future_o,t: 336 observations, 48 เดือน, 7 อาชีพ</w:t>
      </w:r>
    </w:p>
    <w:p>
      <w:pPr>
        <w:pStyle w:val="ListParagraph"/>
        <w:numPr>
          <w:ilvl w:val="0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Local projections:</w:t>
      </w:r>
    </w:p>
    <w:p>
      <w:pPr>
        <w:pStyle w:val="ListParagraph"/>
        <w:numPr>
          <w:ilvl w:val="1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h=0: 497 observations</w:t>
      </w:r>
    </w:p>
    <w:p>
      <w:pPr>
        <w:pStyle w:val="ListParagraph"/>
        <w:numPr>
          <w:ilvl w:val="1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h=1: 490 observations</w:t>
      </w:r>
    </w:p>
    <w:p>
      <w:pPr>
        <w:pStyle w:val="ListParagraph"/>
        <w:numPr>
          <w:ilvl w:val="1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h=2: 483 observations</w:t>
      </w:r>
    </w:p>
    <w:p>
      <w:pPr>
        <w:pStyle w:val="ListParagraph"/>
        <w:numPr>
          <w:ilvl w:val="1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h=3: 476 observations</w:t>
      </w:r>
    </w:p>
    <w:p>
      <w:pPr>
        <w:pStyle w:val="Heading2"/>
        <w:spacing w:after="70" w:before="180"/>
      </w:pPr>
      <w:r>
        <w:rPr>
          <w:rFonts w:ascii="Aptos Display" w:cs="Aptos Display" w:eastAsia="Aptos Display" w:hAnsi="Aptos Display"/>
          <w:b/>
          <w:bCs/>
          <w:color w:val="7C2D12"/>
          <w:sz w:val="24"/>
          <w:szCs w:val="24"/>
        </w:rPr>
        <w:t xml:space="preserve">4. Model A: National confidence change model</w:t>
      </w:r>
    </w:p>
    <w:p>
      <w:pPr>
        <w:spacing w:after="120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สมการที่ประมาณมีรูปแบบเป็น:</w:t>
      </w:r>
    </w:p>
    <w:p>
      <w:pPr>
        <w:spacing w:after="170" w:before="140"/>
        <w:jc w:val="center"/>
      </w:pPr>
      <m:oMath>
        <m:sSub>
          <m:sSubPr/>
          <m:e>
            <m:r>
              <m:t>ΔY</m:t>
            </m:r>
          </m:e>
          <m:sub>
            <m:r>
              <m:t>t</m:t>
            </m:r>
          </m:sub>
        </m:sSub>
        <m:r>
          <m:t> = α + </m:t>
        </m:r>
        <m:sSub>
          <m:sSubPr/>
          <m:e>
            <m:r>
              <m:t>β</m:t>
            </m:r>
          </m:e>
          <m:sub>
            <m:r>
              <m:t>0</m:t>
            </m:r>
          </m:sub>
        </m:sSub>
        <m:r>
          <m:t> </m:t>
        </m:r>
        <m:sSub>
          <m:sSubPr/>
          <m:e>
            <m:r>
              <m:t>cash z</m:t>
            </m:r>
          </m:e>
          <m:sub>
            <m:r>
              <m:t>t</m:t>
            </m:r>
          </m:sub>
        </m:sSub>
        <m:r>
          <m:t> + </m:t>
        </m:r>
        <m:sSub>
          <m:sSubPr/>
          <m:e>
            <m:r>
              <m:t>β</m:t>
            </m:r>
          </m:e>
          <m:sub>
            <m:r>
              <m:t>1</m:t>
            </m:r>
          </m:sub>
        </m:sSub>
        <m:r>
          <m:t> </m:t>
        </m:r>
        <m:sSub>
          <m:sSubPr/>
          <m:e>
            <m:r>
              <m:t>inkind z</m:t>
            </m:r>
          </m:e>
          <m:sub>
            <m:r>
              <m:t>t</m:t>
            </m:r>
          </m:sub>
        </m:sSub>
        <m:r>
          <m:t> + </m:t>
        </m:r>
        <m:sSub>
          <m:sSubPr/>
          <m:e>
            <m:r>
              <m:t>β</m:t>
            </m:r>
          </m:e>
          <m:sub>
            <m:r>
              <m:t>2</m:t>
            </m:r>
          </m:sub>
        </m:sSub>
        <m:r>
          <m:t> </m:t>
        </m:r>
        <m:sSub>
          <m:sSubPr/>
          <m:e>
            <m:r>
              <m:t>cash z</m:t>
            </m:r>
          </m:e>
          <m:sub>
            <m:r>
              <m:t>t−1</m:t>
            </m:r>
          </m:sub>
        </m:sSub>
        <m:r>
          <m:t> + </m:t>
        </m:r>
        <m:sSub>
          <m:sSubPr/>
          <m:e>
            <m:r>
              <m:t>β</m:t>
            </m:r>
          </m:e>
          <m:sub>
            <m:r>
              <m:t>3</m:t>
            </m:r>
          </m:sub>
        </m:sSub>
        <m:r>
          <m:t> </m:t>
        </m:r>
        <m:sSub>
          <m:sSubPr/>
          <m:e>
            <m:r>
              <m:t>inkind z</m:t>
            </m:r>
          </m:e>
          <m:sub>
            <m:r>
              <m:t>t−1</m:t>
            </m:r>
          </m:sub>
        </m:sSub>
        <m:r>
          <m:t> + ρ </m:t>
        </m:r>
        <m:sSub>
          <m:sSubPr/>
          <m:e>
            <m:r>
              <m:t>ΔY</m:t>
            </m:r>
          </m:e>
          <m:sub>
            <m:r>
              <m:t>t−1</m:t>
            </m:r>
          </m:sub>
        </m:sSub>
        <m:r>
          <m:t> + </m:t>
        </m:r>
        <m:sSub>
          <m:sSubPr/>
          <m:e>
            <m:r>
              <m:t>e</m:t>
            </m:r>
          </m:e>
          <m:sub>
            <m:r>
              <m:t>t</m:t>
            </m:r>
          </m:sub>
        </m:sSub>
      </m:oMath>
    </w:p>
    <w:p>
      <w:pPr>
        <w:spacing w:after="120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โดยที่:</w:t>
      </w:r>
    </w:p>
    <w:p>
      <w:pPr>
        <w:pStyle w:val="ListParagraph"/>
        <w:numPr>
          <w:ilvl w:val="0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Y_t คือ TPSO national CCI หรือ FPO mean regional RSI</w:t>
      </w:r>
    </w:p>
    <w:p>
      <w:pPr>
        <w:pStyle w:val="ListParagraph"/>
        <w:numPr>
          <w:ilvl w:val="0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Delta Y_t คือการเปลี่ยนแปลงรายเดือนของดัชนีดังกล่าว</w:t>
      </w:r>
    </w:p>
    <w:p>
      <w:pPr>
        <w:pStyle w:val="ListParagraph"/>
        <w:numPr>
          <w:ilvl w:val="0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cash_z,t และ inkind_z,t คือ standardized fiscal proxies</w:t>
      </w:r>
    </w:p>
    <w:p>
      <w:pPr>
        <w:pStyle w:val="ListParagraph"/>
        <w:numPr>
          <w:ilvl w:val="0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rho สะท้อน persistence ระยะสั้นของการเปลี่ยนแปลงความเชื่อมั่น</w:t>
      </w:r>
    </w:p>
    <w:p>
      <w:pPr>
        <w:spacing w:after="120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การตีความ:</w:t>
      </w:r>
    </w:p>
    <w:p>
      <w:pPr>
        <w:pStyle w:val="ListParagraph"/>
        <w:numPr>
          <w:ilvl w:val="0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beta_0 คือผลร่วมสมัยของความเข้มข้นมาตรการเงินสดต่อ aggregate confidence</w:t>
      </w:r>
    </w:p>
    <w:p>
      <w:pPr>
        <w:pStyle w:val="ListParagraph"/>
        <w:numPr>
          <w:ilvl w:val="0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beta_1 คือผลร่วมสมัยของความเข้มข้นมาตรการ in-kind</w:t>
      </w:r>
    </w:p>
    <w:p>
      <w:pPr>
        <w:pStyle w:val="ListParagraph"/>
        <w:numPr>
          <w:ilvl w:val="0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beta_2 และ beta_3 คือ delayed effects 1 เดือน</w:t>
      </w:r>
    </w:p>
    <w:p>
      <w:pPr>
        <w:spacing w:after="120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แบบจำลองนี้จงใจทำให้เรียบง่าย เพราะต้องการสรุป short-run macro association ระหว่าง transfer intensity กับ confidence ไม่ได้อ้างว่าเป็น fully structural causal estimate</w:t>
      </w:r>
    </w:p>
    <w:p>
      <w:pPr>
        <w:pStyle w:val="Heading2"/>
        <w:spacing w:after="70" w:before="180"/>
      </w:pPr>
      <w:r>
        <w:rPr>
          <w:rFonts w:ascii="Aptos Display" w:cs="Aptos Display" w:eastAsia="Aptos Display" w:hAnsi="Aptos Display"/>
          <w:b/>
          <w:bCs/>
          <w:color w:val="7C2D12"/>
          <w:sz w:val="24"/>
          <w:szCs w:val="24"/>
        </w:rPr>
        <w:t xml:space="preserve">5. Model B: Occupation-level two-way fixed effects</w:t>
      </w:r>
    </w:p>
    <w:p>
      <w:pPr>
        <w:spacing w:after="120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แบบจำลองเชิงกระจายตัวหลักของรายงานคือ:</w:t>
      </w:r>
    </w:p>
    <w:p>
      <w:pPr>
        <w:spacing w:after="170" w:before="140"/>
        <w:jc w:val="center"/>
      </w:pPr>
      <m:oMath>
        <m:sSub>
          <m:sSubPr/>
          <m:e>
            <m:r>
              <m:t>Y</m:t>
            </m:r>
          </m:e>
          <m:sub>
            <m:r>
              <m:t>o,t</m:t>
            </m:r>
          </m:sub>
        </m:sSub>
        <m:r>
          <m:t> = </m:t>
        </m:r>
        <m:sSub>
          <m:sSubPr/>
          <m:e>
            <m:r>
              <m:t>α</m:t>
            </m:r>
          </m:e>
          <m:sub>
            <m:r>
              <m:t>o</m:t>
            </m:r>
          </m:sub>
        </m:sSub>
        <m:r>
          <m:t> + </m:t>
        </m:r>
        <m:sSub>
          <m:sSubPr/>
          <m:e>
            <m:r>
              <m:t>λ</m:t>
            </m:r>
          </m:e>
          <m:sub>
            <m:r>
              <m:t>t</m:t>
            </m:r>
          </m:sub>
        </m:sSub>
        <m:r>
          <m:t> + </m:t>
        </m:r>
        <m:sSub>
          <m:sSubPr/>
          <m:e>
            <m:r>
              <m:t>θ</m:t>
            </m:r>
          </m:e>
          <m:sub>
            <m:r>
              <m:t>cash</m:t>
            </m:r>
          </m:sub>
        </m:sSub>
        <m:r>
          <m:t> </m:t>
        </m:r>
        <m:d>
          <m:dPr/>
          <m:e>
            <m:sSub>
              <m:sSubPr/>
              <m:e>
                <m:r>
                  <m:t>LowInc</m:t>
                </m:r>
              </m:e>
              <m:sub>
                <m:r>
                  <m:t>o</m:t>
                </m:r>
              </m:sub>
            </m:sSub>
            <m:r>
              <m:t> × </m:t>
            </m:r>
            <m:sSub>
              <m:sSubPr/>
              <m:e>
                <m:r>
                  <m:t>cash z</m:t>
                </m:r>
              </m:e>
              <m:sub>
                <m:r>
                  <m:t>t</m:t>
                </m:r>
              </m:sub>
            </m:sSub>
          </m:e>
        </m:d>
        <m:r>
          <m:t> + </m:t>
        </m:r>
        <m:sSub>
          <m:sSubPr/>
          <m:e>
            <m:r>
              <m:t>θ</m:t>
            </m:r>
          </m:e>
          <m:sub>
            <m:r>
              <m:t>inkind</m:t>
            </m:r>
          </m:sub>
        </m:sSub>
        <m:r>
          <m:t> </m:t>
        </m:r>
        <m:d>
          <m:dPr/>
          <m:e>
            <m:sSub>
              <m:sSubPr/>
              <m:e>
                <m:r>
                  <m:t>LowInc</m:t>
                </m:r>
              </m:e>
              <m:sub>
                <m:r>
                  <m:t>o</m:t>
                </m:r>
              </m:sub>
            </m:sSub>
            <m:r>
              <m:t> × </m:t>
            </m:r>
            <m:sSub>
              <m:sSubPr/>
              <m:e>
                <m:r>
                  <m:t>inkind z</m:t>
                </m:r>
              </m:e>
              <m:sub>
                <m:r>
                  <m:t>t</m:t>
                </m:r>
              </m:sub>
            </m:sSub>
          </m:e>
        </m:d>
        <m:r>
          <m:t> + </m:t>
        </m:r>
        <m:sSub>
          <m:sSubPr/>
          <m:e>
            <m:r>
              <m:t>u</m:t>
            </m:r>
          </m:e>
          <m:sub>
            <m:r>
              <m:t>o,t</m:t>
            </m:r>
          </m:sub>
        </m:sSub>
      </m:oMath>
    </w:p>
    <w:p>
      <w:pPr>
        <w:spacing w:after="120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โดยที่:</w:t>
      </w:r>
    </w:p>
    <w:p>
      <w:pPr>
        <w:pStyle w:val="ListParagraph"/>
        <w:numPr>
          <w:ilvl w:val="0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alpha_o คือ occupation fixed effects</w:t>
      </w:r>
    </w:p>
    <w:p>
      <w:pPr>
        <w:pStyle w:val="ListParagraph"/>
        <w:numPr>
          <w:ilvl w:val="0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lambda_t คือ month fixed effects เต็มรูปแบบ</w:t>
      </w:r>
    </w:p>
    <w:p>
      <w:pPr>
        <w:pStyle w:val="ListParagraph"/>
        <w:numPr>
          <w:ilvl w:val="0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Y_o,t คือ cci_o,t หรือ future_o,t</w:t>
      </w:r>
    </w:p>
    <w:p>
      <w:pPr>
        <w:spacing w:after="120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ประเด็น identification ที่สำคัญ:</w:t>
      </w:r>
    </w:p>
    <w:p>
      <w:pPr>
        <w:pStyle w:val="ListParagraph"/>
        <w:numPr>
          <w:ilvl w:val="0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เนื่องจาก lambda_t ดูดซับ shocks ร่วมของทุกอาชีพในเดือนเดียวกัน main effects ของ cash_z,t และ inkind_z,t จึงถูก absorbed ไปทั้งหมด</w:t>
      </w:r>
    </w:p>
    <w:p>
      <w:pPr>
        <w:pStyle w:val="ListParagraph"/>
        <w:numPr>
          <w:ilvl w:val="0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แบบจำลองนี้จึงระบุได้เฉพาะ relative response ของ low-income-sensitive occupations เทียบกับกลุ่มที่เปราะบางน้อยกว่าในเดือนที่ transfer intensity สูง</w:t>
      </w:r>
    </w:p>
    <w:p>
      <w:pPr>
        <w:spacing w:after="120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การตีความ:</w:t>
      </w:r>
    </w:p>
    <w:p>
      <w:pPr>
        <w:pStyle w:val="ListParagraph"/>
        <w:numPr>
          <w:ilvl w:val="0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theta_cash &gt; 0 หมายถึงเดือนที่ cash-heavy ช่วยแคบช่องว่างความเชื่อมั่นของกลุ่มเปราะบาง</w:t>
      </w:r>
    </w:p>
    <w:p>
      <w:pPr>
        <w:pStyle w:val="ListParagraph"/>
        <w:numPr>
          <w:ilvl w:val="0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theta_cash &lt; 0 หมายถึงเดือนที่ cash-heavy สัมพันธ์กับช่องว่างที่กว้างขึ้น หรือการฟื้นตัวเชิงสัมพัทธ์ที่อ่อนกว่า</w:t>
      </w:r>
    </w:p>
    <w:p>
      <w:pPr>
        <w:pStyle w:val="ListParagraph"/>
        <w:numPr>
          <w:ilvl w:val="0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theta_inkind ตีความแบบเดียวกันสำหรับมาตรการ in-kind</w:t>
      </w:r>
    </w:p>
    <w:p>
      <w:pPr>
        <w:pStyle w:val="Heading2"/>
        <w:spacing w:after="70" w:before="180"/>
      </w:pPr>
      <w:r>
        <w:rPr>
          <w:rFonts w:ascii="Aptos Display" w:cs="Aptos Display" w:eastAsia="Aptos Display" w:hAnsi="Aptos Display"/>
          <w:b/>
          <w:bCs/>
          <w:color w:val="7C2D12"/>
          <w:sz w:val="24"/>
          <w:szCs w:val="24"/>
        </w:rPr>
        <w:t xml:space="preserve">6. Model C: Local projections</w:t>
      </w:r>
    </w:p>
    <w:p>
      <w:pPr>
        <w:spacing w:after="120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เพื่อดูพลวัตระยะสั้น ใช้สมการ local projection สำหรับ horizon h = 0, 1, 2, 3 ดังนี้:</w:t>
      </w:r>
    </w:p>
    <w:p>
      <w:pPr>
        <w:spacing w:after="170" w:before="140"/>
        <w:jc w:val="center"/>
      </w:pPr>
      <m:oMath>
        <m:sSub>
          <m:sSubPr/>
          <m:e>
            <m:r>
              <m:t>Y</m:t>
            </m:r>
          </m:e>
          <m:sub>
            <m:r>
              <m:t>o,t+h</m:t>
            </m:r>
          </m:sub>
        </m:sSub>
        <m:r>
          <m:t> − </m:t>
        </m:r>
        <m:sSub>
          <m:sSubPr/>
          <m:e>
            <m:r>
              <m:t>Y</m:t>
            </m:r>
          </m:e>
          <m:sub>
            <m:r>
              <m:t>o,t−1</m:t>
            </m:r>
          </m:sub>
        </m:sSub>
        <m:r>
          <m:t> = </m:t>
        </m:r>
        <m:sSub>
          <m:sSubPr/>
          <m:e>
            <m:r>
              <m:t>α</m:t>
            </m:r>
          </m:e>
          <m:sub>
            <m:r>
              <m:t>o,h</m:t>
            </m:r>
          </m:sub>
        </m:sSub>
        <m:r>
          <m:t> + </m:t>
        </m:r>
        <m:sSub>
          <m:sSubPr/>
          <m:e>
            <m:r>
              <m:t>λ</m:t>
            </m:r>
          </m:e>
          <m:sub>
            <m:r>
              <m:t>t,h</m:t>
            </m:r>
          </m:sub>
        </m:sSub>
        <m:r>
          <m:t> + </m:t>
        </m:r>
        <m:sSub>
          <m:sSubPr/>
          <m:e>
            <m:r>
              <m:t>ψ</m:t>
            </m:r>
          </m:e>
          <m:sub>
            <m:r>
              <m:t>cash,h</m:t>
            </m:r>
          </m:sub>
        </m:sSub>
        <m:r>
          <m:t> </m:t>
        </m:r>
        <m:d>
          <m:dPr/>
          <m:e>
            <m:sSub>
              <m:sSubPr/>
              <m:e>
                <m:r>
                  <m:t>LowInc</m:t>
                </m:r>
              </m:e>
              <m:sub>
                <m:r>
                  <m:t>o</m:t>
                </m:r>
              </m:sub>
            </m:sSub>
            <m:r>
              <m:t> × </m:t>
            </m:r>
            <m:sSub>
              <m:sSubPr/>
              <m:e>
                <m:r>
                  <m:t>cash z</m:t>
                </m:r>
              </m:e>
              <m:sub>
                <m:r>
                  <m:t>t</m:t>
                </m:r>
              </m:sub>
            </m:sSub>
          </m:e>
        </m:d>
        <m:r>
          <m:t> + </m:t>
        </m:r>
        <m:sSub>
          <m:sSubPr/>
          <m:e>
            <m:r>
              <m:t>ψ</m:t>
            </m:r>
          </m:e>
          <m:sub>
            <m:r>
              <m:t>inkind,h</m:t>
            </m:r>
          </m:sub>
        </m:sSub>
        <m:r>
          <m:t> </m:t>
        </m:r>
        <m:d>
          <m:dPr/>
          <m:e>
            <m:sSub>
              <m:sSubPr/>
              <m:e>
                <m:r>
                  <m:t>LowInc</m:t>
                </m:r>
              </m:e>
              <m:sub>
                <m:r>
                  <m:t>o</m:t>
                </m:r>
              </m:sub>
            </m:sSub>
            <m:r>
              <m:t> × </m:t>
            </m:r>
            <m:sSub>
              <m:sSubPr/>
              <m:e>
                <m:r>
                  <m:t>inkind z</m:t>
                </m:r>
              </m:e>
              <m:sub>
                <m:r>
                  <m:t>t</m:t>
                </m:r>
              </m:sub>
            </m:sSub>
          </m:e>
        </m:d>
        <m:r>
          <m:t> + </m:t>
        </m:r>
        <m:sSub>
          <m:sSubPr/>
          <m:e>
            <m:r>
              <m:t>v</m:t>
            </m:r>
          </m:e>
          <m:sub>
            <m:r>
              <m:t>o,t+h</m:t>
            </m:r>
          </m:sub>
        </m:sSub>
      </m:oMath>
    </w:p>
    <w:p>
      <w:pPr>
        <w:spacing w:after="120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โดย:</w:t>
      </w:r>
    </w:p>
    <w:p>
      <w:pPr>
        <w:pStyle w:val="ListParagraph"/>
        <w:numPr>
          <w:ilvl w:val="0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ฝั่งซ้ายคือ cumulative change จาก t-1 ไป t+h</w:t>
      </w:r>
    </w:p>
    <w:p>
      <w:pPr>
        <w:pStyle w:val="ListParagraph"/>
        <w:numPr>
          <w:ilvl w:val="0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alpha_o,h และ lambda_t,h เป็น horizon-specific fixed effects</w:t>
      </w:r>
    </w:p>
    <w:p>
      <w:pPr>
        <w:spacing w:after="120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การตีความ:</w:t>
      </w:r>
    </w:p>
    <w:p>
      <w:pPr>
        <w:pStyle w:val="ListParagraph"/>
        <w:numPr>
          <w:ilvl w:val="0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psi_cash,h และ psi_inkind,h แสดงว่า relative confidence response ของกลุ่มเปราะบางพัฒนาไปอย่างไรในอีก 0-3 เดือนหลังจากเดือนที่ transfer intensity สูง</w:t>
      </w:r>
    </w:p>
    <w:p>
      <w:pPr>
        <w:pStyle w:val="Heading2"/>
        <w:spacing w:after="70" w:before="180"/>
      </w:pPr>
      <w:r>
        <w:rPr>
          <w:rFonts w:ascii="Aptos Display" w:cs="Aptos Display" w:eastAsia="Aptos Display" w:hAnsi="Aptos Display"/>
          <w:b/>
          <w:bCs/>
          <w:color w:val="7C2D12"/>
          <w:sz w:val="24"/>
          <w:szCs w:val="24"/>
        </w:rPr>
        <w:t xml:space="preserve">7. วิธีประมาณค่าและ variance formulas</w:t>
      </w:r>
    </w:p>
    <w:p>
      <w:pPr>
        <w:spacing w:after="120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แบบจำลอง occupation panel ประมาณด้วย ordinary least squares หลังจากทำ exact two-way demeaning ให้ X เป็นเมทริกซ์ของ demeaned regressors และ u เป็น residual vector จะได้ clustered variance estimator เป็น:</w:t>
      </w:r>
    </w:p>
    <w:p>
      <w:pPr>
        <w:spacing w:after="170" w:before="140"/>
        <w:jc w:val="center"/>
      </w:pPr>
      <m:oMath>
        <m:sSub>
          <m:sSubPr/>
          <m:e>
            <m:r>
              <m:t>V</m:t>
            </m:r>
          </m:e>
          <m:sub>
            <m:r>
              <m:t>cluster</m:t>
            </m:r>
          </m:sub>
        </m:sSub>
        <m:r>
          <m:t> = s </m:t>
        </m:r>
        <m:sSup>
          <m:sSupPr/>
          <m:e>
            <m:d>
              <m:dPr/>
              <m:e>
                <m:r>
                  <m:t>X′X</m:t>
                </m:r>
              </m:e>
            </m:d>
          </m:e>
          <m:sup>
            <m:r>
              <m:t>−1</m:t>
            </m:r>
          </m:sup>
        </m:sSup>
        <m:r>
          <m:t> </m:t>
        </m:r>
        <m:d>
          <m:dPr>
            <m:begChr m:val="["/>
            <m:endChr m:val="]"/>
          </m:dPr>
          <m:e>
            <m:nary>
              <m:naryPr>
                <m:chr m:val="∑"/>
                <m:limLoc m:val="undOvr"/>
                <m:supHide m:val="1"/>
              </m:naryPr>
              <m:sub>
                <m:r>
                  <m:t>g</m:t>
                </m:r>
              </m:sub>
              <m:e>
                <m:d>
                  <m:dPr/>
                  <m:e>
                    <m:sSub>
                      <m:sSubPr/>
                      <m:e>
                        <m:r>
                          <m:t>X′</m:t>
                        </m:r>
                      </m:e>
                      <m:sub>
                        <m:r>
                          <m:t>g</m:t>
                        </m:r>
                      </m:sub>
                    </m:sSub>
                    <m:r>
                      <m:t> </m:t>
                    </m:r>
                    <m:sSub>
                      <m:sSubPr/>
                      <m:e>
                        <m:r>
                          <m:t>u</m:t>
                        </m:r>
                      </m:e>
                      <m:sub>
                        <m:r>
                          <m:t>g</m:t>
                        </m:r>
                      </m:sub>
                    </m:sSub>
                    <m:r>
                      <m:t> </m:t>
                    </m:r>
                    <m:sSub>
                      <m:sSubPr/>
                      <m:e>
                        <m:r>
                          <m:t>u′</m:t>
                        </m:r>
                      </m:e>
                      <m:sub>
                        <m:r>
                          <m:t>g</m:t>
                        </m:r>
                      </m:sub>
                    </m:sSub>
                    <m:r>
                      <m:t> </m:t>
                    </m:r>
                    <m:sSub>
                      <m:sSubPr/>
                      <m:e>
                        <m:r>
                          <m:t>X</m:t>
                        </m:r>
                      </m:e>
                      <m:sub>
                        <m:r>
                          <m:t>g</m:t>
                        </m:r>
                      </m:sub>
                    </m:sSub>
                  </m:e>
                </m:d>
              </m:e>
            </m:nary>
          </m:e>
        </m:d>
        <m:r>
          <m:t> </m:t>
        </m:r>
        <m:sSup>
          <m:sSupPr/>
          <m:e>
            <m:d>
              <m:dPr/>
              <m:e>
                <m:r>
                  <m:t>X′X</m:t>
                </m:r>
              </m:e>
            </m:d>
          </m:e>
          <m:sup>
            <m:r>
              <m:t>−1</m:t>
            </m:r>
          </m:sup>
        </m:sSup>
      </m:oMath>
    </w:p>
    <w:p>
      <w:pPr>
        <w:spacing w:after="120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โดย g คือ monthly clusters และ:</w:t>
      </w:r>
    </w:p>
    <w:p>
      <w:pPr>
        <w:spacing w:after="170" w:before="140"/>
        <w:jc w:val="center"/>
      </w:pPr>
      <m:oMath>
        <m:r>
          <m:t>s = </m:t>
        </m:r>
        <m:d>
          <m:dPr/>
          <m:e>
            <m:f>
              <m:num>
                <m:r>
                  <m:t>M</m:t>
                </m:r>
              </m:num>
              <m:den>
                <m:r>
                  <m:t>M − 1</m:t>
                </m:r>
              </m:den>
            </m:f>
          </m:e>
        </m:d>
        <m:r>
          <m:t> </m:t>
        </m:r>
        <m:d>
          <m:dPr/>
          <m:e>
            <m:f>
              <m:num>
                <m:r>
                  <m:t>N − 1</m:t>
                </m:r>
              </m:num>
              <m:den>
                <m:r>
                  <m:t>N − K</m:t>
                </m:r>
              </m:den>
            </m:f>
          </m:e>
        </m:d>
      </m:oMath>
    </w:p>
    <w:p>
      <w:pPr>
        <w:spacing w:after="120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นิยาม:</w:t>
      </w:r>
    </w:p>
    <w:p>
      <w:pPr>
        <w:pStyle w:val="ListParagraph"/>
        <w:numPr>
          <w:ilvl w:val="0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M คือจำนวน clusters</w:t>
      </w:r>
    </w:p>
    <w:p>
      <w:pPr>
        <w:pStyle w:val="ListParagraph"/>
        <w:numPr>
          <w:ilvl w:val="0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N คือจำนวน observations</w:t>
      </w:r>
    </w:p>
    <w:p>
      <w:pPr>
        <w:pStyle w:val="ListParagraph"/>
        <w:numPr>
          <w:ilvl w:val="0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K คือจำนวน regressors</w:t>
      </w:r>
    </w:p>
    <w:p>
      <w:pPr>
        <w:spacing w:after="120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ดังนั้น occupation models ในรายงานนี้ใช้ month-clustered robust standard errors พร้อม small-sample correction ตามนิยามข้างต้น</w:t>
      </w:r>
    </w:p>
    <w:p>
      <w:pPr>
        <w:spacing w:after="120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ฝั่ง national change models ใช้ Newey-West style HAC estimator ด้วย Bartlett weights และกำหนด lag length L = 3:</w:t>
      </w:r>
    </w:p>
    <w:p>
      <w:pPr>
        <w:spacing w:after="170" w:before="140"/>
        <w:jc w:val="center"/>
      </w:pPr>
      <m:oMath>
        <m:sSub>
          <m:sSubPr/>
          <m:e>
            <m:r>
              <m:t>V</m:t>
            </m:r>
          </m:e>
          <m:sub>
            <m:r>
              <m:t>HAC</m:t>
            </m:r>
          </m:sub>
        </m:sSub>
        <m:r>
          <m:t> = </m:t>
        </m:r>
        <m:sSup>
          <m:sSupPr/>
          <m:e>
            <m:d>
              <m:dPr/>
              <m:e>
                <m:r>
                  <m:t>X′X</m:t>
                </m:r>
              </m:e>
            </m:d>
          </m:e>
          <m:sup>
            <m:r>
              <m:t>−1</m:t>
            </m:r>
          </m:sup>
        </m:sSup>
        <m:r>
          <m:t> S </m:t>
        </m:r>
        <m:sSup>
          <m:sSupPr/>
          <m:e>
            <m:d>
              <m:dPr/>
              <m:e>
                <m:r>
                  <m:t>X′X</m:t>
                </m:r>
              </m:e>
            </m:d>
          </m:e>
          <m:sup>
            <m:r>
              <m:t>−1</m:t>
            </m:r>
          </m:sup>
        </m:sSup>
      </m:oMath>
    </w:p>
    <w:p>
      <w:pPr>
        <w:spacing w:after="120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โดย:</w:t>
      </w:r>
    </w:p>
    <w:p>
      <w:pPr>
        <w:spacing w:after="170" w:before="140"/>
        <w:jc w:val="center"/>
      </w:pPr>
      <m:oMath>
        <m:r>
          <m:t>S = Σₜ uₜ² xₜ xₜ′ + Σℓ₌₁ᴸ (1 − ℓ/(L+1)) Σₜ₌ℓ₊₁ᵀ uₜ uₜ₋ℓ (xₜ xₜ₋ℓ′ + xₜ₋ℓ xₜ′)</m:t>
        </m:r>
      </m:oMath>
    </w:p>
    <w:p>
      <w:pPr>
        <w:spacing w:after="120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รายงานนี้ใช้ 90% confidence intervals ซึ่งคำนวณจาก coefficient plus/minus 1.645 standard errors</w:t>
      </w:r>
    </w:p>
    <w:p>
      <w:pPr>
        <w:pStyle w:val="Heading2"/>
        <w:spacing w:after="70" w:before="180"/>
      </w:pPr>
      <w:r>
        <w:rPr>
          <w:rFonts w:ascii="Aptos Display" w:cs="Aptos Display" w:eastAsia="Aptos Display" w:hAnsi="Aptos Display"/>
          <w:b/>
          <w:bCs/>
          <w:color w:val="7C2D12"/>
          <w:sz w:val="24"/>
          <w:szCs w:val="24"/>
        </w:rPr>
        <w:t xml:space="preserve">8. สมมติฐานเชิง identification และข้อจำกัด</w:t>
      </w:r>
    </w:p>
    <w:p>
      <w:pPr>
        <w:spacing w:after="120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สมมติฐานหลักของงานนี้ไม่ใช่การบอกว่า transfers เป็น exogenous โดยสมบูรณ์ แต่เป็นการตีความแบบพอประมาณมากกว่า</w:t>
      </w:r>
    </w:p>
    <w:p>
      <w:pPr>
        <w:pStyle w:val="ListParagraph"/>
        <w:numPr>
          <w:ilvl w:val="0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ใน national change models ค่าสัมประสิทธิ์วัด short-run comovement แบบมีการควบคุม persistence บางส่วน</w:t>
      </w:r>
    </w:p>
    <w:p>
      <w:pPr>
        <w:pStyle w:val="ListParagraph"/>
        <w:numPr>
          <w:ilvl w:val="0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ใน occupation TWFE และ local projection การระบุผลมาจากความแตกต่างว่ากลุ่มอาชีพเปราะบางเคลื่อนไหวต่างจากกลุ่มไม่เปราะบางหรือไม่ ภายในเดือนเดียวกันที่ transfer intensity สูง</w:t>
      </w:r>
    </w:p>
    <w:p>
      <w:pPr>
        <w:spacing w:after="120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จุดแข็งของกรอบนี้คือดีกว่า pure before-after comparison แต่ก็ยังมีข้อจำกัด:</w:t>
      </w:r>
    </w:p>
    <w:p>
      <w:pPr>
        <w:pStyle w:val="ListParagraph"/>
        <w:numPr>
          <w:ilvl w:val="0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Monthly fiscal proxy เป็นตัวแปรที่สร้างขึ้น ไม่ใช่รายจ่ายรายเดือนที่สังเกตได้โดยตรง</w:t>
      </w:r>
    </w:p>
    <w:p>
      <w:pPr>
        <w:pStyle w:val="ListParagraph"/>
        <w:numPr>
          <w:ilvl w:val="0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ความเข้มข้นของมาตรการถูก encode จาก timing ของนโยบาย ไม่ใช่ disbursement ledger รายเดือน</w:t>
      </w:r>
    </w:p>
    <w:p>
      <w:pPr>
        <w:pStyle w:val="ListParagraph"/>
        <w:numPr>
          <w:ilvl w:val="0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บางมาตรการอาจ endogenous ต่อภาวะเศรษฐกิจที่เลวลง โดยเฉพาะช่วง 2020-2021</w:t>
      </w:r>
    </w:p>
    <w:p>
      <w:pPr>
        <w:pStyle w:val="ListParagraph"/>
        <w:numPr>
          <w:ilvl w:val="0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ตัวแปร exposure dummy ถูกออกแบบให้เรียบง่าย จึงอาจจับความต่างภายในอาชีพได้ไม่ครบ</w:t>
      </w:r>
    </w:p>
    <w:p>
      <w:pPr>
        <w:pStyle w:val="ListParagraph"/>
        <w:numPr>
          <w:ilvl w:val="0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แบบจำลอง future expectations มีจำนวนข้อมูลน้อยลงเพราะ series ของ TPSO มี missing values บางช่วง</w:t>
      </w:r>
    </w:p>
    <w:p>
      <w:pPr>
        <w:spacing w:after="120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ดังนั้นข้อสรุปเชิงวิธีวิทยาจึงยังเหมือนเดิม: รายงานฉบับนี้เป็น longitudinal empirical framework ที่จริงจังและโปร่งใส แต่ควรอ่านเป็น mixed-frequency policy evaluation exercise ไม่ใช่ structural causal estimate ขั้นเด็ดขาด</w:t>
      </w:r>
    </w:p>
    <w:p>
      <w:pPr>
        <w:pStyle w:val="Heading1"/>
        <w:pBdr>
          <w:bottom w:val="single" w:color="9A3412" w:sz="6"/>
        </w:pBdr>
        <w:spacing w:after="90" w:before="240"/>
      </w:pPr>
      <w:r>
        <w:rPr>
          <w:rFonts w:ascii="Aptos Display" w:cs="Aptos Display" w:eastAsia="Aptos Display" w:hAnsi="Aptos Display"/>
          <w:b/>
          <w:bCs/>
          <w:color w:val="7C2D12"/>
          <w:sz w:val="29"/>
          <w:szCs w:val="29"/>
        </w:rPr>
        <w:t xml:space="preserve">ผลลัพธ์เชิงเศรษฐมิติ</w:t>
      </w:r>
    </w:p>
    <w:p>
      <w:pPr>
        <w:pStyle w:val="Heading2"/>
        <w:spacing w:after="70" w:before="180"/>
      </w:pPr>
      <w:r>
        <w:rPr>
          <w:rFonts w:ascii="Aptos Display" w:cs="Aptos Display" w:eastAsia="Aptos Display" w:hAnsi="Aptos Display"/>
          <w:b/>
          <w:bCs/>
          <w:color w:val="7C2D12"/>
          <w:sz w:val="24"/>
          <w:szCs w:val="24"/>
        </w:rPr>
        <w:t xml:space="preserve">1. ผลต่อความเชื่อมั่นระดับมหภาค</w:t>
      </w:r>
    </w:p>
    <w:p>
      <w:pPr>
        <w:spacing w:after="120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สมการ national change model บ่งชี้ว่า transfer intensity ที่สูงขึ้นสัมพันธ์กับการพยุง confidence ในระดับมหภาค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E5E7EB" w:sz="1"/>
          <w:insideV w:val="single" w:color="E5E7EB" w:sz="1"/>
        </w:tblBorders>
        <w:tblCellSpacing w:type="dxa" w:w="0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FDBA74" w:sz="1"/>
              <w:left w:val="single" w:color="E5E7EB" w:sz="1"/>
              <w:bottom w:val="single" w:color="FDBA74" w:sz="1"/>
              <w:right w:val="single" w:color="E5E7EB" w:sz="1"/>
            </w:tcBorders>
            <w:shd w:fill="FEF3C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aps w:val="false"/>
                <w:color w:val="7C2D12"/>
                <w:sz w:val="22"/>
                <w:szCs w:val="22"/>
              </w:rPr>
              <w:t xml:space="preserve">ตัวแปรตาม</w:t>
            </w:r>
          </w:p>
        </w:tc>
        <w:tc>
          <w:tcPr>
            <w:tcBorders>
              <w:top w:val="single" w:color="FDBA74" w:sz="1"/>
              <w:left w:val="single" w:color="E5E7EB" w:sz="1"/>
              <w:bottom w:val="single" w:color="FDBA74" w:sz="1"/>
              <w:right w:val="single" w:color="E5E7EB" w:sz="1"/>
            </w:tcBorders>
            <w:shd w:fill="FEF3C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aps w:val="false"/>
                <w:color w:val="7C2D12"/>
                <w:sz w:val="22"/>
                <w:szCs w:val="22"/>
              </w:rPr>
              <w:t xml:space="preserve">Cash proxy coef.</w:t>
            </w:r>
          </w:p>
        </w:tc>
        <w:tc>
          <w:tcPr>
            <w:tcBorders>
              <w:top w:val="single" w:color="FDBA74" w:sz="1"/>
              <w:left w:val="single" w:color="E5E7EB" w:sz="1"/>
              <w:bottom w:val="single" w:color="FDBA74" w:sz="1"/>
              <w:right w:val="single" w:color="E5E7EB" w:sz="1"/>
            </w:tcBorders>
            <w:shd w:fill="FEF3C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aps w:val="false"/>
                <w:color w:val="7C2D12"/>
                <w:sz w:val="22"/>
                <w:szCs w:val="22"/>
              </w:rPr>
              <w:t xml:space="preserve">90% CI</w:t>
            </w:r>
          </w:p>
        </w:tc>
        <w:tc>
          <w:tcPr>
            <w:tcBorders>
              <w:top w:val="single" w:color="FDBA74" w:sz="1"/>
              <w:left w:val="single" w:color="E5E7EB" w:sz="1"/>
              <w:bottom w:val="single" w:color="FDBA74" w:sz="1"/>
              <w:right w:val="single" w:color="E5E7EB" w:sz="1"/>
            </w:tcBorders>
            <w:shd w:fill="FEF3C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aps w:val="false"/>
                <w:color w:val="7C2D12"/>
                <w:sz w:val="22"/>
                <w:szCs w:val="22"/>
              </w:rPr>
              <w:t xml:space="preserve">In-kind proxy coef.</w:t>
            </w:r>
          </w:p>
        </w:tc>
        <w:tc>
          <w:tcPr>
            <w:tcBorders>
              <w:top w:val="single" w:color="FDBA74" w:sz="1"/>
              <w:left w:val="single" w:color="E5E7EB" w:sz="1"/>
              <w:bottom w:val="single" w:color="FDBA74" w:sz="1"/>
              <w:right w:val="single" w:color="E5E7EB" w:sz="1"/>
            </w:tcBorders>
            <w:shd w:fill="FEF3C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aps w:val="false"/>
                <w:color w:val="7C2D12"/>
                <w:sz w:val="22"/>
                <w:szCs w:val="22"/>
              </w:rPr>
              <w:t xml:space="preserve">90% CI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TPSO national CCI change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0.42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0.15 ถึง 0.69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0.15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-0.47 ถึง 0.78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FPO mean regional RSI change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0.12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-0.46 ถึง 0.70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1.56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0.07 ถึง 3.06</w:t>
            </w:r>
          </w:p>
        </w:tc>
      </w:tr>
    </w:tbl>
    <w:p>
      <w:pPr>
        <w:spacing w:after="120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การตีความ:</w:t>
      </w:r>
    </w:p>
    <w:p>
      <w:pPr>
        <w:pStyle w:val="ListParagraph"/>
        <w:numPr>
          <w:ilvl w:val="0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มาตรการเงินสดมีบทบาทชัดที่สุดต่อการพยุง demand และความเชื่อมั่นใน series ของ TPSO</w:t>
      </w:r>
    </w:p>
    <w:p>
      <w:pPr>
        <w:pStyle w:val="ListParagraph"/>
        <w:numPr>
          <w:ilvl w:val="0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มาตรการ in-kind เด่นกว่าใน FPO regional macro-sentiment ซึ่งสอดคล้องกับบทบาทของสุขภาพและ cost-of-living support ต่อเสถียรภาพเศรษฐกิจภูมิภาค</w:t>
      </w:r>
    </w:p>
    <w:p>
      <w:pPr>
        <w:pStyle w:val="Heading2"/>
        <w:spacing w:after="70" w:before="180"/>
      </w:pPr>
      <w:r>
        <w:rPr>
          <w:rFonts w:ascii="Aptos Display" w:cs="Aptos Display" w:eastAsia="Aptos Display" w:hAnsi="Aptos Display"/>
          <w:b/>
          <w:bCs/>
          <w:color w:val="7C2D12"/>
          <w:sz w:val="24"/>
          <w:szCs w:val="24"/>
        </w:rPr>
        <w:t xml:space="preserve">2. ผลเชิงกระจายตัว: กลุ่มเปราะบางยังตามหลัง</w:t>
      </w:r>
    </w:p>
    <w:p>
      <w:pPr>
        <w:spacing w:after="120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ผลจาก occupation-level two-way fixed effects ต่างจากผลมหภาคค่อนข้างชัด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E5E7EB" w:sz="1"/>
          <w:insideV w:val="single" w:color="E5E7EB" w:sz="1"/>
        </w:tblBorders>
        <w:tblCellSpacing w:type="dxa" w:w="0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FDBA74" w:sz="1"/>
              <w:left w:val="single" w:color="E5E7EB" w:sz="1"/>
              <w:bottom w:val="single" w:color="FDBA74" w:sz="1"/>
              <w:right w:val="single" w:color="E5E7EB" w:sz="1"/>
            </w:tcBorders>
            <w:shd w:fill="FEF3C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aps w:val="false"/>
                <w:color w:val="7C2D12"/>
                <w:sz w:val="22"/>
                <w:szCs w:val="22"/>
              </w:rPr>
              <w:t xml:space="preserve">ตัวแปรตาม</w:t>
            </w:r>
          </w:p>
        </w:tc>
        <w:tc>
          <w:tcPr>
            <w:tcBorders>
              <w:top w:val="single" w:color="FDBA74" w:sz="1"/>
              <w:left w:val="single" w:color="E5E7EB" w:sz="1"/>
              <w:bottom w:val="single" w:color="FDBA74" w:sz="1"/>
              <w:right w:val="single" w:color="E5E7EB" w:sz="1"/>
            </w:tcBorders>
            <w:shd w:fill="FEF3C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aps w:val="false"/>
                <w:color w:val="7C2D12"/>
                <w:sz w:val="22"/>
                <w:szCs w:val="22"/>
              </w:rPr>
              <w:t xml:space="preserve">Cash interaction</w:t>
            </w:r>
          </w:p>
        </w:tc>
        <w:tc>
          <w:tcPr>
            <w:tcBorders>
              <w:top w:val="single" w:color="FDBA74" w:sz="1"/>
              <w:left w:val="single" w:color="E5E7EB" w:sz="1"/>
              <w:bottom w:val="single" w:color="FDBA74" w:sz="1"/>
              <w:right w:val="single" w:color="E5E7EB" w:sz="1"/>
            </w:tcBorders>
            <w:shd w:fill="FEF3C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aps w:val="false"/>
                <w:color w:val="7C2D12"/>
                <w:sz w:val="22"/>
                <w:szCs w:val="22"/>
              </w:rPr>
              <w:t xml:space="preserve">90% CI</w:t>
            </w:r>
          </w:p>
        </w:tc>
        <w:tc>
          <w:tcPr>
            <w:tcBorders>
              <w:top w:val="single" w:color="FDBA74" w:sz="1"/>
              <w:left w:val="single" w:color="E5E7EB" w:sz="1"/>
              <w:bottom w:val="single" w:color="FDBA74" w:sz="1"/>
              <w:right w:val="single" w:color="E5E7EB" w:sz="1"/>
            </w:tcBorders>
            <w:shd w:fill="FEF3C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aps w:val="false"/>
                <w:color w:val="7C2D12"/>
                <w:sz w:val="22"/>
                <w:szCs w:val="22"/>
              </w:rPr>
              <w:t xml:space="preserve">In-kind interaction</w:t>
            </w:r>
          </w:p>
        </w:tc>
        <w:tc>
          <w:tcPr>
            <w:tcBorders>
              <w:top w:val="single" w:color="FDBA74" w:sz="1"/>
              <w:left w:val="single" w:color="E5E7EB" w:sz="1"/>
              <w:bottom w:val="single" w:color="FDBA74" w:sz="1"/>
              <w:right w:val="single" w:color="E5E7EB" w:sz="1"/>
            </w:tcBorders>
            <w:shd w:fill="FEF3C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aps w:val="false"/>
                <w:color w:val="7C2D12"/>
                <w:sz w:val="22"/>
                <w:szCs w:val="22"/>
              </w:rPr>
              <w:t xml:space="preserve">90% CI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TPSO occupation CCI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-0.26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-0.44 ถึง -0.07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0.16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-0.03 ถึง 0.35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TPSO occupation future expectations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0.12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-0.19 ถึง 0.43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0.32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292524"/>
                <w:sz w:val="21"/>
                <w:szCs w:val="21"/>
              </w:rPr>
              <w:t xml:space="preserve">0.03 ถึง 0.61</w:t>
            </w:r>
          </w:p>
        </w:tc>
      </w:tr>
    </w:tbl>
    <w:p>
      <w:pPr>
        <w:spacing w:after="120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การตีความ:</w:t>
      </w:r>
    </w:p>
    <w:p>
      <w:pPr>
        <w:pStyle w:val="ListParagraph"/>
        <w:numPr>
          <w:ilvl w:val="0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เดือนที่มี cash stimulus สูงไม่ได้ทำให้ช่องว่าง confidence ของกลุ่มเปราะบางแคบลง</w:t>
      </w:r>
    </w:p>
    <w:p>
      <w:pPr>
        <w:pStyle w:val="ListParagraph"/>
        <w:numPr>
          <w:ilvl w:val="0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มาตรการ in-kind ดูเป็นช่องทางที่เป็นบวกกว่าสำหรับกลุ่มรายได้น้อย โดยเฉพาะเมื่อวัดด้วยดัชนีความคาดหวังในอนาคต</w:t>
      </w:r>
    </w:p>
    <w:p>
      <w:pPr>
        <w:pStyle w:val="ListParagraph"/>
        <w:numPr>
          <w:ilvl w:val="0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การอ่านที่สมเหตุสมผลคือ cash programs ช่วยพยุง aggregate demand จริง แต่ถูกใช้ในช่วงที่กลุ่มเปราะบางกำลังเผชิญ stress สูงที่สุด จึงยังไม่เพียงพอที่จะทำให้ relative recovery ของคนกลุ่มนี้ดีขึ้นทันที</w:t>
      </w:r>
    </w:p>
    <w:p>
      <w:pPr>
        <w:pStyle w:val="Heading2"/>
        <w:spacing w:after="70" w:before="180"/>
      </w:pPr>
      <w:r>
        <w:rPr>
          <w:rFonts w:ascii="Aptos Display" w:cs="Aptos Display" w:eastAsia="Aptos Display" w:hAnsi="Aptos Display"/>
          <w:b/>
          <w:bCs/>
          <w:color w:val="7C2D12"/>
          <w:sz w:val="24"/>
          <w:szCs w:val="24"/>
        </w:rPr>
        <w:t xml:space="preserve">3. พลวัตระยะสั้นจาก local projections</w:t>
      </w:r>
    </w:p>
    <w:p>
      <w:pPr>
        <w:spacing w:after="120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ผล local projections สนับสนุนข้อสรุปข้างต้น</w:t>
      </w:r>
    </w:p>
    <w:p>
      <w:pPr>
        <w:pStyle w:val="ListParagraph"/>
        <w:numPr>
          <w:ilvl w:val="0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Cash interaction:</w:t>
      </w:r>
    </w:p>
    <w:p>
      <w:pPr>
        <w:pStyle w:val="ListParagraph"/>
        <w:numPr>
          <w:ilvl w:val="1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h=0: -0.11</w:t>
      </w:r>
    </w:p>
    <w:p>
      <w:pPr>
        <w:pStyle w:val="ListParagraph"/>
        <w:numPr>
          <w:ilvl w:val="1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h=1: -0.12</w:t>
      </w:r>
    </w:p>
    <w:p>
      <w:pPr>
        <w:pStyle w:val="ListParagraph"/>
        <w:numPr>
          <w:ilvl w:val="1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h=2: -0.01</w:t>
      </w:r>
    </w:p>
    <w:p>
      <w:pPr>
        <w:pStyle w:val="ListParagraph"/>
        <w:numPr>
          <w:ilvl w:val="1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h=3: 0.01</w:t>
      </w:r>
    </w:p>
    <w:p>
      <w:pPr>
        <w:pStyle w:val="ListParagraph"/>
        <w:numPr>
          <w:ilvl w:val="0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In-kind interaction:</w:t>
      </w:r>
    </w:p>
    <w:p>
      <w:pPr>
        <w:pStyle w:val="ListParagraph"/>
        <w:numPr>
          <w:ilvl w:val="1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h=0: 0.06</w:t>
      </w:r>
    </w:p>
    <w:p>
      <w:pPr>
        <w:pStyle w:val="ListParagraph"/>
        <w:numPr>
          <w:ilvl w:val="1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h=1: 0.09</w:t>
      </w:r>
    </w:p>
    <w:p>
      <w:pPr>
        <w:pStyle w:val="ListParagraph"/>
        <w:numPr>
          <w:ilvl w:val="1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h=2: 0.05</w:t>
      </w:r>
    </w:p>
    <w:p>
      <w:pPr>
        <w:pStyle w:val="ListParagraph"/>
        <w:numPr>
          <w:ilvl w:val="1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h=3: 0.06</w:t>
      </w:r>
    </w:p>
    <w:p>
      <w:pPr>
        <w:spacing w:after="120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ดังนั้น relative drag จาก cash-heavy episodes จะค่อยๆ จางลงในอีกไม่กี่เดือน ขณะที่ผลบวกของ in-kind มีขนาดไม่ใหญ่แต่ค่อนข้างต่อเนื่อง</w:t>
      </w:r>
    </w:p>
    <w:p>
      <w:pPr>
        <w:spacing w:after="60" w:before="140"/>
        <w:jc w:val="center"/>
      </w:pPr>
      <w:r>
        <w:drawing>
          <wp:inline distT="0" distB="0" distL="0" distR="0">
            <wp:extent cx="4762500" cy="2619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10"/>
        <w:jc w:val="center"/>
      </w:pPr>
      <w:r>
        <w:rPr>
          <w:rFonts w:ascii="Aptos" w:cs="Aptos" w:eastAsia="Aptos" w:hAnsi="Aptos"/>
          <w:i/>
          <w:iCs/>
          <w:color w:val="57534E"/>
          <w:sz w:val="18"/>
          <w:szCs w:val="18"/>
        </w:rPr>
        <w:t xml:space="preserve">Local Projections</w:t>
      </w:r>
    </w:p>
    <w:p>
      <w:pPr>
        <w:spacing w:after="120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ช่องว่าง treated-minus-control เองก็แย่ลงเมื่อเวลาผ่านไป:</w:t>
      </w:r>
    </w:p>
    <w:p>
      <w:pPr>
        <w:pStyle w:val="ListParagraph"/>
        <w:numPr>
          <w:ilvl w:val="0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ค่าเฉลี่ย gap ในปี 2019: -1.41 จุด CCI</w:t>
      </w:r>
    </w:p>
    <w:p>
      <w:pPr>
        <w:pStyle w:val="ListParagraph"/>
        <w:numPr>
          <w:ilvl w:val="0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ค่าเฉลี่ย gap ในปี 2024: -3.68 จุด CCI</w:t>
      </w:r>
    </w:p>
    <w:p>
      <w:pPr>
        <w:spacing w:after="120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นี่คือคำเตือนเชิงการกระจายผลที่สำคัญที่สุดในรายงาน กล่าวคือ การฟื้นตัวของ confidence หลังโควิดเกิดขึ้นจริง แต่ไม่ได้กระจายถึงทุกกลุ่มเท่าๆ กัน</w:t>
      </w:r>
    </w:p>
    <w:p>
      <w:pPr>
        <w:spacing w:after="60" w:before="140"/>
        <w:jc w:val="center"/>
      </w:pPr>
      <w:r>
        <w:drawing>
          <wp:inline distT="0" distB="0" distL="0" distR="0">
            <wp:extent cx="4762500" cy="2619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10"/>
        <w:jc w:val="center"/>
      </w:pPr>
      <w:r>
        <w:rPr>
          <w:rFonts w:ascii="Aptos" w:cs="Aptos" w:eastAsia="Aptos" w:hAnsi="Aptos"/>
          <w:i/>
          <w:iCs/>
          <w:color w:val="57534E"/>
          <w:sz w:val="18"/>
          <w:szCs w:val="18"/>
        </w:rPr>
        <w:t xml:space="preserve">Occupation Gap</w:t>
      </w:r>
    </w:p>
    <w:p>
      <w:pPr>
        <w:pStyle w:val="Heading1"/>
        <w:pBdr>
          <w:bottom w:val="single" w:color="9A3412" w:sz="6"/>
        </w:pBdr>
        <w:spacing w:after="90" w:before="240"/>
      </w:pPr>
      <w:r>
        <w:rPr>
          <w:rFonts w:ascii="Aptos Display" w:cs="Aptos Display" w:eastAsia="Aptos Display" w:hAnsi="Aptos Display"/>
          <w:b/>
          <w:bCs/>
          <w:color w:val="7C2D12"/>
          <w:sz w:val="29"/>
          <w:szCs w:val="29"/>
        </w:rPr>
        <w:t xml:space="preserve">นโยบายสำคัญที่กระทบคนรายได้น้อย</w:t>
      </w:r>
    </w:p>
    <w:p>
      <w:pPr>
        <w:pStyle w:val="ListParagraph"/>
        <w:numPr>
          <w:ilvl w:val="0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2017-2018: บัตรสวัสดิการแห่งรัฐ phase 1 และ 2 สร้างโครงสร้างการโอนถาวรสำหรับผู้มีรายได้น้อย ทั้งเงินสด ค่าเดินทาง LPG ค่าสาธารณูปโภค และการซื้อสินค้าผ่านช่องทางที่กำหนด</w:t>
      </w:r>
    </w:p>
    <w:p>
      <w:pPr>
        <w:pStyle w:val="ListParagraph"/>
        <w:numPr>
          <w:ilvl w:val="0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2019: มาตรการคุณภาพชีวิต phase 2 ทำให้ระบบสวัสดิการลึกขึ้นและเชื่อมกับเป้าหมายลดความยากจนและเพิ่มศักยภาพรายได้</w:t>
      </w:r>
    </w:p>
    <w:p>
      <w:pPr>
        <w:pStyle w:val="ListParagraph"/>
        <w:numPr>
          <w:ilvl w:val="0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2020: เงินสดเยียวยาโควิด การเติมเงินบัตรสวัสดิการ และการช่วยค่าน้ำค่าไฟ ช่วยไม่ให้กำลังซื้อครัวเรือนทรุดแรงกว่านี้</w:t>
      </w:r>
    </w:p>
    <w:p>
      <w:pPr>
        <w:pStyle w:val="ListParagraph"/>
        <w:numPr>
          <w:ilvl w:val="0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2021: เราชนะ และ ม33เรารักกัน เป็นช่วงที่ cash stimulus เข้มข้นที่สุดใน sample ขณะเดียวกันรายจ่ายสุขภาพและวัคซีนก็ทำให้ in-kind support เพิ่มขึ้นมาก</w:t>
      </w:r>
    </w:p>
    <w:p>
      <w:pPr>
        <w:pStyle w:val="ListParagraph"/>
        <w:numPr>
          <w:ilvl w:val="0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2022: รายจ่ายสุขภาพและการลงทะเบียนบัตรสวัสดิการรอบใหม่ช่วยคงระดับ in-kind support ไว้สูง</w:t>
      </w:r>
    </w:p>
    <w:p>
      <w:pPr>
        <w:pStyle w:val="ListParagraph"/>
        <w:numPr>
          <w:ilvl w:val="0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2023: ผลของการลงทะเบียนใหม่ในปี 2022 ทำให้เกิด entitlement cycle ใหม่ ขณะที่รายจ่ายสุขภาพยุคโควิด normalize ลง</w:t>
      </w:r>
    </w:p>
    <w:p>
      <w:pPr>
        <w:pStyle w:val="ListParagraph"/>
        <w:numPr>
          <w:ilvl w:val="0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2024: รัฐอนุมัติเงิน 10,000 บาทให้ผู้ถือบัตรสวัสดิการแห่งรัฐและคนพิการประมาณ 14.55 ล้านคน โดยมีเป้าหมายชัดเจนในการบรรเทาค่าครองชีพและเร่งการบริโภค</w:t>
      </w:r>
    </w:p>
    <w:p>
      <w:pPr>
        <w:pStyle w:val="Heading1"/>
        <w:pBdr>
          <w:bottom w:val="single" w:color="9A3412" w:sz="6"/>
        </w:pBdr>
        <w:spacing w:after="90" w:before="240"/>
      </w:pPr>
      <w:r>
        <w:rPr>
          <w:rFonts w:ascii="Aptos Display" w:cs="Aptos Display" w:eastAsia="Aptos Display" w:hAnsi="Aptos Display"/>
          <w:b/>
          <w:bCs/>
          <w:color w:val="7C2D12"/>
          <w:sz w:val="29"/>
          <w:szCs w:val="29"/>
        </w:rPr>
        <w:t xml:space="preserve">ความหมายเชิงนโยบาย</w:t>
      </w:r>
    </w:p>
    <w:p>
      <w:pPr>
        <w:spacing w:after="140" w:line="34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7C2D12"/>
          <w:sz w:val="25"/>
          <w:szCs w:val="25"/>
        </w:rPr>
        <w:t xml:space="preserve">จากหลักฐานทั้งหมด สรุปได้ 3 ประเด็นใหญ่</w:t>
      </w:r>
    </w:p>
    <w:p>
      <w:pPr>
        <w:spacing w:after="120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ประเด็นแรก มาตรการเงินสดมีประสิทธิภาพในการพยุง confidence ระดับมหภาคอย่างรวดเร็ว ซึ่งสะท้อนชัดที่สุดใน aggregate TPSO change model และสอดคล้องกับการตีความของ BOT ต่อผลของมาตรการ 10,000 บาทในปี 2024</w:t>
      </w:r>
    </w:p>
    <w:p>
      <w:pPr>
        <w:spacing w:after="120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ประเด็นที่สอง มาตรการ in-kind มีความสำคัญมากกว่าสำหรับการประคอง confidence ของกลุ่มเปราะบาง สุขภาพ ค่าสาธารณูปโภค และการเข้าถึงสินค้าจำเป็นแบบคาดการณ์ได้ดูมีผลต่อ relative expectations มากกว่าการอัดเงินก้อนแบบชั่วคราว</w:t>
      </w:r>
    </w:p>
    <w:p>
      <w:pPr>
        <w:spacing w:after="120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ประเด็นที่สาม การพึ่ง one-off cash injections เพียงอย่างเดียวไม่เพียงพอที่จะปิดช่องว่างความเชื่อมั่นของคนรายได้น้อย เพราะแม้ national confidence จะฟื้นตัวมากในปี 2024 แต่ความเชื่อมั่นของอาชีพที่เปราะบางยังตามหลังอย่างชัดเจน</w:t>
      </w:r>
    </w:p>
    <w:p>
      <w:pPr>
        <w:spacing w:after="120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policy mix ที่สอดคล้องกับหลักฐานในรายงานนี้คือ:</w:t>
      </w:r>
    </w:p>
    <w:p>
      <w:pPr>
        <w:pStyle w:val="ListParagraph"/>
        <w:numPr>
          <w:ilvl w:val="0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ใช้มาตรการเงินสดอย่างรวดเร็วในช่วง downturn เฉียบพลัน</w:t>
      </w:r>
    </w:p>
    <w:p>
      <w:pPr>
        <w:pStyle w:val="ListParagraph"/>
        <w:numPr>
          <w:ilvl w:val="0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จับคู่กับสิทธิประโยชน์รายเดือนที่คาดการณ์ได้ผ่านระบบบัตรสวัสดิการแห่งรัฐ</w:t>
      </w:r>
    </w:p>
    <w:p>
      <w:pPr>
        <w:pStyle w:val="ListParagraph"/>
        <w:numPr>
          <w:ilvl w:val="0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คงความแข็งแรงของ in-kind protection ด้านสุขภาพและสาธารณูปโภคในช่วงวิกฤต</w:t>
      </w:r>
    </w:p>
    <w:p>
      <w:pPr>
        <w:pStyle w:val="ListParagraph"/>
        <w:numPr>
          <w:ilvl w:val="0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ใช้ automatic triggers ที่ผูกกับความอ่อนแอของตลาดแรงงานและความเชื่อมั่น เพื่อให้การช่วยเหลือมาถึงเร็วขึ้น</w:t>
      </w:r>
    </w:p>
    <w:p>
      <w:pPr>
        <w:pStyle w:val="Heading1"/>
        <w:pBdr>
          <w:bottom w:val="single" w:color="9A3412" w:sz="6"/>
        </w:pBdr>
        <w:spacing w:after="90" w:before="240"/>
      </w:pPr>
      <w:r>
        <w:rPr>
          <w:rFonts w:ascii="Aptos Display" w:cs="Aptos Display" w:eastAsia="Aptos Display" w:hAnsi="Aptos Display"/>
          <w:b/>
          <w:bCs/>
          <w:color w:val="7C2D12"/>
          <w:sz w:val="29"/>
          <w:szCs w:val="29"/>
        </w:rPr>
        <w:t xml:space="preserve">หมายเหตุแหล่งข้อมูล</w:t>
      </w:r>
    </w:p>
    <w:p>
      <w:pPr>
        <w:spacing w:after="140" w:line="34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7C2D12"/>
          <w:sz w:val="25"/>
          <w:szCs w:val="25"/>
        </w:rPr>
        <w:t xml:space="preserve">แหล่งข้อมูลหลักที่ใช้ในรายงาน:</w:t>
      </w:r>
    </w:p>
    <w:p>
      <w:pPr>
        <w:pStyle w:val="ListParagraph"/>
        <w:numPr>
          <w:ilvl w:val="0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NESDC annual national income tables: NI2024-Income.xlsx (https://www.nesdc.go.th/wordpress/wp-content/uploads/2025/12/NI2024-Income.xlsx)</w:t>
      </w:r>
    </w:p>
    <w:p>
      <w:pPr>
        <w:pStyle w:val="ListParagraph"/>
        <w:numPr>
          <w:ilvl w:val="0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NESDC 2023 English release page: National Income of Thailand 2023 (https://www.nesdc.go.th/en/?ddl=36312&amp;p=36311)</w:t>
      </w:r>
    </w:p>
    <w:p>
      <w:pPr>
        <w:pStyle w:val="ListParagraph"/>
        <w:numPr>
          <w:ilvl w:val="0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FPO regional RSI data catalog: Thailand Regional Economic Sentiment Index (https://catalog.fpo.go.th/dataset/thailand-regional-economic-sentiment-index-rsi)</w:t>
      </w:r>
    </w:p>
    <w:p>
      <w:pPr>
        <w:pStyle w:val="ListParagraph"/>
        <w:numPr>
          <w:ilvl w:val="0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TPSO CCI API endpoint: CCI API (https://cci-survey-tpso.moc.go.th/cci-api/api/CCI/getcci)</w:t>
      </w:r>
    </w:p>
    <w:p>
      <w:pPr>
        <w:pStyle w:val="ListParagraph"/>
        <w:numPr>
          <w:ilvl w:val="0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BOT February 2021 economic conditions: BOT Press Release No. 20/2021 (https://www.bot.or.th/en/news-and-media/news/news-20210331-1.html)</w:t>
      </w:r>
    </w:p>
    <w:p>
      <w:pPr>
        <w:pStyle w:val="ListParagraph"/>
        <w:numPr>
          <w:ilvl w:val="0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BOT October 2021 economic conditions: BOT Press Release No. 88/2021 (https://www.bot.or.th/en/news-and-media/news/news-20211130.html)</w:t>
      </w:r>
    </w:p>
    <w:p>
      <w:pPr>
        <w:pStyle w:val="ListParagraph"/>
        <w:numPr>
          <w:ilvl w:val="0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BOT October 2024 economic conditions: BOT Press Release No. 43/2024 (https://www.bot.or.th/en/news-and-media/news/news-20241129.html)</w:t>
      </w:r>
    </w:p>
    <w:p>
      <w:pPr>
        <w:pStyle w:val="ListParagraph"/>
        <w:numPr>
          <w:ilvl w:val="0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FPO welfare-card phase 1 and 2 page: State Welfare Registration 2017 (https://www.fpo.go.th/main/General-information-public-service/%E0%B8%9B%E0%B8%A3%E0%B8%B0%E0%B8%8A%E0%B8%B2%E0%B8%8A%E0%B8%99%E0%B8%84%E0%B8%A7%E0%B8%A3%E0%B8%A3%E0%B8%B9%E0%B9%89/8198.aspx)</w:t>
      </w:r>
    </w:p>
    <w:p>
      <w:pPr>
        <w:pStyle w:val="ListParagraph"/>
        <w:numPr>
          <w:ilvl w:val="0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FPO phase-2 quality-of-life infographic: State Welfare Card phase 2 (https://www.fpo.go.th/main/getattachment/News/Press-conference/10272/007-2562-info-%E0%B9%81%E0%B8%96%E0%B8%A5%E0%B8%87%E0%B8%82%E0%B9%88%E0%B8%B2%E0%B8%A7%E0%B8%A1%E0%B8%B2%E0%B8%95%E0%B8%A3%E0%B8%81%E0%B8%B2%E0%B8%A3%E0%B8%9E%E0%B8%B1%E0%B8%92%E0%B8%99%E0%B8%B2%E0%B8%84%E0%B8%B8%E0%B8%93%E0%B8%A0%E0%B8%B2%E0%B8%9E%E0%B8%8A%E0%B8%B5%E0%B8%A7%E0%B8%B4%E0%B8%95%E0%B8%9C%E0%B8%B9%E0%B9%89%E0%B8%A1%E0%B8%B5%E0%B8%9A%E0%B8%B1%E0%B8%95%E0%B8%A3%E0%B8%AA%E0%B8%A7%E0%B8%B1%E0%B8%AA%E0%B8%94%E0%B8%B4%E0%B8%81%E0%B8%B2%E0%B8%A3%E0%B9%81%E0%B8%AB%E0%B9%88%E0%B8%87%E0%B8%A3%E0%B8%B1%E0%B8%90-%E0%B8%A3%E0%B8%B0%E0%B8%A2%E0%B8%B0%E0%B8%97%E0%B8%B5%E0%B9%88-2.pdf.aspx)</w:t>
      </w:r>
    </w:p>
    <w:p>
      <w:pPr>
        <w:pStyle w:val="ListParagraph"/>
        <w:numPr>
          <w:ilvl w:val="0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FPO Rao Chana press release: Press release 009/2564 (https://www.fpo.go.th/main/News/Press-conference/13953.aspx)</w:t>
      </w:r>
    </w:p>
    <w:p>
      <w:pPr>
        <w:pStyle w:val="ListParagraph"/>
        <w:numPr>
          <w:ilvl w:val="0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FPO Khon La Khrueng phase 3 progress: Press release 192/2564 (https://www.fpo.go.th/main/getattachment/News/Press-conference/14992/%E0%B9%81%E0%B8%96%E0%B8%A5%E0%B8%87%E0%B8%82%E0%B9%88%E0%B8%B2%E0%B8%A7-%E0%B8%89%E0%B8%9A%E0%B8%B1%E0%B8%9A%E0%B8%97%E0%B8%B5%E0%B9%88-192-2564-%E0%B8%84%E0%B8%A7%E0%B8%B2%E0%B8%A1%E0%B8%84%E0%B8%B7%E0%B8%9A%E0%B8%AB%E0%B8%99%E0%B9%89%E0%B8%B2%E0%B9%82%E0%B8%84%E0%B8%A3%E0%B8%87%E0%B8%81%E0%B8%B2%E0%B8%A3%E0%B8%84%E0%B8%99%E0%B8%A5%E0%B8%B0%E0%B8%84%E0%B8%A3%E0%B8%B6%E0%B9%88%E0%B8%87-251064.pdf.aspx)</w:t>
      </w:r>
    </w:p>
    <w:p>
      <w:pPr>
        <w:pStyle w:val="ListParagraph"/>
        <w:numPr>
          <w:ilvl w:val="0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FPO 2024 vulnerable-group handout: Press release 90/2567 (https://www.fpo.go.th/main/getattachment/News/Press-conference/19896/90-2567-%E0%B9%81%E0%B8%96%E0%B8%A5%E0%B8%87%E0%B8%82%E0%B9%88%E0%B8%B2%E0%B8%A7-%E0%B8%81%E0%B8%84-%E0%B9%82%E0%B8%84%E0%B8%A3%E0%B8%87%E0%B8%81%E0%B8%B2%E0%B8%A3%E0%B8%81%E0%B8%A3%E0%B8%B0%E0%B8%95%E0%B8%B8%E0%B9%89%E0%B8%99%E0%B9%80%E0%B8%A8%E0%B8%A3%E0%B8%A9%E0%B8%90%E0%B8%81%E0%B8%B4%E0%B8%88%E0%B8%9B%E0%B8%B5-67.pdf.aspx)</w:t>
      </w:r>
    </w:p>
    <w:p>
      <w:pPr>
        <w:pStyle w:val="ListParagraph"/>
        <w:numPr>
          <w:ilvl w:val="0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FPO October 2024 fiscal conditions note: Monthly Economic Condition, October 2024 (https://www.fpo.go.th/main/getattachment/Economic-report/Monthly-economic-condition/20191/6-43_2567-Info-monthly-Oct-2024.pdf.aspx)</w:t>
      </w:r>
    </w:p>
    <w:p>
      <w:pPr>
        <w:pStyle w:val="ListParagraph"/>
        <w:numPr>
          <w:ilvl w:val="0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UTCC/CEBF chamber-confidence archive: TCC archive page (https://cebf.utcc.ac.th/index_number.php?typeid=7)</w:t>
      </w:r>
    </w:p>
    <w:p>
      <w:pPr>
        <w:pStyle w:val="Heading1"/>
        <w:pBdr>
          <w:bottom w:val="single" w:color="9A3412" w:sz="6"/>
        </w:pBdr>
        <w:spacing w:after="90" w:before="240"/>
      </w:pPr>
      <w:r>
        <w:rPr>
          <w:rFonts w:ascii="Aptos Display" w:cs="Aptos Display" w:eastAsia="Aptos Display" w:hAnsi="Aptos Display"/>
          <w:b/>
          <w:bCs/>
          <w:color w:val="7C2D12"/>
          <w:sz w:val="29"/>
          <w:szCs w:val="29"/>
        </w:rPr>
        <w:t xml:space="preserve">ไฟล์ที่สร้างใน workspace</w:t>
      </w:r>
    </w:p>
    <w:p>
      <w:pPr>
        <w:pStyle w:val="ListParagraph"/>
        <w:numPr>
          <w:ilvl w:val="0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รายงานภาษาไทย: customer_confidence_social_transfers_report_2017_2024_th.md (/Users/pingpayap/Documents/Codex/2026-04-29-make-a-report-of-the-increase/customer_confidence_social_transfers_report_2017_2024_th.md)</w:t>
      </w:r>
    </w:p>
    <w:p>
      <w:pPr>
        <w:pStyle w:val="ListParagraph"/>
        <w:numPr>
          <w:ilvl w:val="0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ข้อมูล annual transfers: nesdc_social_transfers_2017_2024.csv (/Users/pingpayap/Documents/Codex/2026-04-29-make-a-report-of-the-increase/data/nesdc_social_transfers_2017_2024.csv)</w:t>
      </w:r>
    </w:p>
    <w:p>
      <w:pPr>
        <w:pStyle w:val="ListParagraph"/>
        <w:numPr>
          <w:ilvl w:val="0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policy calendar: policy_transfer_calendar_2017_2024.csv (/Users/pingpayap/Documents/Codex/2026-04-29-make-a-report-of-the-increase/data/policy_transfer_calendar_2017_2024.csv)</w:t>
      </w:r>
    </w:p>
    <w:p>
      <w:pPr>
        <w:pStyle w:val="ListParagraph"/>
        <w:numPr>
          <w:ilvl w:val="0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ผลประมาณค่า TWFE: twfe_main.csv (/Users/pingpayap/Documents/Codex/2026-04-29-make-a-report-of-the-increase/results/twfe_main.csv)</w:t>
      </w:r>
    </w:p>
    <w:p>
      <w:pPr>
        <w:pStyle w:val="ListParagraph"/>
        <w:numPr>
          <w:ilvl w:val="0"/>
          <w:numId w:val="1"/>
        </w:numPr>
        <w:spacing w:after="85" w:line="330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92524"/>
          <w:sz w:val="22"/>
          <w:szCs w:val="22"/>
        </w:rPr>
        <w:t xml:space="preserve">ผล local projections: local_projections.csv (/Users/pingpayap/Documents/Codex/2026-04-29-make-a-report-of-the-increase/results/local_projections.csv)</w:t>
      </w:r>
    </w:p>
    <w:sectPr>
      <w:headerReference w:type="default" r:id="rId7"/>
      <w:footerReference w:type="default" r:id="rId8"/>
      <w:pgSz w:w="11906" w:h="16838" w:orient="portrait"/>
      <w:pgMar w:top="930" w:right="1080" w:bottom="920" w:left="1080" w:header="500" w:footer="500" w:gutter="0"/>
      <w:pgBorders w:display="notFirstPage" w:offsetFrom="text" w:zOrder="back">
        <w:top w:val="single" w:color="D6D3D1" w:sz="4"/>
        <w:left w:val="single" w:color="D6D3D1" w:sz="4"/>
        <w:bottom w:val="single" w:color="D6D3D1" w:sz="4"/>
        <w:right w:val="single" w:color="D6D3D1" w:sz="4"/>
      </w:pgBorders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DBA74" w:sz="4"/>
      </w:pBdr>
      <w:spacing w:before="70"/>
      <w:jc w:val="center"/>
    </w:pPr>
    <w:r>
      <w:rPr>
        <w:rFonts w:ascii="Aptos" w:cs="Aptos" w:eastAsia="Aptos" w:hAnsi="Aptos"/>
        <w:color w:val="57534E"/>
        <w:sz w:val="17"/>
        <w:szCs w:val="17"/>
      </w:rPr>
      <w:t xml:space="preserve">หน้า </w:t>
    </w:r>
    <w:r>
      <w:rPr>
        <w:rFonts w:ascii="Aptos Display" w:cs="Aptos Display" w:eastAsia="Aptos Display" w:hAnsi="Aptos Display"/>
        <w:b/>
        <w:bCs/>
        <w:color w:val="7C2D12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DBA74" w:sz="4"/>
      </w:pBdr>
      <w:spacing w:after="70"/>
      <w:jc w:val="center"/>
    </w:pPr>
    <w:r>
      <w:rPr>
        <w:rFonts w:ascii="Aptos" w:cs="Aptos" w:eastAsia="Aptos" w:hAnsi="Aptos"/>
        <w:caps w:val="false"/>
        <w:color w:val="57534E"/>
        <w:sz w:val="17"/>
        <w:szCs w:val="17"/>
      </w:rPr>
      <w:t xml:space="preserve">Thailand Social Transfer Outlook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292524"/>
        <w:sz w:val="22"/>
        <w:szCs w:val="22"/>
      </w:rPr>
    </w:rPrDefault>
    <w:pPrDefault>
      <w:pPr>
        <w:spacing w:after="120" w:line="33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f751b9b72a330054c1443aaf7db3bc7df6365fd.png"/><Relationship Id="rId10" Type="http://schemas.openxmlformats.org/officeDocument/2006/relationships/image" Target="media/6b37fe70636d9bd7bd4511774fb7304ac5e66060.png"/><Relationship Id="rId11" Type="http://schemas.openxmlformats.org/officeDocument/2006/relationships/image" Target="media/64a7b6b4e08d6cbc57ec4ffe59cd81b9cfc6dc34.png"/><Relationship Id="rId12" Type="http://schemas.openxmlformats.org/officeDocument/2006/relationships/image" Target="media/f3fa91239d44f02dbecd62aa742c7d764ed3d99c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รายงาน: ความเชื่อมั่นผู้บริโภคและการโอนเพื่อสังคมของไทย ช่วงปี 2017-2024 - Editorial Premium</dc:title>
  <dc:creator>OpenAI Codex</dc:creator>
  <dc:description>Themed DOCX export (Editorial Premium) of the Codex-generated report.</dc:description>
  <cp:lastModifiedBy>Un-named</cp:lastModifiedBy>
  <cp:revision>1</cp:revision>
  <dcterms:created xsi:type="dcterms:W3CDTF">2026-04-29T11:28:09.154Z</dcterms:created>
  <dcterms:modified xsi:type="dcterms:W3CDTF">2026-04-29T11:28:09.157Z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