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40"/>
        <w:jc w:val="left"/>
      </w:pPr>
      <w:r>
        <w:rPr>
          <w:rFonts w:ascii="Aptos Display" w:cs="Aptos Display" w:eastAsia="Aptos Display" w:hAnsi="Aptos Display"/>
          <w:b/>
          <w:bCs/>
          <w:i w:val="false"/>
          <w:iCs w:val="false"/>
          <w:caps/>
          <w:color w:val="0F766E"/>
          <w:sz w:val="16"/>
          <w:szCs w:val="16"/>
        </w:rPr>
        <w:t xml:space="preserve">CONTEMPORARY POLICY BRIEF</w:t>
      </w:r>
    </w:p>
    <w:p>
      <w:pPr>
        <w:spacing w:after="80" w:before="20"/>
        <w:jc w:val="left"/>
      </w:pPr>
      <w:r>
        <w:rPr>
          <w:rFonts w:ascii="Aptos Display" w:cs="Aptos Display" w:eastAsia="Aptos Display" w:hAnsi="Aptos Display"/>
          <w:b/>
          <w:bCs/>
          <w:i w:val="false"/>
          <w:iCs w:val="false"/>
          <w:caps w:val="false"/>
          <w:color w:val="0F172A"/>
          <w:sz w:val="42"/>
          <w:szCs w:val="42"/>
        </w:rPr>
        <w:t xml:space="preserve">รายงาน: ความเชื่อมั่นผู้บริโภคและการโอนเพื่อสังคมของไทย ช่วงปี 2017-2024</w:t>
      </w:r>
    </w:p>
    <w:p>
      <w:pPr>
        <w:spacing w:after="1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NESDC • FPO • BOT • TCC • TPSO • ช่วงข้อมูล 2017-2024</w:t>
      </w:r>
    </w:p>
    <w:p>
      <w:pPr>
        <w:pBdr>
          <w:bottom w:val="single" w:color="14B8A6" w:sz="10"/>
        </w:pBdr>
        <w:spacing w:after="80" w:before="80"/>
      </w:pPr>
    </w:p>
    <w:p>
      <w:pPr>
        <w:spacing w:after="170" w:before="140" w:line="33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รายงานฉบับนี้เชื่อมข้อมูลการคลังรายปีของ NESDC กับดัชนีความเชื่อมั่นรายเดือนจาก TPSO และ FPO เพื่อประเมินว่าเงินโอนเพื่อสังคมแบบเงินสดและแบบสิ่งของสัมพันธ์กับความเชื่อมั่นของครัวเรือนไทยอย่างไร โดยเน้นผลต่อคนรายได้น้อยเป็นพิเศษ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7"/>
              <w:bottom w:val="single" w:color="14B8A6" w:sz="1"/>
              <w:right w:val="single" w:color="14B8A6" w:sz="1"/>
            </w:tcBorders>
            <w:shd w:fill="F0FDFA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35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 w:val="false"/>
                <w:color w:val="115E59"/>
                <w:sz w:val="19"/>
                <w:szCs w:val="19"/>
              </w:rPr>
              <w:t xml:space="preserve">อ่านแบบย่อ</w:t>
            </w:r>
          </w:p>
          <w:p>
            <w:pPr>
              <w:spacing w:after="15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ใจความสำคัญ: เงินสดช่วยพยุง sentiment ระยะสั้นได้เด่น แต่ in-kind ที่คาดการณ์ได้มีบทบาทมากกว่าสำหรับความคาดหวังของกลุ่มเปราะบาง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4500"/>
        <w:gridCol w:w="4500"/>
      </w:tblGrid>
      <w:tr>
        <w:tc>
          <w:tcPr>
            <w:tcBorders>
              <w:top w:val="single" w:color="14B8A6" w:sz="1"/>
              <w:left w:val="single" w:color="14B8A6" w:sz="1"/>
              <w:bottom w:val="single" w:color="14B8A6" w:sz="1"/>
              <w:right w:val="single" w:color="14B8A6" w:sz="1"/>
            </w:tcBorders>
            <w:shd w:fill="ECFEFF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115E59"/>
                <w:sz w:val="34"/>
                <w:szCs w:val="34"/>
              </w:rPr>
              <w:t xml:space="preserve">+92.8%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cash social assistance 2017-2024</w:t>
            </w:r>
          </w:p>
        </w:tc>
        <w:tc>
          <w:tcPr>
            <w:tcBorders>
              <w:top w:val="single" w:color="14B8A6" w:sz="1"/>
              <w:left w:val="single" w:color="14B8A6" w:sz="1"/>
              <w:bottom w:val="single" w:color="14B8A6" w:sz="1"/>
              <w:right w:val="single" w:color="14B8A6" w:sz="1"/>
            </w:tcBorders>
            <w:shd w:fill="ECFEFF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115E59"/>
                <w:sz w:val="34"/>
                <w:szCs w:val="34"/>
              </w:rPr>
              <w:t xml:space="preserve">344.9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พันล้านบาท จุดสูงสุด in-kind ปี 2022</w:t>
            </w:r>
          </w:p>
        </w:tc>
      </w:tr>
      <w:tr>
        <w:tc>
          <w:tcPr>
            <w:tcBorders>
              <w:top w:val="single" w:color="14B8A6" w:sz="1"/>
              <w:left w:val="single" w:color="14B8A6" w:sz="1"/>
              <w:bottom w:val="single" w:color="14B8A6" w:sz="1"/>
              <w:right w:val="single" w:color="14B8A6" w:sz="1"/>
            </w:tcBorders>
            <w:shd w:fill="ECFEFF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115E59"/>
                <w:sz w:val="34"/>
                <w:szCs w:val="34"/>
              </w:rPr>
              <w:t xml:space="preserve">52.3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TPSO national CCI เฉลี่ยปี 2024</w:t>
            </w:r>
          </w:p>
        </w:tc>
        <w:tc>
          <w:tcPr>
            <w:tcBorders>
              <w:top w:val="single" w:color="14B8A6" w:sz="1"/>
              <w:left w:val="single" w:color="14B8A6" w:sz="1"/>
              <w:bottom w:val="single" w:color="14B8A6" w:sz="1"/>
              <w:right w:val="single" w:color="14B8A6" w:sz="1"/>
            </w:tcBorders>
            <w:shd w:fill="ECFEFF" w:val="clear"/>
            <w:tcMar>
              <w:top w:type="dxa" w:w="14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Aptos Display" w:cs="Aptos Display" w:eastAsia="Aptos Display" w:hAnsi="Aptos Display"/>
                <w:b/>
                <w:bCs/>
                <w:color w:val="115E59"/>
                <w:sz w:val="34"/>
                <w:szCs w:val="34"/>
              </w:rPr>
              <w:t xml:space="preserve">0.42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ผลร่วมสมัยมาตรการเงินสดต่อ TPSO CCI</w:t>
            </w:r>
          </w:p>
        </w:tc>
      </w:tr>
    </w:tbl>
    <w:p>
      <w:pPr>
        <w:spacing w:after="0" w:before="220"/>
      </w:pPr>
      <w:r>
        <w:br w:type="page"/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รายงานฉบับนี้ตีความคำว่า "customer confidence" เป็น "ความเชื่อมั่นผู้บริโภค/ครัวเรือน" และวิเคราะห์ว่ารายจ่ายภาครัฐด้านการโอนเพื่อสังคมในรูปเงินสดและสิ่งของมีความสัมพันธ์กับความเชื่อมั่นอย่างไรในช่วงปี 2017-2024 โดยเน้นผลต่อประชาชนรายได้น้อยเป็นพิเศษ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บทสรุปผู้บริหาร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01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ข้อมูล NESDC ชี้ว่าขนาดของการโอนเพื่อสังคมของไทยเพิ่มขึ้นมากในช่วง 2017-2024 โดยสวัสดิการสังคมในลักษณะเงินสดรวมเพิ่มจาก 459.2 พันล้านบาทเป็น 782.8 พันล้านบาท ขณะที่ social transfers in kind เพิ่มจาก 1.255 ล้านล้านบาทเป็น 1.628 ล้านล้านบาท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02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องค์ประกอบที่เกี่ยวข้องกับผู้มีรายได้น้อยโดยตรงขยายตัวเด่นทางฝั่งเงินสด โดย cash social assistance เพิ่มเกือบเท่าตัวจาก 104.0 พันล้านบาทในปี 2017 เป็น 200.6 พันล้านบาทในปี 2024 หรือเพิ่มขึ้น 92.8%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03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in-kind social assistance มีรูปแบบต่างออกไป คือค่อนข้างทรงตัวก่อนโควิด จากนั้นเพิ่มแรงในปี 2021-2022 ตามรายจ่ายด้านสาธารณสุขและค่าครองชีพ สูงสุดที่ 344.9 พันล้านบาทในปี 2022 ก่อนลดลงแรงในปี 2023 เมื่อรายจ่ายสุขภาพยุคโควิดลดลง และฟื้นบางส่วนในปี 2024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04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ดัชนีความเชื่อมั่นให้ภาพมหภาคที่สอดคล้องกันหลายแหล่ง TPSO national CCI เฉลี่ย 48.4 ในปี 2019 ลดลงเหลือ 42.1 ในปี 2020 ฟื้นเป็น 54.2 ในปี 2023 แล้วอ่อนลงเล็กน้อยเป็น 52.3 ในปี 2024 ส่วน FPO RSI รายภูมิภาคให้จังหวะ turning points แบบเดียวกันและมีความสัมพันธ์สูงกับ TPSO ในช่วงข้อมูลที่ทับซ้อนกัน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05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ในสมการ monthly national change model ความเข้มข้นของมาตรการเงินสดสัมพันธ์กับการเพิ่มขึ้นของ TPSO consumer confidence ราว 0.42 จุดดัชนีต่อการเพิ่มขึ้น 1 ส่วนเบี่ยงเบนมาตรฐานของ monthly cash proxy ขณะที่มาตรการ in-kind เด่นกว่าใน FPO sentiment measure โดยมีค่าสัมประสิทธิ์ร่วมสมัยประมาณ 1.56 จุด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06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อย่างไรก็ดี ใน occupation-level two-way fixed-effects panel ผลลัพธ์มีความละเอียดมากขึ้น กล่าวคือ high-transfer months ไม่ได้ลบช่องว่างความเชื่อมั่นระหว่างอาชีพที่เปราะบางทางรายได้กับกลุ่มที่มีฐานะมั่นคงกว่า เดือนที่มีมาตรการเงินสดเข้มข้นกลับสัมพันธ์กับความเชื่อมั่นเชิงสัมพัทธ์ที่อ่อนกว่าในกลุ่มเปราะบาง ขณะที่มาตรการ in-kind เป็นบวกเล็กน้อย โดยเฉพาะในดัชนีความคาดหวังอนาคต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100"/>
      </w:tblGrid>
      <w:tr>
        <w:tc>
          <w:tcPr>
            <w:tcBorders>
              <w:top w:val="single" w:color="14B8A6" w:sz="1"/>
              <w:left w:val="single" w:color="0F766E" w:sz="6"/>
              <w:bottom w:val="single" w:color="14B8A6" w:sz="1"/>
              <w:right w:val="single" w:color="14B8A6" w:sz="1"/>
            </w:tcBorders>
            <w:shd w:fill="ECFEFF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/>
            </w:pPr>
            <w:r>
              <w:rPr>
                <w:rFonts w:ascii="Aptos Display" w:cs="Aptos Display" w:eastAsia="Aptos Display" w:hAnsi="Aptos Display"/>
                <w:b/>
                <w:bCs/>
                <w:i w:val="false"/>
                <w:iCs w:val="false"/>
                <w:caps/>
                <w:color w:val="115E59"/>
                <w:sz w:val="18"/>
                <w:szCs w:val="18"/>
              </w:rPr>
              <w:t xml:space="preserve">Insight 07</w:t>
            </w:r>
          </w:p>
          <w:p>
            <w:pPr>
              <w:spacing w:after="1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นัยเชิงนโยบายคือ มาตรการเงินสดเหมาะกับการพยุงเศรษฐกิจและความเชื่อมั่นระยะสั้น แต่การยกระดับความเชื่อมั่นของคนรายได้น้อยอย่างยั่งยืนดูจะพึ่งพามาตรการ in-kind ที่คาดการณ์ได้ เช่น สุขภาพ ค่าสาธารณูปโภค และการบรรเทาค่าครองชีพที่จำเป็น มากกว่า</w:t>
            </w:r>
          </w:p>
        </w:tc>
      </w:tr>
    </w:tbl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ข้อมูล ขอบเขต และแนวตีความ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แกนหลักด้านการคลัง: ตารางรายได้ประชาชาติของ NESDC โดยเฉพาะ Table 61 ใน NI2024-Income.xlsx (https://www.nesdc.go.th/wordpress/wp-content/uploads/2025/12/NI2024-Income.xlsx)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ตัวชี้วัดความเชื่อมั่นผู้บริโภค: API ของ TPSO ทั้งชุด national, regional และ occupational แบบรายเดือน ช่วง 2019M1-2024M12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ตัวชี้วัดความเชื่อมั่นเศรษฐกิจภูมิภาค: FPO regional RSI แบบรายเดือน ช่วง 2018M1-2024M12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BOT: ใช้เพื่อประกอบการตีความสภาพเศรษฐกิจมหภาคและผลของมาตรการกระตุ้น ไม่ได้ใช้เป็น series หลักของ household confidence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TCC/UTCC: ใช้เป็น benchmark จากดัชนีความเชื่อมั่นหอการค้าไทยเพื่อ cross-check ทิศทาง ไม่ได้ใช้แทน household CCI ของ TPSO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หน้าต่างเวลาที่ผู้ใช้ขอคือ 2017-2024 ซึ่งฝั่งข้อมูลการคลังรายปีครอบคลุมครบทั้งช่วง ส่วนเศรษฐมิติแบบรายเดือนเริ่มช้ากว่าเพราะ TPSO panel ที่ใช้ได้เริ่มเดือนมกราคม 2019 และ FPO RSI เริ่มเดือนมกราคม 2018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แนวโน้มการคลัง: การโอนเพื่อสังคมเปลี่ยนไปอย่างไร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ข้อมูลทางการของ NESDC แยก social transfers ทั้งหมดออกจากองค์ประกอบ social assistance ซึ่งเกี่ยวข้องกับผู้มีรายได้น้อยโดยตรงมากกว่า ทั้งสองส่วนควรถูกติดตามควบคู่กัน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ปี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Cash social assistance (พันล้านบาท)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YoY %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In-kind social assistance (พันล้านบาท)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YoY %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บริบทนโยบายหลัก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2017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104.0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220.7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เริ่มโครงการบัตรสวัสดิการแห่งรัฐ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2018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145.6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40.0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217.2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-1.6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ขยายบัตรสวัสดิการ phase 1-2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2019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161.3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10.7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222.0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ยกระดับ phase 2 และมาตรการคุณภาพชีวิต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176.5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9.4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228.8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3.0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เยียวยาโควิด เงินสดฉุกเฉินและลดค่าสาธารณูปโภค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187.1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6.0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310.0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35.5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เราชนะ ม33เรารักกัน วัคซีน และเปิดเมือง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188.3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344.9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11.2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รายจ่ายสุขภาพยังสูงและมีการลงทะเบียนรอบใหม่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195.2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3.7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243.0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-29.6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รายจ่ายสุขภาพยุคโควิดลดลง และเริ่ม entitlement cycle ใหม่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200.6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260.8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7.3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เงินโอน 10,000 บาทให้กลุ่มเปราะบาง</w:t>
            </w:r>
          </w:p>
        </w:tc>
      </w:tr>
    </w:tbl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หากมองทั้งช่วง 2017-2024: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Total cash-like social benefits เพิ่ม 70.5%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Cash social assistance เพิ่ม 92.8%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Total social transfers in kind เพิ่ม 29.8%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In-kind social assistance เพิ่ม 18.2% แต่มี pandemic hump ชัดเจน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ประเด็นเชิงโครงสร้างที่สำคัญที่สุดคือ ฝั่งเงินสดขยายตัวต่อเนื่องและถาวรมากขึ้น ขณะที่ฝั่ง in-kind มีลักษณะผันผวนตามวิกฤต โดยเฉพาะรายจ่ายด้านสุขภาพ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475569"/>
          <w:sz w:val="18"/>
          <w:szCs w:val="18"/>
        </w:rPr>
        <w:t xml:space="preserve">Annual Social Transfers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แนวโน้มความเชื่อมั่น: ดัชนีบอกอะไร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ความเชื่อมั่นลดลงแรงในช่วงโควิดและฟื้นตัวในปี 2022-2024 แต่การฟื้นตัวยังไม่สมบูรณ์และไม่กระจายเท่ากัน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ค่าเฉลี่ยรายปีของ TPSO national CCI: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2019: 48.4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2020: 42.1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2021: 43.0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2022: 46.2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2023: 54.2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2024: 52.3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ค่าเฉลี่ยรายปีของ FPO mean regional RSI: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2018: 78.4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2019: 65.4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2020: 52.8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2021: 55.6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2022: 66.4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2023: 76.0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2024: 74.3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ค่าสหสัมพันธ์ระหว่าง TPSO national CCI และ FPO mean regional RSI ในช่วงข้อมูลที่ทับซ้อนกันอยู่ที่ 0.94 แปลว่าทั้งสองแหล่งให้จังหวะ turning points ที่สอดคล้องกันมาก แม้ระดับดัชนีจะต่างกัน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ดัชนี TCC ที่ใช้เป็น benchmark ก็สอดคล้องในเชิงทิศทางเช่นกัน: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เมษายน 2020 TCC-CI: 32.1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ตุลาคม 2021 TCC-CI: 19.9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ตุลาคม 2024 TCC-CI: 48.9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ค่าระดับของ TCC ต่ำกว่า TPSO เพราะเป็นคนละ survey instrument แต่เรื่องเล่าโดยรวมตรงกัน คือทรุดตัวในโควิดและฟื้นบางส่วนหลังเปิดเมืองและมีมาตรการกระตุ้น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475569"/>
          <w:sz w:val="18"/>
          <w:szCs w:val="18"/>
        </w:rPr>
        <w:t xml:space="preserve">Confidence Indicators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กรอบเศรษฐมิติ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ปัญหาหลักของการออกแบบคือ ข้อมูลการคลังเป็นรายปี แต่ข้อมูลความเชื่อมั่นเป็นรายเดือน ดังนั้นจึงใช้ mixed-frequency design แบบโปร่งใส โดยมีสามขั้นตอนหลัก:</w:t>
      </w:r>
    </w:p>
    <w:p>
      <w:pPr>
        <w:spacing w:after="85" w:line="305"/>
        <w:jc w:val="left"/>
      </w:pPr>
      <w:r>
        <w:rPr>
          <w:rFonts w:ascii="Aptos Display" w:cs="Aptos Display" w:eastAsia="Aptos Display" w:hAnsi="Aptos Display"/>
          <w:b/>
          <w:bCs/>
          <w:color w:val="115E59"/>
          <w:sz w:val="22"/>
          <w:szCs w:val="22"/>
        </w:rPr>
        <w:t xml:space="preserve">1. 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ใช้ยอด annual social assistance ของ NESDC เป็น anchor ของขนาดทางการคลังที่แท้จริง</w:t>
      </w:r>
    </w:p>
    <w:p>
      <w:pPr>
        <w:spacing w:after="85" w:line="305"/>
        <w:jc w:val="left"/>
      </w:pPr>
      <w:r>
        <w:rPr>
          <w:rFonts w:ascii="Aptos Display" w:cs="Aptos Display" w:eastAsia="Aptos Display" w:hAnsi="Aptos Display"/>
          <w:b/>
          <w:bCs/>
          <w:color w:val="115E59"/>
          <w:sz w:val="22"/>
          <w:szCs w:val="22"/>
        </w:rPr>
        <w:t xml:space="preserve">2. 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สร้าง monthly policy-intensity calendar เพื่อกระจายยอด annual totals ลงสู่รายเดือนตาม timing ของมาตรการเงินสดและ in-kind</w:t>
      </w:r>
    </w:p>
    <w:p>
      <w:pPr>
        <w:spacing w:after="85" w:line="305"/>
        <w:jc w:val="left"/>
      </w:pPr>
      <w:r>
        <w:rPr>
          <w:rFonts w:ascii="Aptos Display" w:cs="Aptos Display" w:eastAsia="Aptos Display" w:hAnsi="Aptos Display"/>
          <w:b/>
          <w:bCs/>
          <w:color w:val="115E59"/>
          <w:sz w:val="22"/>
          <w:szCs w:val="22"/>
        </w:rPr>
        <w:t xml:space="preserve">3. 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ประมาณค่าด้วยแบบจำลอง 3 ชุด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1. การสร้าง monthly fiscal proxy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ให้: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A_cash,y คือ annual cash social assistance ของปี y จาก NESDC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A_inkind,y คือ annual in-kind social assistance ของปี y จาก NESDC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w_cash,t คือ monthly cash-intensity weight ของเดือน t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w_inkind,t คือ monthly in-kind-intensity weight ของเดือน t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ทุกเดือนเริ่มจาก baseline weight เท่ากับ 1 แล้วเพิ่มน้ำหนักตามช่วงเวลาที่มาตรการมีผล ภายในปีเดียวกัน นิยามรายจ่าย proxy รายเดือนเป็น:</w:t>
      </w:r>
    </w:p>
    <w:p>
      <w:pPr>
        <w:spacing w:after="170" w:before="140"/>
        <w:jc w:val="center"/>
      </w:pPr>
      <m:oMath>
        <m:sSub>
          <m:sSubPr/>
          <m:e>
            <m:r>
              <m:t>cash proxy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cash,y</m:t>
                </m:r>
              </m:sub>
            </m:sSub>
            <m:r>
              <m:t> × </m:t>
            </m:r>
            <m:sSub>
              <m:sSubPr/>
              <m:e>
                <m:r>
                  <m:t>w</m:t>
                </m:r>
              </m:e>
              <m:sub>
                <m:r>
                  <m:t>cash,t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m ∈ y</m:t>
                </m:r>
              </m:sub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cash,m</m:t>
                    </m:r>
                  </m:sub>
                </m:sSub>
              </m:e>
            </m:nary>
          </m:den>
        </m:f>
      </m:oMath>
    </w:p>
    <w:p>
      <w:pPr>
        <w:spacing w:after="170" w:before="140"/>
        <w:jc w:val="center"/>
      </w:pPr>
      <m:oMath>
        <m:sSub>
          <m:sSubPr/>
          <m:e>
            <m:r>
              <m:t>inkind proxy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sSubPr/>
              <m:e>
                <m:r>
                  <m:t>A</m:t>
                </m:r>
              </m:e>
              <m:sub>
                <m:r>
                  <m:t>inkind,y</m:t>
                </m:r>
              </m:sub>
            </m:sSub>
            <m:r>
              <m:t> × </m:t>
            </m:r>
            <m:sSub>
              <m:sSubPr/>
              <m:e>
                <m:r>
                  <m:t>w</m:t>
                </m:r>
              </m:e>
              <m:sub>
                <m:r>
                  <m:t>inkind,t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m ∈ y</m:t>
                </m:r>
              </m:sub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inkind,m</m:t>
                    </m:r>
                  </m:sub>
                </m:sSub>
              </m:e>
            </m:nary>
          </m:den>
        </m:f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นิยามนี้ทำให้ monthly proxies ทั้ง 12 เดือนรวมกันเท่ากับยอด annual totals ของ NESDC อย่างพอดีในแต่ละปี จากนั้นจึงแปลงเป็นค่า standardized ตลอดทั้ง sample:</w:t>
      </w:r>
    </w:p>
    <w:p>
      <w:pPr>
        <w:spacing w:after="170" w:before="140"/>
        <w:jc w:val="center"/>
      </w:pPr>
      <m:oMath>
        <m:sSub>
          <m:sSubPr/>
          <m:e>
            <m:r>
              <m:t>cash z</m:t>
            </m:r>
          </m:e>
          <m:sub>
            <m:r>
              <m:t>t</m:t>
            </m:r>
          </m:sub>
        </m:sSub>
        <m:r>
          <m:t> = </m:t>
        </m:r>
        <m:f>
          <m:num>
            <m:d>
              <m:dPr/>
              <m:e>
                <m:sSub>
                  <m:sSubPr/>
                  <m:e>
                    <m:r>
                      <m:t>cash proxy</m:t>
                    </m:r>
                  </m:e>
                  <m:sub>
                    <m:r>
                      <m:t>t</m:t>
                    </m:r>
                  </m:sub>
                </m:sSub>
                <m:r>
                  <m:t> − mean(cash proxy)</m:t>
                </m:r>
              </m:e>
            </m:d>
          </m:num>
          <m:den>
            <m:r>
              <m:t>sd(cash proxy)</m:t>
            </m:r>
          </m:den>
        </m:f>
      </m:oMath>
    </w:p>
    <w:p>
      <w:pPr>
        <w:spacing w:after="170" w:before="140"/>
        <w:jc w:val="center"/>
      </w:pPr>
      <m:oMath>
        <m:sSub>
          <m:sSubPr/>
          <m:e>
            <m:r>
              <m:t>inkind z</m:t>
            </m:r>
          </m:e>
          <m:sub>
            <m:r>
              <m:t>t</m:t>
            </m:r>
          </m:sub>
        </m:sSub>
        <m:r>
          <m:t> = </m:t>
        </m:r>
        <m:f>
          <m:num>
            <m:d>
              <m:dPr/>
              <m:e>
                <m:sSub>
                  <m:sSubPr/>
                  <m:e>
                    <m:r>
                      <m:t>inkind proxy</m:t>
                    </m:r>
                  </m:e>
                  <m:sub>
                    <m:r>
                      <m:t>t</m:t>
                    </m:r>
                  </m:sub>
                </m:sSub>
                <m:r>
                  <m:t> − mean(inkind proxy)</m:t>
                </m:r>
              </m:e>
            </m:d>
          </m:num>
          <m:den>
            <m:r>
              <m:t>sd(inkind proxy)</m:t>
            </m:r>
          </m:den>
        </m:f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ดังนั้นค่าสัมประสิทธิ์ทั้งหมดจึงตีความได้ว่าเป็นการตอบสนองของดัชนีความเชื่อมั่นต่อการเพิ่มขึ้น 1 ส่วนเบี่ยงเบนมาตรฐานของ monthly transfer-intensity proxy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2. ตาราง calibration ของ policy intensity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ช่วงมาตรการ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เดือน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Cash weight add-on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In-kind weight add-on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เหตุผลเชิงนโยบาย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เปิดตัวบัตรสวัสดิการแห่งรัฐ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2017-10 ถึง 2018-03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ช่วง rollout เริ่มต้นและรอบเติมสิทธิ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ยกระดับบัตรสวัสดิการ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2018-04 ถึง 2019-12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phase 2 และมาตรการคุณภาพชีวิต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เงินสดเยียวยาโควิดระยะแรก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2020-04 ถึง 2020-06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4.8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cash stabilization เร่งด่วน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ขยายมาตรการค่าครองชีพโควิด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2020-07 ถึง 2020-12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ค่าน้ำ ค่าไฟ และบรรเทาค่าครองชีพ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เราชนะ และ ม33เรารักกัน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2021-02 ถึง 2021-05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5.6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มาตรการเงินสดเข้มข้น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วัคซีนและการเปิดเมือง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2021-06 ถึง 2021-12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3.8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รายจ่ายสุขภาพและการฟื้นกิจกรรมเศรษฐกิจ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สุขภาพและสวัสดิการปี 2022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2022-01 ถึง 2022-09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สุขภาพและสวัสดิการต่อเนื่อง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วงรอบใหม่ของบัตรสวัสดิการ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2023-04 ถึง 2023-12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entitlement cycle ใหม่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เงิน 10,000 บาท กลุ่มเปราะบาง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2024-09 ถึง 2024-11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5.2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one-off cash stimulus ขนาดใหญ่</w:t>
            </w:r>
          </w:p>
        </w:tc>
      </w:tr>
    </w:tbl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น้ำหนักเหล่านี้ไม่ใช่ค่าประมาณทางเศรษฐมิติ แต่เป็น calibration device เพื่อสะท้อน timing ของมาตรการรายเดือนโดยไม่ทำให้ยอดรายปีผิดจากข้อมูลทางการ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3. นิยามตัวแปรและ sample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Sample ระดับประเทศ: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TPSO national CCI รายเดือน: 2019M1-2024M12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mean regional RSI รายเดือน: 2018M1-2024M12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TCC ใช้เป็น benchmark เฉพาะบางเดือนเพื่อ cross-check ไม่ได้ใช้เป็น dependent variable หลัก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Sample ระดับอาชีพ: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7 กลุ่มอาชีพจาก TPSO รายเดือน ช่วง 2019M1-2024M12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ตัวแปรตาม: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cci_o,t = ดัชนีความเชื่อมั่นรวมของกลุ่มอาชีพ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future_o,t = ดัชนีความคาดหวังในอนาคตของกลุ่มอาชีพ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ตัวแปรบอกความเปราะบางด้านรายได้: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LowInc_o = 1 สำหรับเกษตรกร รับจ้างบริการ/อาชีพบริการอิสระ และไม่ได้ทำงาน/บำนาญ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LowInc_o = 0 สำหรับข้าราชการ/รัฐวิสาหกิจ/พนักงานของรัฐ นักศึกษา พนักงานบริษัท และนักธุรกิจ/เจ้าของกิจการ/เจ้าของแผงค้า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จำนวนข้อมูลที่ใช้จริง: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National TPSO change model: 70 observations หลัง differencing และใส่ lags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National FPO change model: 82 observations หลัง differencing และใส่ lags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Occupation TWFE สำหรับ cci_o,t: 504 observations, 72 เดือน, 7 อาชีพ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Occupation TWFE สำหรับ future_o,t: 336 observations, 48 เดือน, 7 อาชีพ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Local projections: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h=0: 497 observations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h=1: 490 observations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h=2: 483 observations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h=3: 476 observations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4. Model A: National confidence change model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สมการที่ประมาณมีรูปแบบเป็น:</w:t>
      </w:r>
    </w:p>
    <w:p>
      <w:pPr>
        <w:spacing w:after="170" w:before="140"/>
        <w:jc w:val="center"/>
      </w:pPr>
      <m:oMath>
        <m:sSub>
          <m:sSubPr/>
          <m:e>
            <m:r>
              <m:t>ΔY</m:t>
            </m:r>
          </m:e>
          <m:sub>
            <m:r>
              <m:t>t</m:t>
            </m:r>
          </m:sub>
        </m:sSub>
        <m:r>
          <m:t> = α + </m:t>
        </m:r>
        <m:sSub>
          <m:sSubPr/>
          <m:e>
            <m:r>
              <m:t>β</m:t>
            </m:r>
          </m:e>
          <m:sub>
            <m:r>
              <m:t>0</m:t>
            </m:r>
          </m:sub>
        </m:sSub>
        <m:r>
          <m:t> </m:t>
        </m:r>
        <m:sSub>
          <m:sSubPr/>
          <m:e>
            <m:r>
              <m:t>cash z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1</m:t>
            </m:r>
          </m:sub>
        </m:sSub>
        <m:r>
          <m:t> </m:t>
        </m:r>
        <m:sSub>
          <m:sSubPr/>
          <m:e>
            <m:r>
              <m:t>inkind z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2</m:t>
            </m:r>
          </m:sub>
        </m:sSub>
        <m:r>
          <m:t> </m:t>
        </m:r>
        <m:sSub>
          <m:sSubPr/>
          <m:e>
            <m:r>
              <m:t>cash z</m:t>
            </m:r>
          </m:e>
          <m:sub>
            <m:r>
              <m:t>t−1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3</m:t>
            </m:r>
          </m:sub>
        </m:sSub>
        <m:r>
          <m:t> </m:t>
        </m:r>
        <m:sSub>
          <m:sSubPr/>
          <m:e>
            <m:r>
              <m:t>inkind z</m:t>
            </m:r>
          </m:e>
          <m:sub>
            <m:r>
              <m:t>t−1</m:t>
            </m:r>
          </m:sub>
        </m:sSub>
        <m:r>
          <m:t> + ρ </m:t>
        </m:r>
        <m:sSub>
          <m:sSubPr/>
          <m:e>
            <m:r>
              <m:t>ΔY</m:t>
            </m:r>
          </m:e>
          <m:sub>
            <m:r>
              <m:t>t−1</m:t>
            </m:r>
          </m:sub>
        </m:sSub>
        <m:r>
          <m:t> + </m:t>
        </m:r>
        <m:sSub>
          <m:sSubPr/>
          <m:e>
            <m:r>
              <m:t>e</m:t>
            </m:r>
          </m:e>
          <m:sub>
            <m:r>
              <m:t>t</m:t>
            </m:r>
          </m:sub>
        </m:sSub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โดยที่: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Y_t คือ TPSO national CCI หรือ FPO mean regional RSI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Delta Y_t คือการเปลี่ยนแปลงรายเดือนของดัชนีดังกล่าว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cash_z,t และ inkind_z,t คือ standardized fiscal proxies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rho สะท้อน persistence ระยะสั้นของการเปลี่ยนแปลงความเชื่อมั่น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beta_0 คือผลร่วมสมัยของความเข้มข้นมาตรการเงินสดต่อ aggregate confidence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beta_1 คือผลร่วมสมัยของความเข้มข้นมาตรการ in-kind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beta_2 และ beta_3 คือ delayed effects 1 เดือน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แบบจำลองนี้จงใจทำให้เรียบง่าย เพราะต้องการสรุป short-run macro association ระหว่าง transfer intensity กับ confidence ไม่ได้อ้างว่าเป็น fully structural causal estimate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5. Model B: Occupation-level two-way fixed effects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แบบจำลองเชิงกระจายตัวหลักของรายงานคือ:</w:t>
      </w:r>
    </w:p>
    <w:p>
      <w:pPr>
        <w:spacing w:after="170" w:before="140"/>
        <w:jc w:val="center"/>
      </w:pPr>
      <m:oMath>
        <m:sSub>
          <m:sSubPr/>
          <m:e>
            <m:r>
              <m:t>Y</m:t>
            </m:r>
          </m:e>
          <m:sub>
            <m:r>
              <m:t>o,t</m:t>
            </m:r>
          </m:sub>
        </m:sSub>
        <m:r>
          <m:t> = </m:t>
        </m:r>
        <m:sSub>
          <m:sSubPr/>
          <m:e>
            <m:r>
              <m:t>α</m:t>
            </m:r>
          </m:e>
          <m:sub>
            <m:r>
              <m:t>o</m:t>
            </m:r>
          </m:sub>
        </m:sSub>
        <m:r>
          <m:t> + </m:t>
        </m:r>
        <m:sSub>
          <m:sSubPr/>
          <m:e>
            <m:r>
              <m:t>λ</m:t>
            </m:r>
          </m:e>
          <m:sub>
            <m:r>
              <m:t>t</m:t>
            </m:r>
          </m:sub>
        </m:sSub>
        <m:r>
          <m:t> + </m:t>
        </m:r>
        <m:sSub>
          <m:sSubPr/>
          <m:e>
            <m:r>
              <m:t>θ</m:t>
            </m:r>
          </m:e>
          <m:sub>
            <m:r>
              <m:t>cash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cash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θ</m:t>
            </m:r>
          </m:e>
          <m:sub>
            <m:r>
              <m:t>inkind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inkind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u</m:t>
            </m:r>
          </m:e>
          <m:sub>
            <m:r>
              <m:t>o,t</m:t>
            </m:r>
          </m:sub>
        </m:sSub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โดยที่: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alpha_o คือ occupation fixed effects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lambda_t คือ month fixed effects เต็มรูปแบบ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Y_o,t คือ cci_o,t หรือ future_o,t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ประเด็น identification ที่สำคัญ: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เนื่องจาก lambda_t ดูดซับ shocks ร่วมของทุกอาชีพในเดือนเดียวกัน main effects ของ cash_z,t และ inkind_z,t จึงถูก absorbed ไปทั้งหมด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แบบจำลองนี้จึงระบุได้เฉพาะ relative response ของ low-income-sensitive occupations เทียบกับกลุ่มที่เปราะบางน้อยกว่าในเดือนที่ transfer intensity สูง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theta_cash &gt; 0 หมายถึงเดือนที่ cash-heavy ช่วยแคบช่องว่างความเชื่อมั่นของกลุ่มเปราะบาง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theta_cash &lt; 0 หมายถึงเดือนที่ cash-heavy สัมพันธ์กับช่องว่างที่กว้างขึ้น หรือการฟื้นตัวเชิงสัมพัทธ์ที่อ่อนกว่า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theta_inkind ตีความแบบเดียวกันสำหรับมาตรการ in-kind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6. Model C: Local projections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เพื่อดูพลวัตระยะสั้น ใช้สมการ local projection สำหรับ horizon h = 0, 1, 2, 3 ดังนี้:</w:t>
      </w:r>
    </w:p>
    <w:p>
      <w:pPr>
        <w:spacing w:after="170" w:before="140"/>
        <w:jc w:val="center"/>
      </w:pPr>
      <m:oMath>
        <m:sSub>
          <m:sSubPr/>
          <m:e>
            <m:r>
              <m:t>Y</m:t>
            </m:r>
          </m:e>
          <m:sub>
            <m:r>
              <m:t>o,t+h</m:t>
            </m:r>
          </m:sub>
        </m:sSub>
        <m:r>
          <m:t> − </m:t>
        </m:r>
        <m:sSub>
          <m:sSubPr/>
          <m:e>
            <m:r>
              <m:t>Y</m:t>
            </m:r>
          </m:e>
          <m:sub>
            <m:r>
              <m:t>o,t−1</m:t>
            </m:r>
          </m:sub>
        </m:sSub>
        <m:r>
          <m:t> = </m:t>
        </m:r>
        <m:sSub>
          <m:sSubPr/>
          <m:e>
            <m:r>
              <m:t>α</m:t>
            </m:r>
          </m:e>
          <m:sub>
            <m:r>
              <m:t>o,h</m:t>
            </m:r>
          </m:sub>
        </m:sSub>
        <m:r>
          <m:t> + </m:t>
        </m:r>
        <m:sSub>
          <m:sSubPr/>
          <m:e>
            <m:r>
              <m:t>λ</m:t>
            </m:r>
          </m:e>
          <m:sub>
            <m:r>
              <m:t>t,h</m:t>
            </m:r>
          </m:sub>
        </m:sSub>
        <m:r>
          <m:t> + </m:t>
        </m:r>
        <m:sSub>
          <m:sSubPr/>
          <m:e>
            <m:r>
              <m:t>ψ</m:t>
            </m:r>
          </m:e>
          <m:sub>
            <m:r>
              <m:t>cash,h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cash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ψ</m:t>
            </m:r>
          </m:e>
          <m:sub>
            <m:r>
              <m:t>inkind,h</m:t>
            </m:r>
          </m:sub>
        </m:sSub>
        <m:r>
          <m:t> </m:t>
        </m:r>
        <m:d>
          <m:dPr/>
          <m:e>
            <m:sSub>
              <m:sSubPr/>
              <m:e>
                <m:r>
                  <m:t>LowInc</m:t>
                </m:r>
              </m:e>
              <m:sub>
                <m:r>
                  <m:t>o</m:t>
                </m:r>
              </m:sub>
            </m:sSub>
            <m:r>
              <m:t> × </m:t>
            </m:r>
            <m:sSub>
              <m:sSubPr/>
              <m:e>
                <m:r>
                  <m:t>inkind z</m:t>
                </m:r>
              </m:e>
              <m:sub>
                <m:r>
                  <m:t>t</m:t>
                </m:r>
              </m:sub>
            </m:sSub>
          </m:e>
        </m:d>
        <m:r>
          <m:t> + </m:t>
        </m:r>
        <m:sSub>
          <m:sSubPr/>
          <m:e>
            <m:r>
              <m:t>v</m:t>
            </m:r>
          </m:e>
          <m:sub>
            <m:r>
              <m:t>o,t+h</m:t>
            </m:r>
          </m:sub>
        </m:sSub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โดย: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ฝั่งซ้ายคือ cumulative change จาก t-1 ไป t+h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alpha_o,h และ lambda_t,h เป็น horizon-specific fixed effects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psi_cash,h และ psi_inkind,h แสดงว่า relative confidence response ของกลุ่มเปราะบางพัฒนาไปอย่างไรในอีก 0-3 เดือนหลังจากเดือนที่ transfer intensity สูง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7. วิธีประมาณค่าและ variance formulas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แบบจำลอง occupation panel ประมาณด้วย ordinary least squares หลังจากทำ exact two-way demeaning ให้ X เป็นเมทริกซ์ของ demeaned regressors และ u เป็น residual vector จะได้ clustered variance estimator เป็น:</w:t>
      </w:r>
    </w:p>
    <w:p>
      <w:pPr>
        <w:spacing w:after="170" w:before="140"/>
        <w:jc w:val="center"/>
      </w:pPr>
      <m:oMath>
        <m:sSub>
          <m:sSubPr/>
          <m:e>
            <m:r>
              <m:t>V</m:t>
            </m:r>
          </m:e>
          <m:sub>
            <m:r>
              <m:t>cluster</m:t>
            </m:r>
          </m:sub>
        </m:sSub>
        <m:r>
          <m:t> = s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  <m:r>
          <m:t> </m:t>
        </m:r>
        <m:d>
          <m:dPr>
            <m:begChr m:val="["/>
            <m:endChr m:val="]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m:t>g</m:t>
                </m:r>
              </m:sub>
              <m:e>
                <m:d>
                  <m:dPr/>
                  <m:e>
                    <m:sSub>
                      <m:sSubPr/>
                      <m:e>
                        <m:r>
                          <m:t>X′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u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u′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X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e>
                </m:d>
              </m:e>
            </m:nary>
          </m:e>
        </m:d>
        <m:r>
          <m:t>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โดย g คือ monthly clusters และ:</w:t>
      </w:r>
    </w:p>
    <w:p>
      <w:pPr>
        <w:spacing w:after="170" w:before="140"/>
        <w:jc w:val="center"/>
      </w:pPr>
      <m:oMath>
        <m:r>
          <m:t>s = </m:t>
        </m:r>
        <m:d>
          <m:dPr/>
          <m:e>
            <m:f>
              <m:num>
                <m:r>
                  <m:t>M</m:t>
                </m:r>
              </m:num>
              <m:den>
                <m:r>
                  <m:t>M − 1</m:t>
                </m:r>
              </m:den>
            </m:f>
          </m:e>
        </m:d>
        <m:r>
          <m:t> </m:t>
        </m:r>
        <m:d>
          <m:dPr/>
          <m:e>
            <m:f>
              <m:num>
                <m:r>
                  <m:t>N − 1</m:t>
                </m:r>
              </m:num>
              <m:den>
                <m:r>
                  <m:t>N − K</m:t>
                </m:r>
              </m:den>
            </m:f>
          </m:e>
        </m:d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นิยาม: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M คือจำนวน clusters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N คือจำนวน observations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K คือจำนวน regressors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ดังนั้น occupation models ในรายงานนี้ใช้ month-clustered robust standard errors พร้อม small-sample correction ตามนิยามข้างต้น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ฝั่ง national change models ใช้ Newey-West style HAC estimator ด้วย Bartlett weights และกำหนด lag length L = 3:</w:t>
      </w:r>
    </w:p>
    <w:p>
      <w:pPr>
        <w:spacing w:after="170" w:before="140"/>
        <w:jc w:val="center"/>
      </w:pPr>
      <m:oMath>
        <m:sSub>
          <m:sSubPr/>
          <m:e>
            <m:r>
              <m:t>V</m:t>
            </m:r>
          </m:e>
          <m:sub>
            <m:r>
              <m:t>HAC</m:t>
            </m:r>
          </m:sub>
        </m:sSub>
        <m:r>
          <m:t> =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  <m:r>
          <m:t> S </m:t>
        </m:r>
        <m:sSup>
          <m:sSupPr/>
          <m:e>
            <m:d>
              <m:dPr/>
              <m:e>
                <m:r>
                  <m:t>X′X</m:t>
                </m:r>
              </m:e>
            </m:d>
          </m:e>
          <m:sup>
            <m:r>
              <m:t>−1</m:t>
            </m:r>
          </m:sup>
        </m:sSup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โดย:</w:t>
      </w:r>
    </w:p>
    <w:p>
      <w:pPr>
        <w:spacing w:after="170" w:before="140"/>
        <w:jc w:val="center"/>
      </w:pPr>
      <m:oMath>
        <m:r>
          <m:t>S = Σₜ uₜ² xₜ xₜ′ + Σℓ₌₁ᴸ (1 − ℓ/(L+1)) Σₜ₌ℓ₊₁ᵀ uₜ uₜ₋ℓ (xₜ xₜ₋ℓ′ + xₜ₋ℓ xₜ′)</m:t>
        </m:r>
      </m:oMath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รายงานนี้ใช้ 90% confidence intervals ซึ่งคำนวณจาก coefficient plus/minus 1.645 standard errors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8. สมมติฐานเชิง identification และข้อจำกัด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สมมติฐานหลักของงานนี้ไม่ใช่การบอกว่า transfers เป็น exogenous โดยสมบูรณ์ แต่เป็นการตีความแบบพอประมาณมากกว่า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ใน national change models ค่าสัมประสิทธิ์วัด short-run comovement แบบมีการควบคุม persistence บางส่วน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ใน occupation TWFE และ local projection การระบุผลมาจากความแตกต่างว่ากลุ่มอาชีพเปราะบางเคลื่อนไหวต่างจากกลุ่มไม่เปราะบางหรือไม่ ภายในเดือนเดียวกันที่ transfer intensity สูง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จุดแข็งของกรอบนี้คือดีกว่า pure before-after comparison แต่ก็ยังมีข้อจำกัด: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Monthly fiscal proxy เป็นตัวแปรที่สร้างขึ้น ไม่ใช่รายจ่ายรายเดือนที่สังเกตได้โดยตรง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ความเข้มข้นของมาตรการถูก encode จาก timing ของนโยบาย ไม่ใช่ disbursement ledger รายเดือน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บางมาตรการอาจ endogenous ต่อภาวะเศรษฐกิจที่เลวลง โดยเฉพาะช่วง 2020-2021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ตัวแปร exposure dummy ถูกออกแบบให้เรียบง่าย จึงอาจจับความต่างภายในอาชีพได้ไม่ครบ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แบบจำลอง future expectations มีจำนวนข้อมูลน้อยลงเพราะ series ของ TPSO มี missing values บางช่วง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ดังนั้นข้อสรุปเชิงวิธีวิทยาจึงยังเหมือนเดิม: รายงานฉบับนี้เป็น longitudinal empirical framework ที่จริงจังและโปร่งใส แต่ควรอ่านเป็น mixed-frequency policy evaluation exercise ไม่ใช่ structural causal estimate ขั้นเด็ดขาด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ผลลัพธ์เชิงเศรษฐมิติ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1. ผลต่อความเชื่อมั่นระดับมหภาค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สมการ national change model บ่งชี้ว่า transfer intensity ที่สูงขึ้นสัมพันธ์กับการพยุง confidence ในระดับมหภาค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ตัวแปรตาม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Cash proxy coef.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90% CI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In-kind proxy coef.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90% CI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TPSO national CCI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0.42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0.15 ถึง 0.69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-0.47 ถึง 0.78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FPO mean regional RSI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-0.46 ถึง 0.70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1.56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0.07 ถึง 3.06</w:t>
            </w:r>
          </w:p>
        </w:tc>
      </w:tr>
    </w:tbl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มาตรการเงินสดมีบทบาทชัดที่สุดต่อการพยุง demand และความเชื่อมั่นใน series ของ TPSO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มาตรการ in-kind เด่นกว่าใน FPO regional macro-sentiment ซึ่งสอดคล้องกับบทบาทของสุขภาพและ cost-of-living support ต่อเสถียรภาพเศรษฐกิจภูมิภาค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2. ผลเชิงกระจายตัว: กลุ่มเปราะบางยังตามหลัง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ผลจาก occupation-level two-way fixed effects ต่างจากผลมหภาคค่อนข้างชัด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  <w:tblCellSpacing w:type="dxa" w:w="0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ตัวแปรตาม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Cash interaction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90% CI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In-kind interaction</w:t>
            </w:r>
          </w:p>
        </w:tc>
        <w:tc>
          <w:tcPr>
            <w:tcBorders>
              <w:top w:val="single" w:color="14B8A6" w:sz="1"/>
              <w:left w:val="single" w:color="E5E7EB" w:sz="1"/>
              <w:bottom w:val="single" w:color="14B8A6" w:sz="1"/>
              <w:right w:val="single" w:color="E5E7EB" w:sz="1"/>
            </w:tcBorders>
            <w:shd w:fill="CCFB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15E59"/>
                <w:sz w:val="22"/>
                <w:szCs w:val="22"/>
              </w:rPr>
              <w:t xml:space="preserve">90% CI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TPSO occupation CCI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-0.26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-0.44 ถึง -0.07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0.16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-0.03 ถึง 0.35</w:t>
            </w:r>
          </w:p>
        </w:tc>
      </w:tr>
      <w:tr>
        <w:trPr>
          <w:tblHeader w:val="false"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TPSO occupation future expectations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-0.19 ถึง 0.43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0.32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0.03 ถึง 0.61</w:t>
            </w:r>
          </w:p>
        </w:tc>
      </w:tr>
    </w:tbl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การตีความ: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เดือนที่มี cash stimulus สูงไม่ได้ทำให้ช่องว่าง confidence ของกลุ่มเปราะบางแคบลง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มาตรการ in-kind ดูเป็นช่องทางที่เป็นบวกกว่าสำหรับกลุ่มรายได้น้อย โดยเฉพาะเมื่อวัดด้วยดัชนีความคาดหวังในอนาคต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การอ่านที่สมเหตุสมผลคือ cash programs ช่วยพยุง aggregate demand จริง แต่ถูกใช้ในช่วงที่กลุ่มเปราะบางกำลังเผชิญ stress สูงที่สุด จึงยังไม่เพียงพอที่จะทำให้ relative recovery ของคนกลุ่มนี้ดีขึ้นทันที</w:t>
      </w:r>
    </w:p>
    <w:p>
      <w:pPr>
        <w:pStyle w:val="Heading2"/>
        <w:spacing w:after="70" w:before="180"/>
      </w:pPr>
      <w:r>
        <w:rPr>
          <w:rFonts w:ascii="Aptos Display" w:cs="Aptos Display" w:eastAsia="Aptos Display" w:hAnsi="Aptos Display"/>
          <w:b/>
          <w:bCs/>
          <w:color w:val="115E59"/>
          <w:sz w:val="24"/>
          <w:szCs w:val="24"/>
        </w:rPr>
        <w:t xml:space="preserve">3. พลวัตระยะสั้นจาก local projections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ผล local projections สนับสนุนข้อสรุปข้างต้น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Cash interaction: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h=0: -0.11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h=1: -0.12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h=2: -0.01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h=3: 0.01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In-kind interaction: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h=0: 0.06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h=1: 0.09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h=2: 0.05</w:t>
      </w:r>
    </w:p>
    <w:p>
      <w:pPr>
        <w:pStyle w:val="ListParagraph"/>
        <w:numPr>
          <w:ilvl w:val="1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h=3: 0.06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ดังนั้น relative drag จาก cash-heavy episodes จะค่อยๆ จางลงในอีกไม่กี่เดือน ขณะที่ผลบวกของ in-kind มีขนาดไม่ใหญ่แต่ค่อนข้างต่อเนื่อง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475569"/>
          <w:sz w:val="18"/>
          <w:szCs w:val="18"/>
        </w:rPr>
        <w:t xml:space="preserve">Local Projections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ช่องว่าง treated-minus-control เองก็แย่ลงเมื่อเวลาผ่านไป: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ค่าเฉลี่ย gap ในปี 2019: -1.41 จุด CCI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ค่าเฉลี่ย gap ในปี 2024: -3.68 จุด CCI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นี่คือคำเตือนเชิงการกระจายผลที่สำคัญที่สุดในรายงาน กล่าวคือ การฟื้นตัวของ confidence หลังโควิดเกิดขึ้นจริง แต่ไม่ได้กระจายถึงทุกกลุ่มเท่าๆ กัน</w:t>
      </w:r>
    </w:p>
    <w:p>
      <w:pPr>
        <w:spacing w:after="60" w:before="14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jc w:val="center"/>
      </w:pPr>
      <w:r>
        <w:rPr>
          <w:rFonts w:ascii="Aptos" w:cs="Aptos" w:eastAsia="Aptos" w:hAnsi="Aptos"/>
          <w:i/>
          <w:iCs/>
          <w:color w:val="475569"/>
          <w:sz w:val="18"/>
          <w:szCs w:val="18"/>
        </w:rPr>
        <w:t xml:space="preserve">Occupation Gap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นโยบายสำคัญที่กระทบคนรายได้น้อย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2017-2018: บัตรสวัสดิการแห่งรัฐ phase 1 และ 2 สร้างโครงสร้างการโอนถาวรสำหรับผู้มีรายได้น้อย ทั้งเงินสด ค่าเดินทาง LPG ค่าสาธารณูปโภค และการซื้อสินค้าผ่านช่องทางที่กำหนด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2019: มาตรการคุณภาพชีวิต phase 2 ทำให้ระบบสวัสดิการลึกขึ้นและเชื่อมกับเป้าหมายลดความยากจนและเพิ่มศักยภาพรายได้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2020: เงินสดเยียวยาโควิด การเติมเงินบัตรสวัสดิการ และการช่วยค่าน้ำค่าไฟ ช่วยไม่ให้กำลังซื้อครัวเรือนทรุดแรงกว่านี้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2021: เราชนะ และ ม33เรารักกัน เป็นช่วงที่ cash stimulus เข้มข้นที่สุดใน sample ขณะเดียวกันรายจ่ายสุขภาพและวัคซีนก็ทำให้ in-kind support เพิ่มขึ้นมาก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2022: รายจ่ายสุขภาพและการลงทะเบียนบัตรสวัสดิการรอบใหม่ช่วยคงระดับ in-kind support ไว้สูง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2023: ผลของการลงทะเบียนใหม่ในปี 2022 ทำให้เกิด entitlement cycle ใหม่ ขณะที่รายจ่ายสุขภาพยุคโควิด normalize ลง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2024: รัฐอนุมัติเงิน 10,000 บาทให้ผู้ถือบัตรสวัสดิการแห่งรัฐและคนพิการประมาณ 14.55 ล้านคน โดยมีเป้าหมายชัดเจนในการบรรเทาค่าครองชีพและเร่งการบริโภค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ความหมายเชิงนโยบาย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จากหลักฐานทั้งหมด สรุปได้ 3 ประเด็นใหญ่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ประเด็นแรก มาตรการเงินสดมีประสิทธิภาพในการพยุง confidence ระดับมหภาคอย่างรวดเร็ว ซึ่งสะท้อนชัดที่สุดใน aggregate TPSO change model และสอดคล้องกับการตีความของ BOT ต่อผลของมาตรการ 10,000 บาทในปี 2024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ประเด็นที่สอง มาตรการ in-kind มีความสำคัญมากกว่าสำหรับการประคอง confidence ของกลุ่มเปราะบาง สุขภาพ ค่าสาธารณูปโภค และการเข้าถึงสินค้าจำเป็นแบบคาดการณ์ได้ดูมีผลต่อ relative expectations มากกว่าการอัดเงินก้อนแบบชั่วคราว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ประเด็นที่สาม การพึ่ง one-off cash injections เพียงอย่างเดียวไม่เพียงพอที่จะปิดช่องว่างความเชื่อมั่นของคนรายได้น้อย เพราะแม้ national confidence จะฟื้นตัวมากในปี 2024 แต่ความเชื่อมั่นของอาชีพที่เปราะบางยังตามหลังอย่างชัดเจน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policy mix ที่สอดคล้องกับหลักฐานในรายงานนี้คือ: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ใช้มาตรการเงินสดอย่างรวดเร็วในช่วง downturn เฉียบพลัน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จับคู่กับสิทธิประโยชน์รายเดือนที่คาดการณ์ได้ผ่านระบบบัตรสวัสดิการแห่งรัฐ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คงความแข็งแรงของ in-kind protection ด้านสุขภาพและสาธารณูปโภคในช่วงวิกฤต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ใช้ automatic triggers ที่ผูกกับความอ่อนแอของตลาดแรงงานและความเชื่อมั่น เพื่อให้การช่วยเหลือมาถึงเร็วขึ้น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หมายเหตุแหล่งข้อมูล</w:t>
      </w:r>
    </w:p>
    <w:p>
      <w:pPr>
        <w:spacing w:after="120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แหล่งข้อมูลหลักที่ใช้ในรายงาน: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NESDC annual national income tables: NI2024-Income.xlsx (https://www.nesdc.go.th/wordpress/wp-content/uploads/2025/12/NI2024-Income.xlsx)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NESDC 2023 English release page: National Income of Thailand 2023 (https://www.nesdc.go.th/en/?ddl=36312&amp;p=36311)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regional RSI data catalog: Thailand Regional Economic Sentiment Index (https://catalog.fpo.go.th/dataset/thailand-regional-economic-sentiment-index-rsi)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TPSO CCI API endpoint: CCI API (https://cci-survey-tpso.moc.go.th/cci-api/api/CCI/getcci)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BOT February 2021 economic conditions: BOT Press Release No. 20/2021 (https://www.bot.or.th/en/news-and-media/news/news-20210331-1.html)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BOT October 2021 economic conditions: BOT Press Release No. 88/2021 (https://www.bot.or.th/en/news-and-media/news/news-20211130.html)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BOT October 2024 economic conditions: BOT Press Release No. 43/2024 (https://www.bot.or.th/en/news-and-media/news/news-20241129.html)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welfare-card phase 1 and 2 page: State Welfare Registration 2017 (https://www.fpo.go.th/main/General-information-public-service/%E0%B8%9B%E0%B8%A3%E0%B8%B0%E0%B8%8A%E0%B8%B2%E0%B8%8A%E0%B8%99%E0%B8%84%E0%B8%A7%E0%B8%A3%E0%B8%A3%E0%B8%B9%E0%B9%89/8198.aspx)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phase-2 quality-of-life infographic: State Welfare Card phase 2 (https://www.fpo.go.th/main/getattachment/News/Press-conference/10272/007-2562-info-%E0%B9%81%E0%B8%96%E0%B8%A5%E0%B8%87%E0%B8%82%E0%B9%88%E0%B8%B2%E0%B8%A7%E0%B8%A1%E0%B8%B2%E0%B8%95%E0%B8%A3%E0%B8%81%E0%B8%B2%E0%B8%A3%E0%B8%9E%E0%B8%B1%E0%B8%92%E0%B8%99%E0%B8%B2%E0%B8%84%E0%B8%B8%E0%B8%93%E0%B8%A0%E0%B8%B2%E0%B8%9E%E0%B8%8A%E0%B8%B5%E0%B8%A7%E0%B8%B4%E0%B8%95%E0%B8%9C%E0%B8%B9%E0%B9%89%E0%B8%A1%E0%B8%B5%E0%B8%9A%E0%B8%B1%E0%B8%95%E0%B8%A3%E0%B8%AA%E0%B8%A7%E0%B8%B1%E0%B8%AA%E0%B8%94%E0%B8%B4%E0%B8%81%E0%B8%B2%E0%B8%A3%E0%B9%81%E0%B8%AB%E0%B9%88%E0%B8%87%E0%B8%A3%E0%B8%B1%E0%B8%90-%E0%B8%A3%E0%B8%B0%E0%B8%A2%E0%B8%B0%E0%B8%97%E0%B8%B5%E0%B9%88-2.pdf.asp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Rao Chana press release: Press release 009/2564 (https://www.fpo.go.th/main/News/Press-conference/13953.aspx)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Khon La Khrueng phase 3 progress: Press release 192/2564 (https://www.fpo.go.th/main/getattachment/News/Press-conference/14992/%E0%B9%81%E0%B8%96%E0%B8%A5%E0%B8%87%E0%B8%82%E0%B9%88%E0%B8%B2%E0%B8%A7-%E0%B8%89%E0%B8%9A%E0%B8%B1%E0%B8%9A%E0%B8%97%E0%B8%B5%E0%B9%88-192-2564-%E0%B8%84%E0%B8%A7%E0%B8%B2%E0%B8%A1%E0%B8%84%E0%B8%B7%E0%B8%9A%E0%B8%AB%E0%B8%99%E0%B9%89%E0%B8%B2%E0%B9%82%E0%B8%84%E0%B8%A3%E0%B8%87%E0%B8%81%E0%B8%B2%E0%B8%A3%E0%B8%84%E0%B8%99%E0%B8%A5%E0%B8%B0%E0%B8%84%E0%B8%A3%E0%B8%B6%E0%B9%88%E0%B8%87-251064.pdf.asp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2024 vulnerable-group handout: Press release 90/2567 (https://www.fpo.go.th/main/getattachment/News/Press-conference/19896/90-2567-%E0%B9%81%E0%B8%96%E0%B8%A5%E0%B8%87%E0%B8%82%E0%B9%88%E0%B8%B2%E0%B8%A7-%E0%B8%81%E0%B8%84-%E0%B9%82%E0%B8%84%E0%B8%A3%E0%B8%87%E0%B8%81%E0%B8%B2%E0%B8%A3%E0%B8%81%E0%B8%A3%E0%B8%B0%E0%B8%95%E0%B8%B8%E0%B9%89%E0%B8%99%E0%B9%80%E0%B8%A8%E0%B8%A3%E0%B8%A9%E0%B8%90%E0%B8%81%E0%B8%B4%E0%B8%88%E0%B8%9B%E0%B8%B5-67.pdf.asp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FPO October 2024 fiscal conditions note: Monthly Economic Condition, October 2024 (https://www.fpo.go.th/main/getattachment/Economic-report/Monthly-economic-condition/20191/6-43_2567-Info-monthly-Oct-2024.pdf.aspx)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UTCC/CEBF chamber-confidence archive: TCC archive page (https://cebf.utcc.ac.th/index_number.php?typeid=7)</w:t>
      </w:r>
    </w:p>
    <w:p>
      <w:pPr>
        <w:pStyle w:val="Heading1"/>
        <w:pBdr>
          <w:bottom w:val="single" w:color="0F766E" w:sz="6"/>
        </w:pBdr>
        <w:spacing w:after="90" w:before="240"/>
      </w:pPr>
      <w:r>
        <w:rPr>
          <w:rFonts w:ascii="Aptos Display" w:cs="Aptos Display" w:eastAsia="Aptos Display" w:hAnsi="Aptos Display"/>
          <w:b/>
          <w:bCs/>
          <w:color w:val="115E59"/>
          <w:sz w:val="28"/>
          <w:szCs w:val="28"/>
        </w:rPr>
        <w:t xml:space="preserve">ไฟล์ที่สร้างใน workspace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รายงานภาษาไทย: customer_confidence_social_transfers_report_2017_2024_th.md (/Users/pingpayap/Documents/Codex/2026-04-29-make-a-report-of-the-increase/customer_confidence_social_transfers_report_2017_2024_th.md)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ข้อมูล annual transfers: nesdc_social_transfers_2017_2024.csv (/Users/pingpayap/Documents/Codex/2026-04-29-make-a-report-of-the-increase/data/nesdc_social_transfers_2017_2024.csv)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policy calendar: policy_transfer_calendar_2017_2024.csv (/Users/pingpayap/Documents/Codex/2026-04-29-make-a-report-of-the-increase/data/policy_transfer_calendar_2017_2024.csv)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ผลประมาณค่า TWFE: twfe_main.csv (/Users/pingpayap/Documents/Codex/2026-04-29-make-a-report-of-the-increase/results/twfe_main.csv)</w:t>
      </w:r>
    </w:p>
    <w:p>
      <w:pPr>
        <w:pStyle w:val="ListParagraph"/>
        <w:numPr>
          <w:ilvl w:val="0"/>
          <w:numId w:val="1"/>
        </w:numPr>
        <w:spacing w:after="85" w:line="305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ผล local projections: local_projections.csv (/Users/pingpayap/Documents/Codex/2026-04-29-make-a-report-of-the-increase/results/local_projections.csv)</w:t>
      </w:r>
    </w:p>
    <w:sectPr>
      <w:headerReference w:type="default" r:id="rId7"/>
      <w:footerReference w:type="default" r:id="rId8"/>
      <w:pgSz w:w="11906" w:h="16838" w:orient="portrait"/>
      <w:pgMar w:top="820" w:right="920" w:bottom="860" w:left="92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B8A6" w:sz="4"/>
      </w:pBdr>
      <w:spacing w:before="70"/>
      <w:jc w:val="center"/>
    </w:pPr>
    <w:r>
      <w:rPr>
        <w:rFonts w:ascii="Aptos" w:cs="Aptos" w:eastAsia="Aptos" w:hAnsi="Aptos"/>
        <w:color w:val="475569"/>
        <w:sz w:val="17"/>
        <w:szCs w:val="17"/>
      </w:rPr>
      <w:t xml:space="preserve">หน้า </w:t>
    </w:r>
    <w:r>
      <w:rPr>
        <w:rFonts w:ascii="Aptos Display" w:cs="Aptos Display" w:eastAsia="Aptos Display" w:hAnsi="Aptos Display"/>
        <w:b/>
        <w:bCs/>
        <w:color w:val="115E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8A6" w:sz="4"/>
      </w:pBdr>
      <w:spacing w:after="70"/>
      <w:jc w:val="center"/>
    </w:pPr>
    <w:r>
      <w:rPr>
        <w:rFonts w:ascii="Aptos" w:cs="Aptos" w:eastAsia="Aptos" w:hAnsi="Aptos"/>
        <w:caps w:val="false"/>
        <w:color w:val="475569"/>
        <w:sz w:val="17"/>
        <w:szCs w:val="17"/>
      </w:rPr>
      <w:t xml:space="preserve">Thailand Social Transfer Outlook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F172A"/>
        <w:sz w:val="22"/>
        <w:szCs w:val="22"/>
      </w:rPr>
    </w:rPrDefault>
    <w:pPrDefault>
      <w:pPr>
        <w:spacing w:after="120" w:line="30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751b9b72a330054c1443aaf7db3bc7df6365fd.png"/><Relationship Id="rId10" Type="http://schemas.openxmlformats.org/officeDocument/2006/relationships/image" Target="media/6b37fe70636d9bd7bd4511774fb7304ac5e66060.png"/><Relationship Id="rId11" Type="http://schemas.openxmlformats.org/officeDocument/2006/relationships/image" Target="media/64a7b6b4e08d6cbc57ec4ffe59cd81b9cfc6dc34.png"/><Relationship Id="rId12" Type="http://schemas.openxmlformats.org/officeDocument/2006/relationships/image" Target="media/f3fa91239d44f02dbecd62aa742c7d764ed3d9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รายงาน: ความเชื่อมั่นผู้บริโภคและการโอนเพื่อสังคมของไทย ช่วงปี 2017-2024 - Modern Policy Brief</dc:title>
  <dc:creator>OpenAI Codex</dc:creator>
  <dc:description>Themed DOCX export (Modern Policy Brief) of the Codex-generated report.</dc:description>
  <cp:lastModifiedBy>Un-named</cp:lastModifiedBy>
  <cp:revision>1</cp:revision>
  <dcterms:created xsi:type="dcterms:W3CDTF">2026-04-29T11:28:09.154Z</dcterms:created>
  <dcterms:modified xsi:type="dcterms:W3CDTF">2026-04-29T11:28:09.157Z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