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EC13B" w14:textId="77777777" w:rsidR="00026A13" w:rsidRDefault="00026A13" w:rsidP="00026A13">
      <w:pPr>
        <w:rPr>
          <w:rFonts w:cs="Arial"/>
          <w:b/>
          <w:szCs w:val="24"/>
        </w:rPr>
      </w:pPr>
      <w:r>
        <w:rPr>
          <w:rFonts w:cs="Arial"/>
          <w:b/>
          <w:szCs w:val="24"/>
        </w:rPr>
        <w:t>Appendix 1: Developmental Profile 4</w:t>
      </w:r>
    </w:p>
    <w:p w14:paraId="5877EB32" w14:textId="77777777" w:rsidR="00026A13" w:rsidRDefault="00026A13" w:rsidP="00026A13">
      <w:pPr>
        <w:rPr>
          <w:rFonts w:cs="Arial"/>
          <w:b/>
          <w:szCs w:val="24"/>
        </w:rPr>
      </w:pPr>
    </w:p>
    <w:p w14:paraId="0B86B343" w14:textId="77777777" w:rsidR="00026A13" w:rsidRDefault="00026A13" w:rsidP="00026A13">
      <w:pPr>
        <w:spacing w:before="2" w:after="2"/>
        <w:rPr>
          <w:rFonts w:cs="Arial"/>
          <w:b/>
          <w:sz w:val="22"/>
          <w:szCs w:val="22"/>
        </w:rPr>
      </w:pPr>
      <w:r>
        <w:rPr>
          <w:rFonts w:cs="Arial"/>
          <w:sz w:val="22"/>
          <w:szCs w:val="22"/>
        </w:rPr>
        <w:t xml:space="preserve">The Developmental Profile-4 (DP™4) is designed to assess the development and functioning of children and young people (aged 0-21) to provide a detailed account of a child’s </w:t>
      </w:r>
      <w:r>
        <w:rPr>
          <w:rFonts w:cs="Arial"/>
          <w:sz w:val="22"/>
          <w:szCs w:val="22"/>
          <w:u w:val="single"/>
        </w:rPr>
        <w:t xml:space="preserve">developmental </w:t>
      </w:r>
      <w:r>
        <w:rPr>
          <w:rFonts w:cs="Arial"/>
          <w:sz w:val="22"/>
          <w:szCs w:val="22"/>
        </w:rPr>
        <w:t>strengths and weaknesses while at the same time identifying developmental delay. The DP™4 measures a child’s development by scores for scales in five key areas of development obtained through teacher perceptions of their child’s developmental skills as they emerge during childhood within the home and the educational setting. The table below provides a description of each scale and what it measures.</w:t>
      </w:r>
    </w:p>
    <w:p w14:paraId="4997B980" w14:textId="77777777" w:rsidR="00026A13" w:rsidRDefault="00026A13" w:rsidP="00026A13">
      <w:pPr>
        <w:spacing w:before="2" w:after="2"/>
        <w:rPr>
          <w:rFonts w:cs="Arial"/>
          <w:sz w:val="22"/>
          <w:szCs w:val="22"/>
        </w:rPr>
      </w:pPr>
    </w:p>
    <w:p w14:paraId="5CB44B20" w14:textId="77777777" w:rsidR="00026A13" w:rsidRDefault="00026A13" w:rsidP="00026A13">
      <w:pPr>
        <w:spacing w:before="2" w:after="2"/>
        <w:rPr>
          <w:rFonts w:cs="Arial"/>
          <w:b/>
          <w:bCs/>
          <w:i/>
          <w:iCs/>
          <w:sz w:val="22"/>
          <w:szCs w:val="22"/>
        </w:rPr>
      </w:pPr>
      <w:r>
        <w:rPr>
          <w:rFonts w:cs="Arial"/>
          <w:b/>
          <w:bCs/>
          <w:i/>
          <w:iCs/>
          <w:sz w:val="22"/>
          <w:szCs w:val="22"/>
        </w:rPr>
        <w:t>Table 1.1: Developmental Profile -4 and what the scales measure</w:t>
      </w:r>
    </w:p>
    <w:tbl>
      <w:tblPr>
        <w:tblStyle w:val="TableGrid"/>
        <w:tblW w:w="0" w:type="auto"/>
        <w:tblInd w:w="0" w:type="dxa"/>
        <w:tblLook w:val="04A0" w:firstRow="1" w:lastRow="0" w:firstColumn="1" w:lastColumn="0" w:noHBand="0" w:noVBand="1"/>
      </w:tblPr>
      <w:tblGrid>
        <w:gridCol w:w="2624"/>
        <w:gridCol w:w="6392"/>
      </w:tblGrid>
      <w:tr w:rsidR="00026A13" w14:paraId="772D0B9B" w14:textId="77777777" w:rsidTr="00026A13">
        <w:tc>
          <w:tcPr>
            <w:tcW w:w="2660" w:type="dxa"/>
            <w:tcBorders>
              <w:top w:val="single" w:sz="4" w:space="0" w:color="auto"/>
              <w:left w:val="single" w:sz="4" w:space="0" w:color="auto"/>
              <w:bottom w:val="single" w:sz="4" w:space="0" w:color="auto"/>
              <w:right w:val="single" w:sz="4" w:space="0" w:color="auto"/>
            </w:tcBorders>
            <w:hideMark/>
          </w:tcPr>
          <w:p w14:paraId="0BB2EC7C" w14:textId="77777777" w:rsidR="00026A13" w:rsidRDefault="00026A13">
            <w:pPr>
              <w:spacing w:before="2" w:after="2"/>
              <w:rPr>
                <w:rFonts w:cs="Arial"/>
                <w:b/>
                <w:bCs/>
                <w:sz w:val="22"/>
                <w:szCs w:val="22"/>
              </w:rPr>
            </w:pPr>
            <w:r>
              <w:rPr>
                <w:rFonts w:cs="Arial"/>
                <w:b/>
                <w:bCs/>
                <w:sz w:val="22"/>
                <w:szCs w:val="22"/>
              </w:rPr>
              <w:t>Scale</w:t>
            </w:r>
          </w:p>
        </w:tc>
        <w:tc>
          <w:tcPr>
            <w:tcW w:w="6582" w:type="dxa"/>
            <w:tcBorders>
              <w:top w:val="single" w:sz="4" w:space="0" w:color="auto"/>
              <w:left w:val="single" w:sz="4" w:space="0" w:color="auto"/>
              <w:bottom w:val="single" w:sz="4" w:space="0" w:color="auto"/>
              <w:right w:val="single" w:sz="4" w:space="0" w:color="auto"/>
            </w:tcBorders>
            <w:hideMark/>
          </w:tcPr>
          <w:p w14:paraId="6A270D10" w14:textId="77777777" w:rsidR="00026A13" w:rsidRDefault="00026A13">
            <w:pPr>
              <w:spacing w:before="2" w:after="2"/>
              <w:rPr>
                <w:rFonts w:cs="Arial"/>
                <w:b/>
                <w:bCs/>
                <w:sz w:val="22"/>
                <w:szCs w:val="22"/>
              </w:rPr>
            </w:pPr>
            <w:r>
              <w:rPr>
                <w:rFonts w:cs="Arial"/>
                <w:b/>
                <w:bCs/>
                <w:sz w:val="22"/>
                <w:szCs w:val="22"/>
              </w:rPr>
              <w:t>What it measures</w:t>
            </w:r>
          </w:p>
        </w:tc>
      </w:tr>
      <w:tr w:rsidR="00026A13" w14:paraId="0FB1C24A" w14:textId="77777777" w:rsidTr="00026A13">
        <w:tc>
          <w:tcPr>
            <w:tcW w:w="2660" w:type="dxa"/>
            <w:tcBorders>
              <w:top w:val="single" w:sz="4" w:space="0" w:color="auto"/>
              <w:left w:val="single" w:sz="4" w:space="0" w:color="auto"/>
              <w:bottom w:val="single" w:sz="4" w:space="0" w:color="auto"/>
              <w:right w:val="single" w:sz="4" w:space="0" w:color="auto"/>
            </w:tcBorders>
            <w:hideMark/>
          </w:tcPr>
          <w:p w14:paraId="16232FA0" w14:textId="77777777" w:rsidR="00026A13" w:rsidRDefault="00026A13">
            <w:pPr>
              <w:spacing w:before="2" w:after="2"/>
              <w:rPr>
                <w:rFonts w:cs="Arial"/>
                <w:sz w:val="22"/>
                <w:szCs w:val="22"/>
              </w:rPr>
            </w:pPr>
            <w:r>
              <w:rPr>
                <w:rFonts w:cs="Arial"/>
                <w:sz w:val="22"/>
                <w:szCs w:val="22"/>
              </w:rPr>
              <w:t>Physical</w:t>
            </w:r>
          </w:p>
        </w:tc>
        <w:tc>
          <w:tcPr>
            <w:tcW w:w="6582" w:type="dxa"/>
            <w:tcBorders>
              <w:top w:val="single" w:sz="4" w:space="0" w:color="auto"/>
              <w:left w:val="single" w:sz="4" w:space="0" w:color="auto"/>
              <w:bottom w:val="single" w:sz="4" w:space="0" w:color="auto"/>
              <w:right w:val="single" w:sz="4" w:space="0" w:color="auto"/>
            </w:tcBorders>
            <w:hideMark/>
          </w:tcPr>
          <w:p w14:paraId="5EE6B968" w14:textId="77777777" w:rsidR="00026A13" w:rsidRDefault="00026A13">
            <w:pPr>
              <w:autoSpaceDE w:val="0"/>
              <w:autoSpaceDN w:val="0"/>
              <w:adjustRightInd w:val="0"/>
              <w:spacing w:before="2" w:after="2"/>
              <w:rPr>
                <w:rFonts w:cs="Arial"/>
                <w:sz w:val="22"/>
                <w:szCs w:val="22"/>
              </w:rPr>
            </w:pPr>
            <w:r>
              <w:rPr>
                <w:rFonts w:cs="Arial"/>
                <w:sz w:val="22"/>
                <w:szCs w:val="22"/>
              </w:rPr>
              <w:t>The Physical Scale includes items measuring gross- and fine-motor skills, coordination, strength, stamina, and</w:t>
            </w:r>
          </w:p>
          <w:p w14:paraId="5463B208" w14:textId="77777777" w:rsidR="00026A13" w:rsidRDefault="00026A13">
            <w:pPr>
              <w:spacing w:before="2" w:after="2"/>
              <w:rPr>
                <w:rFonts w:cs="Arial"/>
                <w:sz w:val="22"/>
                <w:szCs w:val="22"/>
              </w:rPr>
            </w:pPr>
            <w:r>
              <w:rPr>
                <w:rFonts w:cs="Arial"/>
                <w:sz w:val="22"/>
                <w:szCs w:val="22"/>
              </w:rPr>
              <w:t xml:space="preserve">flexibility. </w:t>
            </w:r>
          </w:p>
        </w:tc>
      </w:tr>
      <w:tr w:rsidR="00026A13" w14:paraId="0AC0448F" w14:textId="77777777" w:rsidTr="00026A13">
        <w:tc>
          <w:tcPr>
            <w:tcW w:w="2660" w:type="dxa"/>
            <w:tcBorders>
              <w:top w:val="single" w:sz="4" w:space="0" w:color="auto"/>
              <w:left w:val="single" w:sz="4" w:space="0" w:color="auto"/>
              <w:bottom w:val="single" w:sz="4" w:space="0" w:color="auto"/>
              <w:right w:val="single" w:sz="4" w:space="0" w:color="auto"/>
            </w:tcBorders>
            <w:hideMark/>
          </w:tcPr>
          <w:p w14:paraId="31773B25" w14:textId="77777777" w:rsidR="00026A13" w:rsidRDefault="00026A13">
            <w:pPr>
              <w:spacing w:before="2" w:after="2"/>
              <w:rPr>
                <w:rFonts w:cs="Arial"/>
                <w:sz w:val="22"/>
                <w:szCs w:val="22"/>
              </w:rPr>
            </w:pPr>
            <w:r>
              <w:rPr>
                <w:rFonts w:cs="Arial"/>
                <w:sz w:val="22"/>
                <w:szCs w:val="22"/>
              </w:rPr>
              <w:t>Adaptive Behaviour</w:t>
            </w:r>
          </w:p>
        </w:tc>
        <w:tc>
          <w:tcPr>
            <w:tcW w:w="6582" w:type="dxa"/>
            <w:tcBorders>
              <w:top w:val="single" w:sz="4" w:space="0" w:color="auto"/>
              <w:left w:val="single" w:sz="4" w:space="0" w:color="auto"/>
              <w:bottom w:val="single" w:sz="4" w:space="0" w:color="auto"/>
              <w:right w:val="single" w:sz="4" w:space="0" w:color="auto"/>
            </w:tcBorders>
            <w:hideMark/>
          </w:tcPr>
          <w:p w14:paraId="4624BF00" w14:textId="77777777" w:rsidR="00026A13" w:rsidRDefault="00026A13">
            <w:pPr>
              <w:autoSpaceDE w:val="0"/>
              <w:autoSpaceDN w:val="0"/>
              <w:adjustRightInd w:val="0"/>
              <w:spacing w:before="2" w:after="2"/>
              <w:rPr>
                <w:rFonts w:cs="Arial"/>
                <w:sz w:val="22"/>
                <w:szCs w:val="22"/>
              </w:rPr>
            </w:pPr>
            <w:r>
              <w:rPr>
                <w:rFonts w:cs="Arial"/>
                <w:sz w:val="22"/>
                <w:szCs w:val="22"/>
              </w:rPr>
              <w:t>The Adaptive Behaviour Scale measures age-appropriate independent functioning, which includes the ability to undertake activities of daily living such as eating, dressing, self-care, functioning independently and using current technology.</w:t>
            </w:r>
          </w:p>
        </w:tc>
      </w:tr>
      <w:tr w:rsidR="00026A13" w14:paraId="485FA8AF" w14:textId="77777777" w:rsidTr="00026A13">
        <w:tc>
          <w:tcPr>
            <w:tcW w:w="2660" w:type="dxa"/>
            <w:tcBorders>
              <w:top w:val="single" w:sz="4" w:space="0" w:color="auto"/>
              <w:left w:val="single" w:sz="4" w:space="0" w:color="auto"/>
              <w:bottom w:val="single" w:sz="4" w:space="0" w:color="auto"/>
              <w:right w:val="single" w:sz="4" w:space="0" w:color="auto"/>
            </w:tcBorders>
            <w:hideMark/>
          </w:tcPr>
          <w:p w14:paraId="0D12E876" w14:textId="77777777" w:rsidR="00026A13" w:rsidRDefault="00026A13">
            <w:pPr>
              <w:spacing w:before="2" w:after="2"/>
              <w:rPr>
                <w:rFonts w:cs="Arial"/>
                <w:sz w:val="22"/>
                <w:szCs w:val="22"/>
              </w:rPr>
            </w:pPr>
            <w:r>
              <w:rPr>
                <w:rFonts w:cs="Arial"/>
                <w:sz w:val="22"/>
                <w:szCs w:val="22"/>
              </w:rPr>
              <w:t>Social-Emotional</w:t>
            </w:r>
          </w:p>
        </w:tc>
        <w:tc>
          <w:tcPr>
            <w:tcW w:w="6582" w:type="dxa"/>
            <w:tcBorders>
              <w:top w:val="single" w:sz="4" w:space="0" w:color="auto"/>
              <w:left w:val="single" w:sz="4" w:space="0" w:color="auto"/>
              <w:bottom w:val="single" w:sz="4" w:space="0" w:color="auto"/>
              <w:right w:val="single" w:sz="4" w:space="0" w:color="auto"/>
            </w:tcBorders>
            <w:hideMark/>
          </w:tcPr>
          <w:p w14:paraId="296CA76C" w14:textId="77777777" w:rsidR="00026A13" w:rsidRDefault="00026A13">
            <w:pPr>
              <w:autoSpaceDE w:val="0"/>
              <w:autoSpaceDN w:val="0"/>
              <w:adjustRightInd w:val="0"/>
              <w:spacing w:before="2" w:after="2"/>
              <w:rPr>
                <w:rFonts w:cs="Arial"/>
                <w:sz w:val="22"/>
                <w:szCs w:val="22"/>
              </w:rPr>
            </w:pPr>
            <w:r>
              <w:rPr>
                <w:rFonts w:cs="Arial"/>
                <w:sz w:val="22"/>
                <w:szCs w:val="22"/>
              </w:rPr>
              <w:t xml:space="preserve">The Social-Emotional Scale measures skills related to interpersonal relationship skills, social and emotional understanding, and functional performance in social situations.  </w:t>
            </w:r>
          </w:p>
        </w:tc>
      </w:tr>
      <w:tr w:rsidR="00026A13" w14:paraId="5F13F926" w14:textId="77777777" w:rsidTr="00026A13">
        <w:tc>
          <w:tcPr>
            <w:tcW w:w="2660" w:type="dxa"/>
            <w:tcBorders>
              <w:top w:val="single" w:sz="4" w:space="0" w:color="auto"/>
              <w:left w:val="single" w:sz="4" w:space="0" w:color="auto"/>
              <w:bottom w:val="single" w:sz="4" w:space="0" w:color="auto"/>
              <w:right w:val="single" w:sz="4" w:space="0" w:color="auto"/>
            </w:tcBorders>
            <w:hideMark/>
          </w:tcPr>
          <w:p w14:paraId="18D7223C" w14:textId="77777777" w:rsidR="00026A13" w:rsidRDefault="00026A13">
            <w:pPr>
              <w:spacing w:before="2" w:after="2"/>
              <w:rPr>
                <w:rFonts w:cs="Arial"/>
                <w:sz w:val="22"/>
                <w:szCs w:val="22"/>
              </w:rPr>
            </w:pPr>
            <w:r>
              <w:rPr>
                <w:rFonts w:cs="Arial"/>
                <w:sz w:val="22"/>
                <w:szCs w:val="22"/>
              </w:rPr>
              <w:t>Cognitive</w:t>
            </w:r>
          </w:p>
        </w:tc>
        <w:tc>
          <w:tcPr>
            <w:tcW w:w="6582" w:type="dxa"/>
            <w:tcBorders>
              <w:top w:val="single" w:sz="4" w:space="0" w:color="auto"/>
              <w:left w:val="single" w:sz="4" w:space="0" w:color="auto"/>
              <w:bottom w:val="single" w:sz="4" w:space="0" w:color="auto"/>
              <w:right w:val="single" w:sz="4" w:space="0" w:color="auto"/>
            </w:tcBorders>
            <w:hideMark/>
          </w:tcPr>
          <w:p w14:paraId="1049176A" w14:textId="77777777" w:rsidR="00026A13" w:rsidRDefault="00026A13">
            <w:pPr>
              <w:autoSpaceDE w:val="0"/>
              <w:autoSpaceDN w:val="0"/>
              <w:adjustRightInd w:val="0"/>
              <w:spacing w:before="2" w:after="2"/>
              <w:rPr>
                <w:rFonts w:cs="Arial"/>
                <w:sz w:val="22"/>
                <w:szCs w:val="22"/>
              </w:rPr>
            </w:pPr>
            <w:r>
              <w:rPr>
                <w:rFonts w:cs="Arial"/>
                <w:sz w:val="22"/>
                <w:szCs w:val="22"/>
              </w:rPr>
              <w:t>The Cognitive Scale measures development of skills necessary for successful academic and intellectual functioning. The Cognitive Scale measures perception, concept development, number relations, reasoning, memory, classification, time concepts, and related mental acuity tasks.</w:t>
            </w:r>
          </w:p>
        </w:tc>
      </w:tr>
      <w:tr w:rsidR="00026A13" w14:paraId="1D07F6A0" w14:textId="77777777" w:rsidTr="00026A13">
        <w:tc>
          <w:tcPr>
            <w:tcW w:w="2660" w:type="dxa"/>
            <w:tcBorders>
              <w:top w:val="single" w:sz="4" w:space="0" w:color="auto"/>
              <w:left w:val="single" w:sz="4" w:space="0" w:color="auto"/>
              <w:bottom w:val="single" w:sz="4" w:space="0" w:color="auto"/>
              <w:right w:val="single" w:sz="4" w:space="0" w:color="auto"/>
            </w:tcBorders>
            <w:hideMark/>
          </w:tcPr>
          <w:p w14:paraId="1C4A1720" w14:textId="77777777" w:rsidR="00026A13" w:rsidRDefault="00026A13">
            <w:pPr>
              <w:spacing w:before="2" w:after="2"/>
              <w:rPr>
                <w:rFonts w:cs="Arial"/>
                <w:sz w:val="22"/>
                <w:szCs w:val="22"/>
              </w:rPr>
            </w:pPr>
            <w:r>
              <w:rPr>
                <w:rFonts w:cs="Arial"/>
                <w:sz w:val="22"/>
                <w:szCs w:val="22"/>
              </w:rPr>
              <w:t>Communication</w:t>
            </w:r>
          </w:p>
        </w:tc>
        <w:tc>
          <w:tcPr>
            <w:tcW w:w="6582" w:type="dxa"/>
            <w:tcBorders>
              <w:top w:val="single" w:sz="4" w:space="0" w:color="auto"/>
              <w:left w:val="single" w:sz="4" w:space="0" w:color="auto"/>
              <w:bottom w:val="single" w:sz="4" w:space="0" w:color="auto"/>
              <w:right w:val="single" w:sz="4" w:space="0" w:color="auto"/>
            </w:tcBorders>
            <w:hideMark/>
          </w:tcPr>
          <w:p w14:paraId="6165E4D0" w14:textId="77777777" w:rsidR="00026A13" w:rsidRDefault="00026A13">
            <w:pPr>
              <w:spacing w:before="2" w:after="2"/>
              <w:rPr>
                <w:rFonts w:cs="Arial"/>
                <w:sz w:val="22"/>
                <w:szCs w:val="22"/>
              </w:rPr>
            </w:pPr>
            <w:r>
              <w:rPr>
                <w:rFonts w:cs="Arial"/>
                <w:sz w:val="22"/>
                <w:szCs w:val="22"/>
              </w:rPr>
              <w:t>The Communication Scale measures receptive and expressive communication skills as indicated through both verbal and nonverbal language, the use of spoken, written and gestural language are assessed by this scale including to effectively use communication devices such as the computer etc.</w:t>
            </w:r>
          </w:p>
        </w:tc>
      </w:tr>
    </w:tbl>
    <w:p w14:paraId="558D23A7" w14:textId="77777777" w:rsidR="00026A13" w:rsidRDefault="00026A13" w:rsidP="00026A13">
      <w:pPr>
        <w:spacing w:before="2" w:after="2"/>
        <w:rPr>
          <w:rFonts w:cs="Arial"/>
          <w:sz w:val="22"/>
          <w:szCs w:val="22"/>
        </w:rPr>
      </w:pPr>
    </w:p>
    <w:p w14:paraId="229D9B1B" w14:textId="77777777" w:rsidR="00026A13" w:rsidRDefault="00026A13" w:rsidP="00026A13">
      <w:pPr>
        <w:spacing w:before="2" w:after="2"/>
        <w:rPr>
          <w:rFonts w:cs="Arial"/>
          <w:b/>
          <w:bCs/>
          <w:i/>
          <w:iCs/>
          <w:sz w:val="22"/>
          <w:szCs w:val="22"/>
        </w:rPr>
      </w:pPr>
      <w:r>
        <w:rPr>
          <w:rFonts w:cs="Arial"/>
          <w:b/>
          <w:bCs/>
          <w:i/>
          <w:iCs/>
          <w:sz w:val="22"/>
          <w:szCs w:val="22"/>
        </w:rPr>
        <w:t>Table 1.2: Measures used in Developmental Profile 4</w:t>
      </w:r>
    </w:p>
    <w:tbl>
      <w:tblPr>
        <w:tblStyle w:val="TableGrid"/>
        <w:tblW w:w="0" w:type="auto"/>
        <w:tblInd w:w="0" w:type="dxa"/>
        <w:tblLook w:val="04A0" w:firstRow="1" w:lastRow="0" w:firstColumn="1" w:lastColumn="0" w:noHBand="0" w:noVBand="1"/>
      </w:tblPr>
      <w:tblGrid>
        <w:gridCol w:w="3539"/>
        <w:gridCol w:w="5477"/>
      </w:tblGrid>
      <w:tr w:rsidR="00026A13" w14:paraId="3813CADF" w14:textId="77777777" w:rsidTr="00026A13">
        <w:tc>
          <w:tcPr>
            <w:tcW w:w="3539" w:type="dxa"/>
            <w:tcBorders>
              <w:top w:val="single" w:sz="4" w:space="0" w:color="auto"/>
              <w:left w:val="single" w:sz="4" w:space="0" w:color="auto"/>
              <w:bottom w:val="single" w:sz="4" w:space="0" w:color="auto"/>
              <w:right w:val="single" w:sz="4" w:space="0" w:color="auto"/>
            </w:tcBorders>
            <w:hideMark/>
          </w:tcPr>
          <w:p w14:paraId="135421B2" w14:textId="77777777" w:rsidR="00026A13" w:rsidRDefault="00026A13">
            <w:pPr>
              <w:spacing w:before="2" w:after="2"/>
              <w:rPr>
                <w:rFonts w:cs="Arial"/>
                <w:sz w:val="22"/>
                <w:szCs w:val="22"/>
              </w:rPr>
            </w:pPr>
            <w:r>
              <w:rPr>
                <w:rFonts w:cs="Arial"/>
                <w:sz w:val="22"/>
                <w:szCs w:val="22"/>
              </w:rPr>
              <w:t>Measures used in the DP-4</w:t>
            </w:r>
          </w:p>
        </w:tc>
        <w:tc>
          <w:tcPr>
            <w:tcW w:w="5477" w:type="dxa"/>
            <w:tcBorders>
              <w:top w:val="single" w:sz="4" w:space="0" w:color="auto"/>
              <w:left w:val="single" w:sz="4" w:space="0" w:color="auto"/>
              <w:bottom w:val="single" w:sz="4" w:space="0" w:color="auto"/>
              <w:right w:val="single" w:sz="4" w:space="0" w:color="auto"/>
            </w:tcBorders>
            <w:hideMark/>
          </w:tcPr>
          <w:p w14:paraId="1D9D56B3" w14:textId="77777777" w:rsidR="00026A13" w:rsidRDefault="00026A13">
            <w:pPr>
              <w:spacing w:before="2" w:after="2"/>
              <w:rPr>
                <w:rFonts w:cs="Arial"/>
                <w:sz w:val="22"/>
                <w:szCs w:val="22"/>
              </w:rPr>
            </w:pPr>
            <w:r>
              <w:rPr>
                <w:rFonts w:cs="Arial"/>
                <w:sz w:val="22"/>
                <w:szCs w:val="22"/>
              </w:rPr>
              <w:t>What they mean</w:t>
            </w:r>
          </w:p>
        </w:tc>
      </w:tr>
      <w:tr w:rsidR="00026A13" w14:paraId="7ABE7B5A" w14:textId="77777777" w:rsidTr="00026A13">
        <w:tc>
          <w:tcPr>
            <w:tcW w:w="3539" w:type="dxa"/>
            <w:tcBorders>
              <w:top w:val="single" w:sz="4" w:space="0" w:color="auto"/>
              <w:left w:val="single" w:sz="4" w:space="0" w:color="auto"/>
              <w:bottom w:val="single" w:sz="4" w:space="0" w:color="auto"/>
              <w:right w:val="single" w:sz="4" w:space="0" w:color="auto"/>
            </w:tcBorders>
            <w:hideMark/>
          </w:tcPr>
          <w:p w14:paraId="6A5AAF8A" w14:textId="77777777" w:rsidR="00026A13" w:rsidRDefault="00026A13">
            <w:pPr>
              <w:spacing w:before="2" w:after="2"/>
              <w:rPr>
                <w:rFonts w:cs="Arial"/>
                <w:sz w:val="22"/>
                <w:szCs w:val="22"/>
              </w:rPr>
            </w:pPr>
            <w:r>
              <w:rPr>
                <w:rFonts w:cs="Arial"/>
                <w:sz w:val="22"/>
                <w:szCs w:val="22"/>
              </w:rPr>
              <w:t>Standard score</w:t>
            </w:r>
          </w:p>
        </w:tc>
        <w:tc>
          <w:tcPr>
            <w:tcW w:w="5477" w:type="dxa"/>
            <w:tcBorders>
              <w:top w:val="single" w:sz="4" w:space="0" w:color="auto"/>
              <w:left w:val="single" w:sz="4" w:space="0" w:color="auto"/>
              <w:bottom w:val="single" w:sz="4" w:space="0" w:color="auto"/>
              <w:right w:val="single" w:sz="4" w:space="0" w:color="auto"/>
            </w:tcBorders>
            <w:hideMark/>
          </w:tcPr>
          <w:p w14:paraId="340D3BDE" w14:textId="77777777" w:rsidR="00026A13" w:rsidRDefault="00026A13">
            <w:pPr>
              <w:spacing w:before="2" w:after="2"/>
              <w:rPr>
                <w:rFonts w:cs="Arial"/>
                <w:sz w:val="22"/>
                <w:szCs w:val="22"/>
              </w:rPr>
            </w:pPr>
            <w:r>
              <w:rPr>
                <w:rFonts w:cs="Arial"/>
                <w:sz w:val="22"/>
                <w:szCs w:val="22"/>
              </w:rPr>
              <w:t xml:space="preserve">A standard score indicates Rauri’s abilities relative to those of typically developing children of the same age in the normative sample. </w:t>
            </w:r>
          </w:p>
        </w:tc>
      </w:tr>
      <w:tr w:rsidR="00026A13" w14:paraId="7652D60B" w14:textId="77777777" w:rsidTr="00026A13">
        <w:tc>
          <w:tcPr>
            <w:tcW w:w="3539" w:type="dxa"/>
            <w:tcBorders>
              <w:top w:val="single" w:sz="4" w:space="0" w:color="auto"/>
              <w:left w:val="single" w:sz="4" w:space="0" w:color="auto"/>
              <w:bottom w:val="single" w:sz="4" w:space="0" w:color="auto"/>
              <w:right w:val="single" w:sz="4" w:space="0" w:color="auto"/>
            </w:tcBorders>
            <w:hideMark/>
          </w:tcPr>
          <w:p w14:paraId="788F2560" w14:textId="77777777" w:rsidR="00026A13" w:rsidRDefault="00026A13">
            <w:pPr>
              <w:spacing w:before="2" w:after="2"/>
              <w:rPr>
                <w:rFonts w:cs="Arial"/>
                <w:sz w:val="22"/>
                <w:szCs w:val="22"/>
              </w:rPr>
            </w:pPr>
            <w:r>
              <w:rPr>
                <w:rFonts w:cs="Arial"/>
                <w:sz w:val="22"/>
                <w:szCs w:val="22"/>
              </w:rPr>
              <w:t>Confidence Interval</w:t>
            </w:r>
          </w:p>
        </w:tc>
        <w:tc>
          <w:tcPr>
            <w:tcW w:w="5477" w:type="dxa"/>
            <w:tcBorders>
              <w:top w:val="single" w:sz="4" w:space="0" w:color="auto"/>
              <w:left w:val="single" w:sz="4" w:space="0" w:color="auto"/>
              <w:bottom w:val="single" w:sz="4" w:space="0" w:color="auto"/>
              <w:right w:val="single" w:sz="4" w:space="0" w:color="auto"/>
            </w:tcBorders>
            <w:hideMark/>
          </w:tcPr>
          <w:p w14:paraId="2699D37B" w14:textId="77777777" w:rsidR="00026A13" w:rsidRDefault="00026A13">
            <w:pPr>
              <w:spacing w:before="2" w:after="2"/>
              <w:rPr>
                <w:rFonts w:cs="Arial"/>
                <w:sz w:val="22"/>
                <w:szCs w:val="22"/>
              </w:rPr>
            </w:pPr>
            <w:r>
              <w:rPr>
                <w:rFonts w:cs="Arial"/>
                <w:iCs/>
                <w:sz w:val="22"/>
                <w:szCs w:val="22"/>
              </w:rPr>
              <w:t>Confidence Intervals indicate that if Rauri were to be tested 100 times, 95 of those times his   score would fall between these ranges.</w:t>
            </w:r>
          </w:p>
        </w:tc>
      </w:tr>
      <w:tr w:rsidR="00026A13" w14:paraId="4309D405" w14:textId="77777777" w:rsidTr="00026A13">
        <w:tc>
          <w:tcPr>
            <w:tcW w:w="3539" w:type="dxa"/>
            <w:tcBorders>
              <w:top w:val="single" w:sz="4" w:space="0" w:color="auto"/>
              <w:left w:val="single" w:sz="4" w:space="0" w:color="auto"/>
              <w:bottom w:val="single" w:sz="4" w:space="0" w:color="auto"/>
              <w:right w:val="single" w:sz="4" w:space="0" w:color="auto"/>
            </w:tcBorders>
            <w:hideMark/>
          </w:tcPr>
          <w:p w14:paraId="62EA6552" w14:textId="77777777" w:rsidR="00026A13" w:rsidRDefault="00026A13">
            <w:pPr>
              <w:spacing w:before="2" w:after="2"/>
              <w:rPr>
                <w:rFonts w:cs="Arial"/>
                <w:sz w:val="22"/>
                <w:szCs w:val="22"/>
              </w:rPr>
            </w:pPr>
            <w:r>
              <w:rPr>
                <w:rFonts w:cs="Arial"/>
                <w:sz w:val="22"/>
                <w:szCs w:val="22"/>
              </w:rPr>
              <w:t>Percentile Rank</w:t>
            </w:r>
          </w:p>
        </w:tc>
        <w:tc>
          <w:tcPr>
            <w:tcW w:w="5477" w:type="dxa"/>
            <w:tcBorders>
              <w:top w:val="single" w:sz="4" w:space="0" w:color="auto"/>
              <w:left w:val="single" w:sz="4" w:space="0" w:color="auto"/>
              <w:bottom w:val="single" w:sz="4" w:space="0" w:color="auto"/>
              <w:right w:val="single" w:sz="4" w:space="0" w:color="auto"/>
            </w:tcBorders>
            <w:hideMark/>
          </w:tcPr>
          <w:p w14:paraId="553DE868" w14:textId="77777777" w:rsidR="00026A13" w:rsidRDefault="00026A13">
            <w:pPr>
              <w:spacing w:before="2" w:after="2"/>
              <w:rPr>
                <w:rFonts w:cs="Arial"/>
                <w:sz w:val="22"/>
                <w:szCs w:val="22"/>
              </w:rPr>
            </w:pPr>
            <w:r>
              <w:rPr>
                <w:rFonts w:cs="Arial"/>
                <w:iCs/>
                <w:kern w:val="28"/>
                <w:sz w:val="22"/>
                <w:szCs w:val="22"/>
              </w:rPr>
              <w:t xml:space="preserve">Percentiles indicate </w:t>
            </w:r>
            <w:r>
              <w:rPr>
                <w:rFonts w:cs="Arial"/>
                <w:iCs/>
                <w:sz w:val="22"/>
                <w:szCs w:val="22"/>
              </w:rPr>
              <w:t>the percentage of children of Rauri age who are expected to score the same as or lower than him on the Scale.</w:t>
            </w:r>
          </w:p>
        </w:tc>
      </w:tr>
      <w:tr w:rsidR="00026A13" w14:paraId="6AD9C68D" w14:textId="77777777" w:rsidTr="00026A13">
        <w:tc>
          <w:tcPr>
            <w:tcW w:w="3539" w:type="dxa"/>
            <w:tcBorders>
              <w:top w:val="single" w:sz="4" w:space="0" w:color="auto"/>
              <w:left w:val="single" w:sz="4" w:space="0" w:color="auto"/>
              <w:bottom w:val="single" w:sz="4" w:space="0" w:color="auto"/>
              <w:right w:val="single" w:sz="4" w:space="0" w:color="auto"/>
            </w:tcBorders>
            <w:hideMark/>
          </w:tcPr>
          <w:p w14:paraId="6B178F6B" w14:textId="77777777" w:rsidR="00026A13" w:rsidRDefault="00026A13">
            <w:pPr>
              <w:spacing w:before="2" w:after="2"/>
              <w:rPr>
                <w:rFonts w:cs="Arial"/>
                <w:sz w:val="22"/>
                <w:szCs w:val="22"/>
              </w:rPr>
            </w:pPr>
            <w:r>
              <w:rPr>
                <w:rFonts w:cs="Arial"/>
                <w:sz w:val="22"/>
                <w:szCs w:val="22"/>
              </w:rPr>
              <w:t>Age Equivalent</w:t>
            </w:r>
          </w:p>
        </w:tc>
        <w:tc>
          <w:tcPr>
            <w:tcW w:w="5477" w:type="dxa"/>
            <w:tcBorders>
              <w:top w:val="single" w:sz="4" w:space="0" w:color="auto"/>
              <w:left w:val="single" w:sz="4" w:space="0" w:color="auto"/>
              <w:bottom w:val="single" w:sz="4" w:space="0" w:color="auto"/>
              <w:right w:val="single" w:sz="4" w:space="0" w:color="auto"/>
            </w:tcBorders>
            <w:hideMark/>
          </w:tcPr>
          <w:p w14:paraId="01E5E047" w14:textId="77777777" w:rsidR="00026A13" w:rsidRDefault="00026A13">
            <w:pPr>
              <w:spacing w:before="2" w:after="2"/>
              <w:rPr>
                <w:rFonts w:cs="Arial"/>
                <w:sz w:val="22"/>
                <w:szCs w:val="22"/>
              </w:rPr>
            </w:pPr>
            <w:r>
              <w:rPr>
                <w:rFonts w:cs="Arial"/>
                <w:sz w:val="22"/>
                <w:szCs w:val="22"/>
              </w:rPr>
              <w:t>Age equivalent scores represent the age at which a given score is the mean or average in the standardisation sample. It is important that age equivalent scores are not interpreted as Rauri showing the skills of the age equivalent but rather as his   showing the skills that are typical of a child that age.</w:t>
            </w:r>
          </w:p>
        </w:tc>
      </w:tr>
      <w:tr w:rsidR="00026A13" w14:paraId="71BFF97A" w14:textId="77777777" w:rsidTr="00026A13">
        <w:tc>
          <w:tcPr>
            <w:tcW w:w="3539" w:type="dxa"/>
            <w:tcBorders>
              <w:top w:val="single" w:sz="4" w:space="0" w:color="auto"/>
              <w:left w:val="single" w:sz="4" w:space="0" w:color="auto"/>
              <w:bottom w:val="single" w:sz="4" w:space="0" w:color="auto"/>
              <w:right w:val="single" w:sz="4" w:space="0" w:color="auto"/>
            </w:tcBorders>
            <w:hideMark/>
          </w:tcPr>
          <w:p w14:paraId="3FA3095C" w14:textId="77777777" w:rsidR="00026A13" w:rsidRDefault="00026A13">
            <w:pPr>
              <w:spacing w:before="2" w:after="2"/>
              <w:rPr>
                <w:rFonts w:cs="Arial"/>
                <w:sz w:val="22"/>
                <w:szCs w:val="22"/>
              </w:rPr>
            </w:pPr>
            <w:r>
              <w:rPr>
                <w:rFonts w:cs="Arial"/>
                <w:sz w:val="22"/>
                <w:szCs w:val="22"/>
              </w:rPr>
              <w:t>Growth Score</w:t>
            </w:r>
          </w:p>
        </w:tc>
        <w:tc>
          <w:tcPr>
            <w:tcW w:w="5477" w:type="dxa"/>
            <w:tcBorders>
              <w:top w:val="single" w:sz="4" w:space="0" w:color="auto"/>
              <w:left w:val="single" w:sz="4" w:space="0" w:color="auto"/>
              <w:bottom w:val="single" w:sz="4" w:space="0" w:color="auto"/>
              <w:right w:val="single" w:sz="4" w:space="0" w:color="auto"/>
            </w:tcBorders>
            <w:hideMark/>
          </w:tcPr>
          <w:p w14:paraId="6CAADBD2" w14:textId="77777777" w:rsidR="00026A13" w:rsidRDefault="00026A13">
            <w:pPr>
              <w:spacing w:before="2" w:after="2"/>
              <w:rPr>
                <w:rFonts w:cs="Arial"/>
                <w:sz w:val="22"/>
                <w:szCs w:val="22"/>
              </w:rPr>
            </w:pPr>
            <w:r>
              <w:rPr>
                <w:rFonts w:cs="Arial"/>
                <w:sz w:val="22"/>
                <w:szCs w:val="22"/>
              </w:rPr>
              <w:t xml:space="preserve">A growth score is based on a uniform scale of ability that is independent of a child’s ability. The growth </w:t>
            </w:r>
            <w:r>
              <w:rPr>
                <w:rFonts w:cs="Arial"/>
                <w:sz w:val="22"/>
                <w:szCs w:val="22"/>
              </w:rPr>
              <w:lastRenderedPageBreak/>
              <w:t>score depends solely on Rauri’s performance without reference to an outside reference group</w:t>
            </w:r>
          </w:p>
        </w:tc>
      </w:tr>
      <w:tr w:rsidR="00026A13" w14:paraId="40E61B17" w14:textId="77777777" w:rsidTr="00026A13">
        <w:tc>
          <w:tcPr>
            <w:tcW w:w="3539" w:type="dxa"/>
            <w:tcBorders>
              <w:top w:val="single" w:sz="4" w:space="0" w:color="auto"/>
              <w:left w:val="single" w:sz="4" w:space="0" w:color="auto"/>
              <w:bottom w:val="single" w:sz="4" w:space="0" w:color="auto"/>
              <w:right w:val="single" w:sz="4" w:space="0" w:color="auto"/>
            </w:tcBorders>
            <w:hideMark/>
          </w:tcPr>
          <w:p w14:paraId="6CD2B6A0" w14:textId="77777777" w:rsidR="00026A13" w:rsidRDefault="00026A13">
            <w:pPr>
              <w:spacing w:before="2" w:after="2"/>
              <w:rPr>
                <w:rFonts w:cs="Arial"/>
                <w:sz w:val="22"/>
                <w:szCs w:val="22"/>
              </w:rPr>
            </w:pPr>
            <w:r>
              <w:rPr>
                <w:rFonts w:cs="Arial"/>
                <w:sz w:val="22"/>
                <w:szCs w:val="22"/>
              </w:rPr>
              <w:lastRenderedPageBreak/>
              <w:t>General Development Score</w:t>
            </w:r>
          </w:p>
        </w:tc>
        <w:tc>
          <w:tcPr>
            <w:tcW w:w="5477" w:type="dxa"/>
            <w:tcBorders>
              <w:top w:val="single" w:sz="4" w:space="0" w:color="auto"/>
              <w:left w:val="single" w:sz="4" w:space="0" w:color="auto"/>
              <w:bottom w:val="single" w:sz="4" w:space="0" w:color="auto"/>
              <w:right w:val="single" w:sz="4" w:space="0" w:color="auto"/>
            </w:tcBorders>
            <w:hideMark/>
          </w:tcPr>
          <w:p w14:paraId="6AB51B52" w14:textId="77777777" w:rsidR="00026A13" w:rsidRDefault="00026A13">
            <w:pPr>
              <w:spacing w:before="2" w:after="2"/>
              <w:rPr>
                <w:rFonts w:cs="Arial"/>
                <w:sz w:val="22"/>
                <w:szCs w:val="22"/>
              </w:rPr>
            </w:pPr>
            <w:r>
              <w:rPr>
                <w:rFonts w:cs="Arial"/>
                <w:sz w:val="22"/>
                <w:szCs w:val="22"/>
              </w:rPr>
              <w:t>The General Development Score represents an overall summary of Rauri’s development</w:t>
            </w:r>
          </w:p>
        </w:tc>
      </w:tr>
    </w:tbl>
    <w:p w14:paraId="56AA1653" w14:textId="77777777" w:rsidR="00026A13" w:rsidRDefault="00026A13" w:rsidP="00026A13">
      <w:pPr>
        <w:spacing w:before="2" w:after="2"/>
        <w:rPr>
          <w:rFonts w:cs="Arial"/>
          <w:b/>
          <w:bCs/>
          <w:sz w:val="22"/>
          <w:szCs w:val="22"/>
        </w:rPr>
      </w:pPr>
    </w:p>
    <w:p w14:paraId="5627473E" w14:textId="77777777" w:rsidR="00026A13" w:rsidRDefault="00026A13" w:rsidP="00026A13">
      <w:pPr>
        <w:spacing w:before="2" w:after="2"/>
        <w:rPr>
          <w:rFonts w:cs="Arial"/>
          <w:b/>
          <w:bCs/>
          <w:sz w:val="22"/>
          <w:szCs w:val="22"/>
        </w:rPr>
      </w:pPr>
      <w:r>
        <w:rPr>
          <w:rFonts w:cs="Arial"/>
          <w:b/>
          <w:bCs/>
          <w:sz w:val="22"/>
          <w:szCs w:val="22"/>
        </w:rPr>
        <w:t>Table 1.3: Descriptive Ranges for Developmental Profile -4</w:t>
      </w:r>
    </w:p>
    <w:tbl>
      <w:tblPr>
        <w:tblStyle w:val="TableGrid"/>
        <w:tblW w:w="0" w:type="auto"/>
        <w:tblInd w:w="0" w:type="dxa"/>
        <w:tblLook w:val="04A0" w:firstRow="1" w:lastRow="0" w:firstColumn="1" w:lastColumn="0" w:noHBand="0" w:noVBand="1"/>
      </w:tblPr>
      <w:tblGrid>
        <w:gridCol w:w="4511"/>
        <w:gridCol w:w="4505"/>
      </w:tblGrid>
      <w:tr w:rsidR="00026A13" w14:paraId="528EF188" w14:textId="77777777" w:rsidTr="00026A13">
        <w:tc>
          <w:tcPr>
            <w:tcW w:w="4621" w:type="dxa"/>
            <w:tcBorders>
              <w:top w:val="single" w:sz="4" w:space="0" w:color="auto"/>
              <w:left w:val="single" w:sz="4" w:space="0" w:color="auto"/>
              <w:bottom w:val="single" w:sz="4" w:space="0" w:color="auto"/>
              <w:right w:val="single" w:sz="4" w:space="0" w:color="auto"/>
            </w:tcBorders>
            <w:hideMark/>
          </w:tcPr>
          <w:p w14:paraId="3BE4EE3D" w14:textId="77777777" w:rsidR="00026A13" w:rsidRDefault="00026A13">
            <w:pPr>
              <w:spacing w:before="2" w:after="2"/>
              <w:rPr>
                <w:rFonts w:cs="Arial"/>
                <w:sz w:val="22"/>
                <w:szCs w:val="22"/>
              </w:rPr>
            </w:pPr>
            <w:r>
              <w:rPr>
                <w:rFonts w:cs="Arial"/>
                <w:sz w:val="22"/>
                <w:szCs w:val="22"/>
              </w:rPr>
              <w:t>Description</w:t>
            </w:r>
          </w:p>
        </w:tc>
        <w:tc>
          <w:tcPr>
            <w:tcW w:w="4621" w:type="dxa"/>
            <w:tcBorders>
              <w:top w:val="single" w:sz="4" w:space="0" w:color="auto"/>
              <w:left w:val="single" w:sz="4" w:space="0" w:color="auto"/>
              <w:bottom w:val="single" w:sz="4" w:space="0" w:color="auto"/>
              <w:right w:val="single" w:sz="4" w:space="0" w:color="auto"/>
            </w:tcBorders>
            <w:hideMark/>
          </w:tcPr>
          <w:p w14:paraId="58947665" w14:textId="77777777" w:rsidR="00026A13" w:rsidRDefault="00026A13">
            <w:pPr>
              <w:spacing w:before="2" w:after="2"/>
              <w:rPr>
                <w:rFonts w:cs="Arial"/>
                <w:sz w:val="22"/>
                <w:szCs w:val="22"/>
              </w:rPr>
            </w:pPr>
            <w:r>
              <w:rPr>
                <w:rFonts w:cs="Arial"/>
                <w:sz w:val="22"/>
                <w:szCs w:val="22"/>
              </w:rPr>
              <w:t>Standard Score Range</w:t>
            </w:r>
          </w:p>
        </w:tc>
      </w:tr>
      <w:tr w:rsidR="00026A13" w14:paraId="004DEE83" w14:textId="77777777" w:rsidTr="00026A13">
        <w:tc>
          <w:tcPr>
            <w:tcW w:w="4621" w:type="dxa"/>
            <w:tcBorders>
              <w:top w:val="single" w:sz="4" w:space="0" w:color="auto"/>
              <w:left w:val="single" w:sz="4" w:space="0" w:color="auto"/>
              <w:bottom w:val="single" w:sz="4" w:space="0" w:color="auto"/>
              <w:right w:val="single" w:sz="4" w:space="0" w:color="auto"/>
            </w:tcBorders>
            <w:hideMark/>
          </w:tcPr>
          <w:p w14:paraId="50D4DD60" w14:textId="77777777" w:rsidR="00026A13" w:rsidRDefault="00026A13">
            <w:pPr>
              <w:spacing w:before="2" w:after="2"/>
              <w:rPr>
                <w:rFonts w:cs="Arial"/>
                <w:sz w:val="22"/>
                <w:szCs w:val="22"/>
              </w:rPr>
            </w:pPr>
            <w:r>
              <w:rPr>
                <w:rFonts w:cs="Arial"/>
                <w:sz w:val="22"/>
                <w:szCs w:val="22"/>
              </w:rPr>
              <w:t>Well Above Average</w:t>
            </w:r>
          </w:p>
        </w:tc>
        <w:tc>
          <w:tcPr>
            <w:tcW w:w="4621" w:type="dxa"/>
            <w:tcBorders>
              <w:top w:val="single" w:sz="4" w:space="0" w:color="auto"/>
              <w:left w:val="single" w:sz="4" w:space="0" w:color="auto"/>
              <w:bottom w:val="single" w:sz="4" w:space="0" w:color="auto"/>
              <w:right w:val="single" w:sz="4" w:space="0" w:color="auto"/>
            </w:tcBorders>
            <w:hideMark/>
          </w:tcPr>
          <w:p w14:paraId="113D8618" w14:textId="77777777" w:rsidR="00026A13" w:rsidRDefault="00026A13">
            <w:pPr>
              <w:spacing w:before="2" w:after="2"/>
              <w:rPr>
                <w:rFonts w:cs="Arial"/>
                <w:sz w:val="22"/>
                <w:szCs w:val="22"/>
              </w:rPr>
            </w:pPr>
            <w:r>
              <w:rPr>
                <w:rFonts w:cs="Arial"/>
                <w:sz w:val="22"/>
                <w:szCs w:val="22"/>
              </w:rPr>
              <w:t>&gt;130</w:t>
            </w:r>
          </w:p>
        </w:tc>
      </w:tr>
      <w:tr w:rsidR="00026A13" w14:paraId="4FDF5D55" w14:textId="77777777" w:rsidTr="00026A13">
        <w:tc>
          <w:tcPr>
            <w:tcW w:w="4621" w:type="dxa"/>
            <w:tcBorders>
              <w:top w:val="single" w:sz="4" w:space="0" w:color="auto"/>
              <w:left w:val="single" w:sz="4" w:space="0" w:color="auto"/>
              <w:bottom w:val="single" w:sz="4" w:space="0" w:color="auto"/>
              <w:right w:val="single" w:sz="4" w:space="0" w:color="auto"/>
            </w:tcBorders>
            <w:hideMark/>
          </w:tcPr>
          <w:p w14:paraId="48C3B603" w14:textId="77777777" w:rsidR="00026A13" w:rsidRDefault="00026A13">
            <w:pPr>
              <w:spacing w:before="2" w:after="2"/>
              <w:rPr>
                <w:rFonts w:cs="Arial"/>
                <w:sz w:val="22"/>
                <w:szCs w:val="22"/>
              </w:rPr>
            </w:pPr>
            <w:r>
              <w:rPr>
                <w:rFonts w:cs="Arial"/>
                <w:sz w:val="22"/>
                <w:szCs w:val="22"/>
              </w:rPr>
              <w:t>Above Average</w:t>
            </w:r>
          </w:p>
        </w:tc>
        <w:tc>
          <w:tcPr>
            <w:tcW w:w="4621" w:type="dxa"/>
            <w:tcBorders>
              <w:top w:val="single" w:sz="4" w:space="0" w:color="auto"/>
              <w:left w:val="single" w:sz="4" w:space="0" w:color="auto"/>
              <w:bottom w:val="single" w:sz="4" w:space="0" w:color="auto"/>
              <w:right w:val="single" w:sz="4" w:space="0" w:color="auto"/>
            </w:tcBorders>
            <w:hideMark/>
          </w:tcPr>
          <w:p w14:paraId="172A6131" w14:textId="77777777" w:rsidR="00026A13" w:rsidRDefault="00026A13">
            <w:pPr>
              <w:spacing w:before="2" w:after="2"/>
              <w:rPr>
                <w:rFonts w:cs="Arial"/>
                <w:sz w:val="22"/>
                <w:szCs w:val="22"/>
              </w:rPr>
            </w:pPr>
            <w:r>
              <w:rPr>
                <w:rFonts w:cs="Arial"/>
                <w:sz w:val="22"/>
                <w:szCs w:val="22"/>
              </w:rPr>
              <w:t>116-130</w:t>
            </w:r>
          </w:p>
        </w:tc>
      </w:tr>
      <w:tr w:rsidR="00026A13" w14:paraId="5B4A25F6" w14:textId="77777777" w:rsidTr="00026A13">
        <w:tc>
          <w:tcPr>
            <w:tcW w:w="4621" w:type="dxa"/>
            <w:tcBorders>
              <w:top w:val="single" w:sz="4" w:space="0" w:color="auto"/>
              <w:left w:val="single" w:sz="4" w:space="0" w:color="auto"/>
              <w:bottom w:val="single" w:sz="4" w:space="0" w:color="auto"/>
              <w:right w:val="single" w:sz="4" w:space="0" w:color="auto"/>
            </w:tcBorders>
            <w:hideMark/>
          </w:tcPr>
          <w:p w14:paraId="470C5920" w14:textId="77777777" w:rsidR="00026A13" w:rsidRDefault="00026A13">
            <w:pPr>
              <w:spacing w:before="2" w:after="2"/>
              <w:rPr>
                <w:rFonts w:cs="Arial"/>
                <w:sz w:val="22"/>
                <w:szCs w:val="22"/>
              </w:rPr>
            </w:pPr>
            <w:r>
              <w:rPr>
                <w:rFonts w:cs="Arial"/>
                <w:sz w:val="22"/>
                <w:szCs w:val="22"/>
              </w:rPr>
              <w:t>Average</w:t>
            </w:r>
          </w:p>
        </w:tc>
        <w:tc>
          <w:tcPr>
            <w:tcW w:w="4621" w:type="dxa"/>
            <w:tcBorders>
              <w:top w:val="single" w:sz="4" w:space="0" w:color="auto"/>
              <w:left w:val="single" w:sz="4" w:space="0" w:color="auto"/>
              <w:bottom w:val="single" w:sz="4" w:space="0" w:color="auto"/>
              <w:right w:val="single" w:sz="4" w:space="0" w:color="auto"/>
            </w:tcBorders>
            <w:hideMark/>
          </w:tcPr>
          <w:p w14:paraId="3FC3F2E6" w14:textId="77777777" w:rsidR="00026A13" w:rsidRDefault="00026A13">
            <w:pPr>
              <w:spacing w:before="2" w:after="2"/>
              <w:rPr>
                <w:rFonts w:cs="Arial"/>
                <w:sz w:val="22"/>
                <w:szCs w:val="22"/>
              </w:rPr>
            </w:pPr>
            <w:r>
              <w:rPr>
                <w:rFonts w:cs="Arial"/>
                <w:sz w:val="22"/>
                <w:szCs w:val="22"/>
              </w:rPr>
              <w:t>85-115</w:t>
            </w:r>
          </w:p>
        </w:tc>
      </w:tr>
      <w:tr w:rsidR="00026A13" w14:paraId="1E04B296" w14:textId="77777777" w:rsidTr="00026A13">
        <w:tc>
          <w:tcPr>
            <w:tcW w:w="4621" w:type="dxa"/>
            <w:tcBorders>
              <w:top w:val="single" w:sz="4" w:space="0" w:color="auto"/>
              <w:left w:val="single" w:sz="4" w:space="0" w:color="auto"/>
              <w:bottom w:val="single" w:sz="4" w:space="0" w:color="auto"/>
              <w:right w:val="single" w:sz="4" w:space="0" w:color="auto"/>
            </w:tcBorders>
            <w:hideMark/>
          </w:tcPr>
          <w:p w14:paraId="469F485A" w14:textId="77777777" w:rsidR="00026A13" w:rsidRDefault="00026A13">
            <w:pPr>
              <w:spacing w:before="2" w:after="2"/>
              <w:rPr>
                <w:rFonts w:cs="Arial"/>
                <w:sz w:val="22"/>
                <w:szCs w:val="22"/>
              </w:rPr>
            </w:pPr>
            <w:r>
              <w:rPr>
                <w:rFonts w:cs="Arial"/>
                <w:sz w:val="22"/>
                <w:szCs w:val="22"/>
              </w:rPr>
              <w:t>Below Average</w:t>
            </w:r>
          </w:p>
        </w:tc>
        <w:tc>
          <w:tcPr>
            <w:tcW w:w="4621" w:type="dxa"/>
            <w:tcBorders>
              <w:top w:val="single" w:sz="4" w:space="0" w:color="auto"/>
              <w:left w:val="single" w:sz="4" w:space="0" w:color="auto"/>
              <w:bottom w:val="single" w:sz="4" w:space="0" w:color="auto"/>
              <w:right w:val="single" w:sz="4" w:space="0" w:color="auto"/>
            </w:tcBorders>
            <w:hideMark/>
          </w:tcPr>
          <w:p w14:paraId="67A77371" w14:textId="77777777" w:rsidR="00026A13" w:rsidRDefault="00026A13">
            <w:pPr>
              <w:spacing w:before="2" w:after="2"/>
              <w:rPr>
                <w:rFonts w:cs="Arial"/>
                <w:sz w:val="22"/>
                <w:szCs w:val="22"/>
              </w:rPr>
            </w:pPr>
            <w:r>
              <w:rPr>
                <w:rFonts w:cs="Arial"/>
                <w:sz w:val="22"/>
                <w:szCs w:val="22"/>
              </w:rPr>
              <w:t>70-84</w:t>
            </w:r>
          </w:p>
        </w:tc>
      </w:tr>
      <w:tr w:rsidR="00026A13" w14:paraId="3C9F38EF" w14:textId="77777777" w:rsidTr="00026A13">
        <w:tc>
          <w:tcPr>
            <w:tcW w:w="4621" w:type="dxa"/>
            <w:tcBorders>
              <w:top w:val="single" w:sz="4" w:space="0" w:color="auto"/>
              <w:left w:val="single" w:sz="4" w:space="0" w:color="auto"/>
              <w:bottom w:val="single" w:sz="4" w:space="0" w:color="auto"/>
              <w:right w:val="single" w:sz="4" w:space="0" w:color="auto"/>
            </w:tcBorders>
            <w:hideMark/>
          </w:tcPr>
          <w:p w14:paraId="3543D3A0" w14:textId="77777777" w:rsidR="00026A13" w:rsidRDefault="00026A13">
            <w:pPr>
              <w:spacing w:before="2" w:after="2"/>
              <w:rPr>
                <w:rFonts w:cs="Arial"/>
                <w:sz w:val="22"/>
                <w:szCs w:val="22"/>
              </w:rPr>
            </w:pPr>
            <w:r>
              <w:rPr>
                <w:rFonts w:cs="Arial"/>
                <w:sz w:val="22"/>
                <w:szCs w:val="22"/>
              </w:rPr>
              <w:t>Delayed</w:t>
            </w:r>
          </w:p>
        </w:tc>
        <w:tc>
          <w:tcPr>
            <w:tcW w:w="4621" w:type="dxa"/>
            <w:tcBorders>
              <w:top w:val="single" w:sz="4" w:space="0" w:color="auto"/>
              <w:left w:val="single" w:sz="4" w:space="0" w:color="auto"/>
              <w:bottom w:val="single" w:sz="4" w:space="0" w:color="auto"/>
              <w:right w:val="single" w:sz="4" w:space="0" w:color="auto"/>
            </w:tcBorders>
            <w:hideMark/>
          </w:tcPr>
          <w:p w14:paraId="061A5E45" w14:textId="77777777" w:rsidR="00026A13" w:rsidRDefault="00026A13">
            <w:pPr>
              <w:spacing w:before="2" w:after="2"/>
              <w:rPr>
                <w:rFonts w:cs="Arial"/>
                <w:sz w:val="22"/>
                <w:szCs w:val="22"/>
              </w:rPr>
            </w:pPr>
            <w:r>
              <w:rPr>
                <w:rFonts w:cs="Arial"/>
                <w:sz w:val="22"/>
                <w:szCs w:val="22"/>
              </w:rPr>
              <w:t>&lt;70</w:t>
            </w:r>
          </w:p>
        </w:tc>
      </w:tr>
    </w:tbl>
    <w:p w14:paraId="435807AF" w14:textId="77777777" w:rsidR="00026A13" w:rsidRDefault="00026A13" w:rsidP="00026A13">
      <w:pPr>
        <w:spacing w:after="200"/>
        <w:rPr>
          <w:rFonts w:cs="Arial"/>
          <w:b/>
          <w:bCs/>
          <w:i/>
          <w:iCs/>
          <w:szCs w:val="24"/>
        </w:rPr>
      </w:pPr>
    </w:p>
    <w:p w14:paraId="18DC1039" w14:textId="77777777" w:rsidR="00026A13" w:rsidRDefault="00026A13"/>
    <w:sectPr w:rsidR="00026A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13"/>
    <w:rsid w:val="00026A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4E75F"/>
  <w15:chartTrackingRefBased/>
  <w15:docId w15:val="{318BA65B-83DF-4FBC-8D28-B1AAE077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A13"/>
    <w:pPr>
      <w:spacing w:after="0" w:line="240" w:lineRule="auto"/>
    </w:pPr>
    <w:rPr>
      <w:rFonts w:ascii="Arial" w:eastAsiaTheme="minorEastAsia" w:hAnsi="Arial" w:cs="Times New Roman"/>
      <w:kern w:val="0"/>
      <w:sz w:val="24"/>
      <w:szCs w:val="2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6A13"/>
    <w:pPr>
      <w:spacing w:after="0" w:line="240" w:lineRule="auto"/>
    </w:pPr>
    <w:rPr>
      <w:rFonts w:ascii="Times New Roman" w:eastAsiaTheme="minorEastAsia" w:hAnsi="Times New Roman" w:cs="Times New Roman"/>
      <w:kern w:val="0"/>
      <w:sz w:val="20"/>
      <w:szCs w:val="20"/>
      <w:lang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45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2799</Characters>
  <Application>Microsoft Office Word</Application>
  <DocSecurity>0</DocSecurity>
  <Lines>23</Lines>
  <Paragraphs>6</Paragraphs>
  <ScaleCrop>false</ScaleCrop>
  <Company>Hertfordshire County Council</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Naina Cowell</dc:creator>
  <cp:keywords/>
  <dc:description/>
  <cp:lastModifiedBy>Naina Cowell</cp:lastModifiedBy>
  <cp:revision>1</cp:revision>
  <dcterms:created xsi:type="dcterms:W3CDTF">2024-06-21T14:18:00Z</dcterms:created>
  <dcterms:modified xsi:type="dcterms:W3CDTF">2024-06-21T14:19:00Z</dcterms:modified>
</cp:coreProperties>
</file>