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66F5" w:rsidRPr="002D7FB6" w:rsidRDefault="00451380">
      <w:pPr>
        <w:rPr>
          <w:b/>
          <w:sz w:val="28"/>
          <w:szCs w:val="28"/>
          <w:u w:val="single"/>
        </w:rPr>
      </w:pPr>
      <w:r w:rsidRPr="002D7FB6">
        <w:rPr>
          <w:b/>
          <w:sz w:val="28"/>
          <w:szCs w:val="28"/>
          <w:u w:val="single"/>
        </w:rPr>
        <w:t>Sense of school community scale</w:t>
      </w:r>
      <w:r w:rsidR="000766F5" w:rsidRPr="002D7FB6">
        <w:rPr>
          <w:b/>
          <w:sz w:val="28"/>
          <w:szCs w:val="28"/>
          <w:u w:val="single"/>
        </w:rPr>
        <w:t xml:space="preserve"> –</w:t>
      </w:r>
      <w:r w:rsidR="00B974DC" w:rsidRPr="002D7FB6">
        <w:rPr>
          <w:b/>
          <w:sz w:val="28"/>
          <w:szCs w:val="28"/>
          <w:u w:val="single"/>
        </w:rPr>
        <w:t xml:space="preserve"> </w:t>
      </w:r>
      <w:r w:rsidR="001F3A94" w:rsidRPr="002D7FB6">
        <w:rPr>
          <w:b/>
          <w:sz w:val="28"/>
          <w:szCs w:val="28"/>
          <w:u w:val="single"/>
        </w:rPr>
        <w:t>secondary</w:t>
      </w:r>
    </w:p>
    <w:p w:rsidR="00B974DC" w:rsidRPr="00F54F44" w:rsidRDefault="00B974DC" w:rsidP="00F54F44">
      <w:pPr>
        <w:pStyle w:val="ListParagraph"/>
        <w:numPr>
          <w:ilvl w:val="0"/>
          <w:numId w:val="5"/>
        </w:numPr>
        <w:rPr>
          <w:b/>
        </w:rPr>
      </w:pPr>
      <w:r w:rsidRPr="00F54F44">
        <w:rPr>
          <w:b/>
        </w:rPr>
        <w:t>This scale consists of 18 items organised into two subscales:</w:t>
      </w:r>
    </w:p>
    <w:p w:rsidR="00B974DC" w:rsidRDefault="00B974DC" w:rsidP="00B974DC">
      <w:pPr>
        <w:pStyle w:val="ListParagraph"/>
        <w:numPr>
          <w:ilvl w:val="0"/>
          <w:numId w:val="4"/>
        </w:numPr>
      </w:pPr>
      <w:r>
        <w:t>School supportiveness (items 1-9)</w:t>
      </w:r>
    </w:p>
    <w:p w:rsidR="00B974DC" w:rsidRDefault="00B974DC" w:rsidP="00F54F44">
      <w:pPr>
        <w:pStyle w:val="ListParagraph"/>
        <w:numPr>
          <w:ilvl w:val="0"/>
          <w:numId w:val="4"/>
        </w:numPr>
      </w:pPr>
      <w:r>
        <w:t>Pupil autonomy and influence (items 10 – 18)</w:t>
      </w:r>
    </w:p>
    <w:p w:rsidR="00F54F44" w:rsidRDefault="00F54F44" w:rsidP="00F54F44">
      <w:pPr>
        <w:pStyle w:val="ListParagraph"/>
      </w:pPr>
    </w:p>
    <w:p w:rsidR="00F54F44" w:rsidRDefault="00F54F44" w:rsidP="00F54F44">
      <w:pPr>
        <w:pStyle w:val="ListParagraph"/>
        <w:numPr>
          <w:ilvl w:val="0"/>
          <w:numId w:val="5"/>
        </w:numPr>
      </w:pPr>
      <w:r w:rsidRPr="00F54F44">
        <w:rPr>
          <w:b/>
        </w:rPr>
        <w:t>Scale items that were ‘reversed</w:t>
      </w:r>
      <w:r>
        <w:rPr>
          <w:b/>
        </w:rPr>
        <w:t>-scored</w:t>
      </w:r>
      <w:r w:rsidRPr="00F54F44">
        <w:rPr>
          <w:b/>
        </w:rPr>
        <w:t xml:space="preserve">’: </w:t>
      </w:r>
      <w:r>
        <w:t>2, 3, 6, 7, 8, 11, 15</w:t>
      </w:r>
    </w:p>
    <w:p w:rsidR="00F54F44" w:rsidRDefault="00F54F44" w:rsidP="00F54F44">
      <w:pPr>
        <w:pStyle w:val="ListParagraph"/>
      </w:pPr>
    </w:p>
    <w:p w:rsidR="00F54F44" w:rsidRPr="00F54F44" w:rsidRDefault="00F54F44" w:rsidP="00F54F44">
      <w:pPr>
        <w:jc w:val="center"/>
        <w:rPr>
          <w:b/>
          <w:u w:val="single"/>
        </w:rPr>
      </w:pPr>
      <w:r w:rsidRPr="00F54F44">
        <w:rPr>
          <w:b/>
          <w:u w:val="single"/>
        </w:rPr>
        <w:t>Scoring</w:t>
      </w:r>
    </w:p>
    <w:p w:rsidR="00B974DC" w:rsidRPr="00F54F44" w:rsidRDefault="00B974DC" w:rsidP="00F54F44">
      <w:pPr>
        <w:pStyle w:val="ListParagraph"/>
        <w:numPr>
          <w:ilvl w:val="0"/>
          <w:numId w:val="5"/>
        </w:numPr>
        <w:rPr>
          <w:b/>
        </w:rPr>
      </w:pPr>
      <w:r w:rsidRPr="00F54F44">
        <w:rPr>
          <w:b/>
        </w:rPr>
        <w:t>Table 1: Five point Likert scale for responding to scale items</w:t>
      </w:r>
    </w:p>
    <w:tbl>
      <w:tblPr>
        <w:tblStyle w:val="TableGrid"/>
        <w:tblW w:w="0" w:type="auto"/>
        <w:jc w:val="center"/>
        <w:tblLook w:val="04A0" w:firstRow="1" w:lastRow="0" w:firstColumn="1" w:lastColumn="0" w:noHBand="0" w:noVBand="1"/>
      </w:tblPr>
      <w:tblGrid>
        <w:gridCol w:w="1848"/>
        <w:gridCol w:w="1848"/>
        <w:gridCol w:w="1848"/>
        <w:gridCol w:w="1849"/>
        <w:gridCol w:w="1849"/>
      </w:tblGrid>
      <w:tr w:rsidR="001F3A94" w:rsidTr="001F3A94">
        <w:trPr>
          <w:jc w:val="center"/>
        </w:trPr>
        <w:tc>
          <w:tcPr>
            <w:tcW w:w="1848" w:type="dxa"/>
          </w:tcPr>
          <w:p w:rsidR="001F3A94" w:rsidRPr="001F3A94" w:rsidRDefault="001F3A94">
            <w:r w:rsidRPr="001F3A94">
              <w:t>Disagree a lot</w:t>
            </w:r>
          </w:p>
        </w:tc>
        <w:tc>
          <w:tcPr>
            <w:tcW w:w="1848" w:type="dxa"/>
          </w:tcPr>
          <w:p w:rsidR="001F3A94" w:rsidRPr="001F3A94" w:rsidRDefault="001F3A94">
            <w:r w:rsidRPr="001F3A94">
              <w:t>Disagree a little</w:t>
            </w:r>
          </w:p>
        </w:tc>
        <w:tc>
          <w:tcPr>
            <w:tcW w:w="1848" w:type="dxa"/>
          </w:tcPr>
          <w:p w:rsidR="001F3A94" w:rsidRPr="001F3A94" w:rsidRDefault="001F3A94">
            <w:r w:rsidRPr="001F3A94">
              <w:t>Neither agree or disagree</w:t>
            </w:r>
          </w:p>
        </w:tc>
        <w:tc>
          <w:tcPr>
            <w:tcW w:w="1849" w:type="dxa"/>
          </w:tcPr>
          <w:p w:rsidR="001F3A94" w:rsidRPr="001F3A94" w:rsidRDefault="001F3A94">
            <w:r w:rsidRPr="001F3A94">
              <w:t>Agree a little</w:t>
            </w:r>
          </w:p>
        </w:tc>
        <w:tc>
          <w:tcPr>
            <w:tcW w:w="1849" w:type="dxa"/>
          </w:tcPr>
          <w:p w:rsidR="001F3A94" w:rsidRPr="001F3A94" w:rsidRDefault="001F3A94">
            <w:r w:rsidRPr="001F3A94">
              <w:t>Agree a lot</w:t>
            </w:r>
          </w:p>
        </w:tc>
      </w:tr>
      <w:tr w:rsidR="001F3A94" w:rsidTr="001F3A94">
        <w:trPr>
          <w:jc w:val="center"/>
        </w:trPr>
        <w:tc>
          <w:tcPr>
            <w:tcW w:w="1848" w:type="dxa"/>
          </w:tcPr>
          <w:p w:rsidR="001F3A94" w:rsidRPr="001F3A94" w:rsidRDefault="001F3A94" w:rsidP="001F3A94">
            <w:pPr>
              <w:jc w:val="center"/>
            </w:pPr>
            <w:r w:rsidRPr="001F3A94">
              <w:t>1</w:t>
            </w:r>
          </w:p>
        </w:tc>
        <w:tc>
          <w:tcPr>
            <w:tcW w:w="1848" w:type="dxa"/>
          </w:tcPr>
          <w:p w:rsidR="001F3A94" w:rsidRPr="001F3A94" w:rsidRDefault="001F3A94" w:rsidP="001F3A94">
            <w:pPr>
              <w:jc w:val="center"/>
            </w:pPr>
            <w:r w:rsidRPr="001F3A94">
              <w:t>2</w:t>
            </w:r>
          </w:p>
        </w:tc>
        <w:tc>
          <w:tcPr>
            <w:tcW w:w="1848" w:type="dxa"/>
          </w:tcPr>
          <w:p w:rsidR="001F3A94" w:rsidRPr="001F3A94" w:rsidRDefault="001F3A94" w:rsidP="001F3A94">
            <w:pPr>
              <w:jc w:val="center"/>
            </w:pPr>
            <w:r w:rsidRPr="001F3A94">
              <w:t>3</w:t>
            </w:r>
          </w:p>
        </w:tc>
        <w:tc>
          <w:tcPr>
            <w:tcW w:w="1849" w:type="dxa"/>
          </w:tcPr>
          <w:p w:rsidR="001F3A94" w:rsidRPr="001F3A94" w:rsidRDefault="001F3A94" w:rsidP="001F3A94">
            <w:pPr>
              <w:jc w:val="center"/>
            </w:pPr>
            <w:r w:rsidRPr="001F3A94">
              <w:t>4</w:t>
            </w:r>
          </w:p>
        </w:tc>
        <w:tc>
          <w:tcPr>
            <w:tcW w:w="1849" w:type="dxa"/>
          </w:tcPr>
          <w:p w:rsidR="001F3A94" w:rsidRPr="001F3A94" w:rsidRDefault="001F3A94" w:rsidP="001F3A94">
            <w:pPr>
              <w:jc w:val="center"/>
            </w:pPr>
            <w:r w:rsidRPr="001F3A94">
              <w:t>5</w:t>
            </w:r>
          </w:p>
        </w:tc>
      </w:tr>
    </w:tbl>
    <w:p w:rsidR="001F3A94" w:rsidRDefault="001F3A94" w:rsidP="00F54F44">
      <w:pPr>
        <w:rPr>
          <w:b/>
          <w:u w:val="single"/>
        </w:rPr>
      </w:pPr>
    </w:p>
    <w:p w:rsidR="00F54F44" w:rsidRDefault="00F54F44" w:rsidP="00F54F44">
      <w:pPr>
        <w:pStyle w:val="ListParagraph"/>
        <w:numPr>
          <w:ilvl w:val="0"/>
          <w:numId w:val="5"/>
        </w:numPr>
      </w:pPr>
      <w:r w:rsidRPr="00F54F44">
        <w:rPr>
          <w:b/>
          <w:u w:val="single"/>
        </w:rPr>
        <w:t xml:space="preserve">Obtaining subscale </w:t>
      </w:r>
      <w:r>
        <w:rPr>
          <w:b/>
          <w:u w:val="single"/>
        </w:rPr>
        <w:t xml:space="preserve"> and full scale scores </w:t>
      </w:r>
      <w:proofErr w:type="spellStart"/>
      <w:r w:rsidRPr="00F54F44">
        <w:rPr>
          <w:b/>
          <w:u w:val="single"/>
        </w:rPr>
        <w:t>scores</w:t>
      </w:r>
      <w:proofErr w:type="spellEnd"/>
    </w:p>
    <w:p w:rsidR="00F54F44" w:rsidRDefault="00F54F44" w:rsidP="00F54F44">
      <w:pPr>
        <w:pStyle w:val="ListParagraph"/>
        <w:numPr>
          <w:ilvl w:val="0"/>
          <w:numId w:val="6"/>
        </w:numPr>
      </w:pPr>
      <w:r>
        <w:t xml:space="preserve">Item scores for each subscale are averaged to get a subscale score. </w:t>
      </w:r>
    </w:p>
    <w:p w:rsidR="00F54F44" w:rsidRDefault="00356EEF" w:rsidP="00F54F44">
      <w:pPr>
        <w:pStyle w:val="ListParagraph"/>
        <w:numPr>
          <w:ilvl w:val="0"/>
          <w:numId w:val="6"/>
        </w:numPr>
      </w:pPr>
      <w:r>
        <w:t xml:space="preserve">Full scale score is obtained by averaging the subscale scores. </w:t>
      </w:r>
    </w:p>
    <w:p w:rsidR="00423369" w:rsidRDefault="00423369" w:rsidP="00423369">
      <w:pPr>
        <w:pStyle w:val="ListParagraph"/>
      </w:pPr>
    </w:p>
    <w:p w:rsidR="00F54F44" w:rsidRPr="00526991" w:rsidRDefault="00423369" w:rsidP="00F54F44">
      <w:pPr>
        <w:pStyle w:val="ListParagraph"/>
        <w:numPr>
          <w:ilvl w:val="0"/>
          <w:numId w:val="5"/>
        </w:numPr>
        <w:rPr>
          <w:b/>
        </w:rPr>
      </w:pPr>
      <w:r w:rsidRPr="00526991">
        <w:rPr>
          <w:b/>
        </w:rPr>
        <w:t>Scoring grid</w:t>
      </w:r>
    </w:p>
    <w:tbl>
      <w:tblPr>
        <w:tblW w:w="3615" w:type="dxa"/>
        <w:jc w:val="center"/>
        <w:tblLook w:val="04A0" w:firstRow="1" w:lastRow="0" w:firstColumn="1" w:lastColumn="0" w:noHBand="0" w:noVBand="1"/>
      </w:tblPr>
      <w:tblGrid>
        <w:gridCol w:w="1635"/>
        <w:gridCol w:w="1980"/>
      </w:tblGrid>
      <w:tr w:rsidR="00423369" w:rsidRPr="00494F7C" w:rsidTr="00526991">
        <w:trPr>
          <w:trHeight w:val="300"/>
          <w:jc w:val="center"/>
        </w:trPr>
        <w:tc>
          <w:tcPr>
            <w:tcW w:w="16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23369" w:rsidRPr="00494F7C" w:rsidRDefault="00423369" w:rsidP="001D1B29">
            <w:pPr>
              <w:spacing w:after="0" w:line="240" w:lineRule="auto"/>
              <w:rPr>
                <w:rFonts w:ascii="Calibri" w:eastAsia="Times New Roman" w:hAnsi="Calibri" w:cs="Times New Roman"/>
                <w:color w:val="000000"/>
                <w:lang w:eastAsia="en-GB"/>
              </w:rPr>
            </w:pPr>
            <w:r w:rsidRPr="00494F7C">
              <w:rPr>
                <w:rFonts w:ascii="Calibri" w:eastAsia="Times New Roman" w:hAnsi="Calibri" w:cs="Times New Roman"/>
                <w:color w:val="000000"/>
                <w:lang w:eastAsia="en-GB"/>
              </w:rPr>
              <w:t>Very high</w:t>
            </w:r>
            <w:r>
              <w:rPr>
                <w:rFonts w:ascii="Calibri" w:eastAsia="Times New Roman" w:hAnsi="Calibri" w:cs="Times New Roman"/>
                <w:color w:val="000000"/>
                <w:lang w:eastAsia="en-GB"/>
              </w:rPr>
              <w:t xml:space="preserve"> </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rsidR="00423369" w:rsidRPr="00494F7C" w:rsidRDefault="00423369" w:rsidP="001D1B29">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4.00 and above</w:t>
            </w:r>
          </w:p>
        </w:tc>
      </w:tr>
      <w:tr w:rsidR="00423369" w:rsidRPr="00494F7C" w:rsidTr="00526991">
        <w:trPr>
          <w:trHeight w:val="300"/>
          <w:jc w:val="center"/>
        </w:trPr>
        <w:tc>
          <w:tcPr>
            <w:tcW w:w="1635" w:type="dxa"/>
            <w:tcBorders>
              <w:top w:val="nil"/>
              <w:left w:val="single" w:sz="4" w:space="0" w:color="auto"/>
              <w:bottom w:val="single" w:sz="4" w:space="0" w:color="auto"/>
              <w:right w:val="single" w:sz="4" w:space="0" w:color="auto"/>
            </w:tcBorders>
            <w:shd w:val="clear" w:color="auto" w:fill="auto"/>
            <w:noWrap/>
            <w:vAlign w:val="center"/>
            <w:hideMark/>
          </w:tcPr>
          <w:p w:rsidR="00423369" w:rsidRPr="00494F7C" w:rsidRDefault="00423369" w:rsidP="001D1B29">
            <w:pPr>
              <w:spacing w:after="0" w:line="240" w:lineRule="auto"/>
              <w:jc w:val="center"/>
              <w:rPr>
                <w:rFonts w:ascii="Calibri" w:eastAsia="Times New Roman" w:hAnsi="Calibri" w:cs="Times New Roman"/>
                <w:color w:val="000000"/>
                <w:lang w:eastAsia="en-GB"/>
              </w:rPr>
            </w:pPr>
            <w:r w:rsidRPr="00494F7C">
              <w:rPr>
                <w:rFonts w:ascii="Calibri" w:eastAsia="Times New Roman" w:hAnsi="Calibri" w:cs="Times New Roman"/>
                <w:color w:val="000000"/>
                <w:lang w:eastAsia="en-GB"/>
              </w:rPr>
              <w:t>High</w:t>
            </w:r>
            <w:r>
              <w:rPr>
                <w:rFonts w:ascii="Calibri" w:eastAsia="Times New Roman" w:hAnsi="Calibri" w:cs="Times New Roman"/>
                <w:color w:val="000000"/>
                <w:lang w:eastAsia="en-GB"/>
              </w:rPr>
              <w:t xml:space="preserve"> </w:t>
            </w:r>
          </w:p>
        </w:tc>
        <w:tc>
          <w:tcPr>
            <w:tcW w:w="1980" w:type="dxa"/>
            <w:tcBorders>
              <w:top w:val="nil"/>
              <w:left w:val="nil"/>
              <w:bottom w:val="single" w:sz="4" w:space="0" w:color="auto"/>
              <w:right w:val="single" w:sz="4" w:space="0" w:color="auto"/>
            </w:tcBorders>
            <w:shd w:val="clear" w:color="auto" w:fill="auto"/>
            <w:noWrap/>
            <w:vAlign w:val="bottom"/>
            <w:hideMark/>
          </w:tcPr>
          <w:p w:rsidR="00423369" w:rsidRPr="00494F7C" w:rsidRDefault="00423369" w:rsidP="001D1B29">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3.42-3.99</w:t>
            </w:r>
          </w:p>
        </w:tc>
      </w:tr>
      <w:tr w:rsidR="00423369" w:rsidRPr="00494F7C" w:rsidTr="00526991">
        <w:trPr>
          <w:trHeight w:val="300"/>
          <w:jc w:val="center"/>
        </w:trPr>
        <w:tc>
          <w:tcPr>
            <w:tcW w:w="1635"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423369" w:rsidRPr="00494F7C" w:rsidRDefault="00423369" w:rsidP="001D1B29">
            <w:pPr>
              <w:spacing w:after="0" w:line="240" w:lineRule="auto"/>
              <w:jc w:val="center"/>
              <w:rPr>
                <w:rFonts w:ascii="Calibri" w:eastAsia="Times New Roman" w:hAnsi="Calibri" w:cs="Times New Roman"/>
                <w:color w:val="000000"/>
                <w:lang w:eastAsia="en-GB"/>
              </w:rPr>
            </w:pPr>
            <w:r w:rsidRPr="00494F7C">
              <w:rPr>
                <w:rFonts w:ascii="Calibri" w:eastAsia="Times New Roman" w:hAnsi="Calibri" w:cs="Times New Roman"/>
                <w:color w:val="000000"/>
                <w:lang w:eastAsia="en-GB"/>
              </w:rPr>
              <w:t>Average</w:t>
            </w:r>
            <w:r>
              <w:rPr>
                <w:rFonts w:ascii="Calibri" w:eastAsia="Times New Roman" w:hAnsi="Calibri" w:cs="Times New Roman"/>
                <w:color w:val="000000"/>
                <w:lang w:eastAsia="en-GB"/>
              </w:rPr>
              <w:t xml:space="preserve"> </w:t>
            </w:r>
          </w:p>
        </w:tc>
        <w:tc>
          <w:tcPr>
            <w:tcW w:w="1980" w:type="dxa"/>
            <w:tcBorders>
              <w:top w:val="nil"/>
              <w:left w:val="nil"/>
              <w:bottom w:val="single" w:sz="4" w:space="0" w:color="auto"/>
              <w:right w:val="single" w:sz="4" w:space="0" w:color="auto"/>
            </w:tcBorders>
            <w:shd w:val="clear" w:color="auto" w:fill="auto"/>
            <w:noWrap/>
            <w:vAlign w:val="bottom"/>
            <w:hideMark/>
          </w:tcPr>
          <w:p w:rsidR="00423369" w:rsidRPr="00494F7C" w:rsidRDefault="00526991" w:rsidP="001D1B29">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3.03-3.41</w:t>
            </w:r>
          </w:p>
        </w:tc>
      </w:tr>
      <w:tr w:rsidR="00423369" w:rsidRPr="00494F7C" w:rsidTr="00526991">
        <w:trPr>
          <w:trHeight w:val="300"/>
          <w:jc w:val="center"/>
        </w:trPr>
        <w:tc>
          <w:tcPr>
            <w:tcW w:w="1635" w:type="dxa"/>
            <w:vMerge/>
            <w:tcBorders>
              <w:top w:val="nil"/>
              <w:left w:val="single" w:sz="4" w:space="0" w:color="auto"/>
              <w:bottom w:val="single" w:sz="4" w:space="0" w:color="000000"/>
              <w:right w:val="single" w:sz="4" w:space="0" w:color="auto"/>
            </w:tcBorders>
            <w:vAlign w:val="center"/>
            <w:hideMark/>
          </w:tcPr>
          <w:p w:rsidR="00423369" w:rsidRPr="00494F7C" w:rsidRDefault="00423369" w:rsidP="001D1B29">
            <w:pPr>
              <w:spacing w:after="0" w:line="240" w:lineRule="auto"/>
              <w:rPr>
                <w:rFonts w:ascii="Calibri" w:eastAsia="Times New Roman" w:hAnsi="Calibri" w:cs="Times New Roman"/>
                <w:color w:val="000000"/>
                <w:lang w:eastAsia="en-GB"/>
              </w:rPr>
            </w:pPr>
          </w:p>
        </w:tc>
        <w:tc>
          <w:tcPr>
            <w:tcW w:w="1980" w:type="dxa"/>
            <w:tcBorders>
              <w:top w:val="nil"/>
              <w:left w:val="nil"/>
              <w:bottom w:val="single" w:sz="4" w:space="0" w:color="auto"/>
              <w:right w:val="single" w:sz="4" w:space="0" w:color="auto"/>
            </w:tcBorders>
            <w:shd w:val="clear" w:color="auto" w:fill="auto"/>
            <w:noWrap/>
            <w:vAlign w:val="bottom"/>
            <w:hideMark/>
          </w:tcPr>
          <w:p w:rsidR="00423369" w:rsidRPr="00494F7C" w:rsidRDefault="00526991" w:rsidP="001D1B29">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2.64-3.02</w:t>
            </w:r>
          </w:p>
        </w:tc>
      </w:tr>
      <w:tr w:rsidR="00423369" w:rsidRPr="00494F7C" w:rsidTr="00526991">
        <w:trPr>
          <w:trHeight w:val="300"/>
          <w:jc w:val="center"/>
        </w:trPr>
        <w:tc>
          <w:tcPr>
            <w:tcW w:w="1635" w:type="dxa"/>
            <w:vMerge/>
            <w:tcBorders>
              <w:top w:val="nil"/>
              <w:left w:val="single" w:sz="4" w:space="0" w:color="auto"/>
              <w:bottom w:val="single" w:sz="4" w:space="0" w:color="000000"/>
              <w:right w:val="single" w:sz="4" w:space="0" w:color="auto"/>
            </w:tcBorders>
            <w:vAlign w:val="center"/>
            <w:hideMark/>
          </w:tcPr>
          <w:p w:rsidR="00423369" w:rsidRPr="00494F7C" w:rsidRDefault="00423369" w:rsidP="001D1B29">
            <w:pPr>
              <w:spacing w:after="0" w:line="240" w:lineRule="auto"/>
              <w:rPr>
                <w:rFonts w:ascii="Calibri" w:eastAsia="Times New Roman" w:hAnsi="Calibri" w:cs="Times New Roman"/>
                <w:color w:val="000000"/>
                <w:lang w:eastAsia="en-GB"/>
              </w:rPr>
            </w:pPr>
          </w:p>
        </w:tc>
        <w:tc>
          <w:tcPr>
            <w:tcW w:w="1980" w:type="dxa"/>
            <w:tcBorders>
              <w:top w:val="nil"/>
              <w:left w:val="nil"/>
              <w:bottom w:val="single" w:sz="4" w:space="0" w:color="auto"/>
              <w:right w:val="single" w:sz="4" w:space="0" w:color="auto"/>
            </w:tcBorders>
            <w:shd w:val="clear" w:color="auto" w:fill="auto"/>
            <w:noWrap/>
            <w:vAlign w:val="bottom"/>
            <w:hideMark/>
          </w:tcPr>
          <w:p w:rsidR="00423369" w:rsidRPr="00494F7C" w:rsidRDefault="00526991" w:rsidP="001D1B29">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2.25-2.63</w:t>
            </w:r>
          </w:p>
        </w:tc>
      </w:tr>
      <w:tr w:rsidR="00423369" w:rsidRPr="00494F7C" w:rsidTr="00526991">
        <w:trPr>
          <w:trHeight w:val="77"/>
          <w:jc w:val="center"/>
        </w:trPr>
        <w:tc>
          <w:tcPr>
            <w:tcW w:w="1635" w:type="dxa"/>
            <w:vMerge/>
            <w:tcBorders>
              <w:top w:val="nil"/>
              <w:left w:val="single" w:sz="4" w:space="0" w:color="auto"/>
              <w:bottom w:val="single" w:sz="4" w:space="0" w:color="000000"/>
              <w:right w:val="single" w:sz="4" w:space="0" w:color="auto"/>
            </w:tcBorders>
            <w:vAlign w:val="center"/>
            <w:hideMark/>
          </w:tcPr>
          <w:p w:rsidR="00423369" w:rsidRPr="00494F7C" w:rsidRDefault="00423369" w:rsidP="001D1B29">
            <w:pPr>
              <w:spacing w:after="0" w:line="240" w:lineRule="auto"/>
              <w:rPr>
                <w:rFonts w:ascii="Calibri" w:eastAsia="Times New Roman" w:hAnsi="Calibri" w:cs="Times New Roman"/>
                <w:color w:val="000000"/>
                <w:lang w:eastAsia="en-GB"/>
              </w:rPr>
            </w:pPr>
          </w:p>
        </w:tc>
        <w:tc>
          <w:tcPr>
            <w:tcW w:w="1980" w:type="dxa"/>
            <w:tcBorders>
              <w:top w:val="nil"/>
              <w:left w:val="nil"/>
              <w:bottom w:val="single" w:sz="4" w:space="0" w:color="auto"/>
              <w:right w:val="single" w:sz="4" w:space="0" w:color="auto"/>
            </w:tcBorders>
            <w:shd w:val="clear" w:color="auto" w:fill="auto"/>
            <w:noWrap/>
            <w:vAlign w:val="bottom"/>
            <w:hideMark/>
          </w:tcPr>
          <w:p w:rsidR="00423369" w:rsidRPr="00494F7C" w:rsidRDefault="00423369" w:rsidP="001D1B29">
            <w:pPr>
              <w:spacing w:after="0" w:line="240" w:lineRule="auto"/>
              <w:rPr>
                <w:rFonts w:ascii="Calibri" w:eastAsia="Times New Roman" w:hAnsi="Calibri" w:cs="Times New Roman"/>
                <w:color w:val="000000"/>
                <w:lang w:eastAsia="en-GB"/>
              </w:rPr>
            </w:pPr>
          </w:p>
        </w:tc>
      </w:tr>
      <w:tr w:rsidR="00423369" w:rsidRPr="00494F7C" w:rsidTr="00526991">
        <w:trPr>
          <w:trHeight w:val="77"/>
          <w:jc w:val="center"/>
        </w:trPr>
        <w:tc>
          <w:tcPr>
            <w:tcW w:w="1635" w:type="dxa"/>
            <w:vMerge/>
            <w:tcBorders>
              <w:top w:val="nil"/>
              <w:left w:val="single" w:sz="4" w:space="0" w:color="auto"/>
              <w:bottom w:val="single" w:sz="4" w:space="0" w:color="000000"/>
              <w:right w:val="single" w:sz="4" w:space="0" w:color="auto"/>
            </w:tcBorders>
            <w:vAlign w:val="center"/>
            <w:hideMark/>
          </w:tcPr>
          <w:p w:rsidR="00423369" w:rsidRPr="00494F7C" w:rsidRDefault="00423369" w:rsidP="001D1B29">
            <w:pPr>
              <w:spacing w:after="0" w:line="240" w:lineRule="auto"/>
              <w:rPr>
                <w:rFonts w:ascii="Calibri" w:eastAsia="Times New Roman" w:hAnsi="Calibri" w:cs="Times New Roman"/>
                <w:color w:val="000000"/>
                <w:lang w:eastAsia="en-GB"/>
              </w:rPr>
            </w:pPr>
          </w:p>
        </w:tc>
        <w:tc>
          <w:tcPr>
            <w:tcW w:w="1980" w:type="dxa"/>
            <w:tcBorders>
              <w:top w:val="nil"/>
              <w:left w:val="nil"/>
              <w:bottom w:val="single" w:sz="4" w:space="0" w:color="auto"/>
              <w:right w:val="single" w:sz="4" w:space="0" w:color="auto"/>
            </w:tcBorders>
            <w:shd w:val="clear" w:color="auto" w:fill="auto"/>
            <w:noWrap/>
            <w:vAlign w:val="bottom"/>
            <w:hideMark/>
          </w:tcPr>
          <w:p w:rsidR="00423369" w:rsidRPr="00494F7C" w:rsidRDefault="00423369" w:rsidP="001D1B29">
            <w:pPr>
              <w:spacing w:after="0" w:line="240" w:lineRule="auto"/>
              <w:rPr>
                <w:rFonts w:ascii="Calibri" w:eastAsia="Times New Roman" w:hAnsi="Calibri" w:cs="Times New Roman"/>
                <w:color w:val="000000"/>
                <w:lang w:eastAsia="en-GB"/>
              </w:rPr>
            </w:pPr>
          </w:p>
        </w:tc>
      </w:tr>
      <w:tr w:rsidR="00423369" w:rsidRPr="00494F7C" w:rsidTr="00526991">
        <w:trPr>
          <w:trHeight w:val="30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rsidR="00423369" w:rsidRPr="00494F7C" w:rsidRDefault="00423369" w:rsidP="001D1B29">
            <w:pPr>
              <w:spacing w:after="0" w:line="240" w:lineRule="auto"/>
              <w:rPr>
                <w:rFonts w:ascii="Calibri" w:eastAsia="Times New Roman" w:hAnsi="Calibri" w:cs="Times New Roman"/>
                <w:color w:val="000000"/>
                <w:lang w:eastAsia="en-GB"/>
              </w:rPr>
            </w:pPr>
            <w:r w:rsidRPr="00494F7C">
              <w:rPr>
                <w:rFonts w:ascii="Calibri" w:eastAsia="Times New Roman" w:hAnsi="Calibri" w:cs="Times New Roman"/>
                <w:color w:val="000000"/>
                <w:lang w:eastAsia="en-GB"/>
              </w:rPr>
              <w:t>Low</w:t>
            </w:r>
            <w:r>
              <w:rPr>
                <w:rFonts w:ascii="Calibri" w:eastAsia="Times New Roman" w:hAnsi="Calibri" w:cs="Times New Roman"/>
                <w:color w:val="000000"/>
                <w:lang w:eastAsia="en-GB"/>
              </w:rPr>
              <w:t xml:space="preserve"> </w:t>
            </w:r>
          </w:p>
        </w:tc>
        <w:tc>
          <w:tcPr>
            <w:tcW w:w="1980" w:type="dxa"/>
            <w:tcBorders>
              <w:top w:val="nil"/>
              <w:left w:val="nil"/>
              <w:bottom w:val="single" w:sz="4" w:space="0" w:color="auto"/>
              <w:right w:val="single" w:sz="4" w:space="0" w:color="auto"/>
            </w:tcBorders>
            <w:shd w:val="clear" w:color="auto" w:fill="auto"/>
            <w:noWrap/>
            <w:vAlign w:val="bottom"/>
            <w:hideMark/>
          </w:tcPr>
          <w:p w:rsidR="00423369" w:rsidRPr="00494F7C" w:rsidRDefault="00526991" w:rsidP="001D1B29">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1.67-2.24</w:t>
            </w:r>
          </w:p>
        </w:tc>
      </w:tr>
      <w:tr w:rsidR="00423369" w:rsidRPr="00494F7C" w:rsidTr="00526991">
        <w:trPr>
          <w:trHeight w:val="300"/>
          <w:jc w:val="center"/>
        </w:trPr>
        <w:tc>
          <w:tcPr>
            <w:tcW w:w="1635" w:type="dxa"/>
            <w:tcBorders>
              <w:top w:val="nil"/>
              <w:left w:val="single" w:sz="4" w:space="0" w:color="auto"/>
              <w:bottom w:val="single" w:sz="4" w:space="0" w:color="auto"/>
              <w:right w:val="single" w:sz="4" w:space="0" w:color="auto"/>
            </w:tcBorders>
            <w:shd w:val="clear" w:color="auto" w:fill="auto"/>
            <w:noWrap/>
            <w:vAlign w:val="bottom"/>
            <w:hideMark/>
          </w:tcPr>
          <w:p w:rsidR="00423369" w:rsidRPr="00494F7C" w:rsidRDefault="00423369" w:rsidP="001D1B29">
            <w:pPr>
              <w:spacing w:after="0" w:line="240" w:lineRule="auto"/>
              <w:rPr>
                <w:rFonts w:ascii="Calibri" w:eastAsia="Times New Roman" w:hAnsi="Calibri" w:cs="Times New Roman"/>
                <w:color w:val="000000"/>
                <w:lang w:eastAsia="en-GB"/>
              </w:rPr>
            </w:pPr>
            <w:r w:rsidRPr="00494F7C">
              <w:rPr>
                <w:rFonts w:ascii="Calibri" w:eastAsia="Times New Roman" w:hAnsi="Calibri" w:cs="Times New Roman"/>
                <w:color w:val="000000"/>
                <w:lang w:eastAsia="en-GB"/>
              </w:rPr>
              <w:t>Very Low</w:t>
            </w:r>
          </w:p>
        </w:tc>
        <w:tc>
          <w:tcPr>
            <w:tcW w:w="1980" w:type="dxa"/>
            <w:tcBorders>
              <w:top w:val="nil"/>
              <w:left w:val="nil"/>
              <w:bottom w:val="single" w:sz="4" w:space="0" w:color="auto"/>
              <w:right w:val="single" w:sz="4" w:space="0" w:color="auto"/>
            </w:tcBorders>
            <w:shd w:val="clear" w:color="auto" w:fill="auto"/>
            <w:noWrap/>
            <w:vAlign w:val="bottom"/>
            <w:hideMark/>
          </w:tcPr>
          <w:p w:rsidR="00423369" w:rsidRPr="00494F7C" w:rsidRDefault="00526991" w:rsidP="001D1B29">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1.66 and above</w:t>
            </w:r>
          </w:p>
        </w:tc>
      </w:tr>
    </w:tbl>
    <w:p w:rsidR="00423369" w:rsidRDefault="00423369" w:rsidP="00423369">
      <w:pPr>
        <w:pStyle w:val="ListParagraph"/>
      </w:pPr>
    </w:p>
    <w:p w:rsidR="00B974DC" w:rsidRDefault="00526991" w:rsidP="00526991">
      <w:pPr>
        <w:pStyle w:val="ListParagraph"/>
        <w:numPr>
          <w:ilvl w:val="0"/>
          <w:numId w:val="5"/>
        </w:numPr>
      </w:pPr>
      <w:r>
        <w:t>Interpretation</w:t>
      </w:r>
    </w:p>
    <w:p w:rsidR="00526991" w:rsidRDefault="00526991" w:rsidP="00526991">
      <w:pPr>
        <w:pStyle w:val="ListParagraph"/>
      </w:pPr>
      <w:r>
        <w:t xml:space="preserve">Sense of school community tends to decrease with age and school averages have been found to be more variable across secondary schools. </w:t>
      </w:r>
      <w:proofErr w:type="spellStart"/>
      <w:r>
        <w:t>Battistich</w:t>
      </w:r>
      <w:proofErr w:type="spellEnd"/>
      <w:r>
        <w:t xml:space="preserve"> et al. (2004) reported an overall average of 2.83</w:t>
      </w:r>
      <w:r w:rsidR="00451380">
        <w:t xml:space="preserve"> in a sample of secondary schools, where scores above 3.41 might be considered above average and scores below 2.25 below average. </w:t>
      </w:r>
    </w:p>
    <w:p w:rsidR="00451380" w:rsidRPr="002D7FB6" w:rsidRDefault="00451380" w:rsidP="00526991">
      <w:pPr>
        <w:pStyle w:val="ListParagraph"/>
        <w:rPr>
          <w:sz w:val="28"/>
          <w:szCs w:val="28"/>
        </w:rPr>
      </w:pPr>
    </w:p>
    <w:p w:rsidR="00451380" w:rsidRPr="002D7FB6" w:rsidRDefault="00451380" w:rsidP="00451380">
      <w:pPr>
        <w:rPr>
          <w:b/>
          <w:sz w:val="28"/>
          <w:szCs w:val="28"/>
          <w:u w:val="single"/>
        </w:rPr>
      </w:pPr>
      <w:r w:rsidRPr="002D7FB6">
        <w:rPr>
          <w:b/>
          <w:sz w:val="28"/>
          <w:szCs w:val="28"/>
          <w:u w:val="single"/>
        </w:rPr>
        <w:t xml:space="preserve">Sense of school community scales – </w:t>
      </w:r>
      <w:r w:rsidRPr="002D7FB6">
        <w:rPr>
          <w:b/>
          <w:sz w:val="28"/>
          <w:szCs w:val="28"/>
          <w:u w:val="single"/>
        </w:rPr>
        <w:t>Primary</w:t>
      </w:r>
    </w:p>
    <w:p w:rsidR="00E04712" w:rsidRDefault="004A6933" w:rsidP="006C7C86">
      <w:pPr>
        <w:pStyle w:val="ListParagraph"/>
        <w:numPr>
          <w:ilvl w:val="0"/>
          <w:numId w:val="7"/>
        </w:numPr>
      </w:pPr>
      <w:r>
        <w:t>Questions 4, 5, 8, 9, 10, 21, 22, 25, 27,31 all reverse coded</w:t>
      </w:r>
      <w:r w:rsidR="00451380">
        <w:t xml:space="preserve">  </w:t>
      </w:r>
    </w:p>
    <w:p w:rsidR="006C7C86" w:rsidRDefault="006C7C86" w:rsidP="006C7C86">
      <w:pPr>
        <w:pStyle w:val="ListParagraph"/>
      </w:pPr>
    </w:p>
    <w:p w:rsidR="004A6933" w:rsidRPr="006C7C86" w:rsidRDefault="007A222D" w:rsidP="006C7C86">
      <w:pPr>
        <w:pStyle w:val="ListParagraph"/>
        <w:numPr>
          <w:ilvl w:val="0"/>
          <w:numId w:val="7"/>
        </w:numPr>
        <w:rPr>
          <w:b/>
        </w:rPr>
      </w:pPr>
      <w:r w:rsidRPr="006C7C86">
        <w:t>School community subscales</w:t>
      </w:r>
      <w:r w:rsidR="00E04712" w:rsidRPr="006C7C86">
        <w:rPr>
          <w:b/>
          <w:u w:val="single"/>
        </w:rPr>
        <w:t>:</w:t>
      </w:r>
    </w:p>
    <w:p w:rsidR="007A222D" w:rsidRDefault="007A222D" w:rsidP="007A222D">
      <w:pPr>
        <w:pStyle w:val="ListParagraph"/>
        <w:numPr>
          <w:ilvl w:val="0"/>
          <w:numId w:val="2"/>
        </w:numPr>
      </w:pPr>
      <w:r w:rsidRPr="007A222D">
        <w:t>Classroom supportiveness</w:t>
      </w:r>
      <w:r>
        <w:t xml:space="preserve"> </w:t>
      </w:r>
      <w:r w:rsidR="007773F2">
        <w:t>(mean of 14 subscale items, 1-14)</w:t>
      </w:r>
    </w:p>
    <w:p w:rsidR="007773F2" w:rsidRDefault="007773F2" w:rsidP="007A222D">
      <w:pPr>
        <w:pStyle w:val="ListParagraph"/>
        <w:numPr>
          <w:ilvl w:val="0"/>
          <w:numId w:val="2"/>
        </w:numPr>
      </w:pPr>
      <w:r>
        <w:t>School supportiveness (mean of 14 subscale items, 15-28)</w:t>
      </w:r>
    </w:p>
    <w:p w:rsidR="007773F2" w:rsidRDefault="007773F2" w:rsidP="006C7C86">
      <w:pPr>
        <w:pStyle w:val="ListParagraph"/>
        <w:numPr>
          <w:ilvl w:val="0"/>
          <w:numId w:val="2"/>
        </w:numPr>
      </w:pPr>
      <w:r>
        <w:lastRenderedPageBreak/>
        <w:t>Classroom Autonomy (mean of 10 subscales, 29-38)</w:t>
      </w:r>
      <w:r w:rsidRPr="006C7C86">
        <w:rPr>
          <w:b/>
          <w:i/>
        </w:rPr>
        <w:t xml:space="preserve"> </w:t>
      </w:r>
    </w:p>
    <w:p w:rsidR="008C7B5C" w:rsidRPr="008C7B5C" w:rsidRDefault="008C7B5C" w:rsidP="008C7B5C">
      <w:pPr>
        <w:rPr>
          <w:b/>
          <w:u w:val="single"/>
        </w:rPr>
      </w:pPr>
      <w:r w:rsidRPr="008C7B5C">
        <w:rPr>
          <w:b/>
          <w:u w:val="single"/>
        </w:rPr>
        <w:t>Scoring Grid</w:t>
      </w:r>
    </w:p>
    <w:tbl>
      <w:tblPr>
        <w:tblW w:w="2740" w:type="dxa"/>
        <w:tblInd w:w="93" w:type="dxa"/>
        <w:tblLook w:val="04A0" w:firstRow="1" w:lastRow="0" w:firstColumn="1" w:lastColumn="0" w:noHBand="0" w:noVBand="1"/>
      </w:tblPr>
      <w:tblGrid>
        <w:gridCol w:w="960"/>
        <w:gridCol w:w="1780"/>
      </w:tblGrid>
      <w:tr w:rsidR="008C7B5C" w:rsidRPr="00494F7C" w:rsidTr="00343C8E">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C7B5C" w:rsidRPr="00494F7C" w:rsidRDefault="008C7B5C" w:rsidP="00343C8E">
            <w:pPr>
              <w:spacing w:after="0" w:line="240" w:lineRule="auto"/>
              <w:rPr>
                <w:rFonts w:ascii="Calibri" w:eastAsia="Times New Roman" w:hAnsi="Calibri" w:cs="Times New Roman"/>
                <w:color w:val="000000"/>
                <w:lang w:eastAsia="en-GB"/>
              </w:rPr>
            </w:pPr>
            <w:r w:rsidRPr="00494F7C">
              <w:rPr>
                <w:rFonts w:ascii="Calibri" w:eastAsia="Times New Roman" w:hAnsi="Calibri" w:cs="Times New Roman"/>
                <w:color w:val="000000"/>
                <w:lang w:eastAsia="en-GB"/>
              </w:rPr>
              <w:t>Very high</w:t>
            </w:r>
            <w:r>
              <w:rPr>
                <w:rFonts w:ascii="Calibri" w:eastAsia="Times New Roman" w:hAnsi="Calibri" w:cs="Times New Roman"/>
                <w:color w:val="000000"/>
                <w:lang w:eastAsia="en-GB"/>
              </w:rPr>
              <w:t xml:space="preserve"> (1)</w:t>
            </w:r>
          </w:p>
        </w:tc>
        <w:tc>
          <w:tcPr>
            <w:tcW w:w="1780" w:type="dxa"/>
            <w:tcBorders>
              <w:top w:val="single" w:sz="4" w:space="0" w:color="auto"/>
              <w:left w:val="nil"/>
              <w:bottom w:val="single" w:sz="4" w:space="0" w:color="auto"/>
              <w:right w:val="single" w:sz="4" w:space="0" w:color="auto"/>
            </w:tcBorders>
            <w:shd w:val="clear" w:color="auto" w:fill="auto"/>
            <w:noWrap/>
            <w:vAlign w:val="bottom"/>
            <w:hideMark/>
          </w:tcPr>
          <w:p w:rsidR="008C7B5C" w:rsidRPr="00494F7C" w:rsidRDefault="008C7B5C" w:rsidP="00343C8E">
            <w:pPr>
              <w:spacing w:after="0" w:line="240" w:lineRule="auto"/>
              <w:rPr>
                <w:rFonts w:ascii="Calibri" w:eastAsia="Times New Roman" w:hAnsi="Calibri" w:cs="Times New Roman"/>
                <w:color w:val="000000"/>
                <w:lang w:eastAsia="en-GB"/>
              </w:rPr>
            </w:pPr>
            <w:r w:rsidRPr="00494F7C">
              <w:rPr>
                <w:rFonts w:ascii="Calibri" w:eastAsia="Times New Roman" w:hAnsi="Calibri" w:cs="Times New Roman"/>
                <w:color w:val="000000"/>
                <w:lang w:eastAsia="en-GB"/>
              </w:rPr>
              <w:t>3.30- above</w:t>
            </w:r>
          </w:p>
        </w:tc>
      </w:tr>
      <w:tr w:rsidR="008C7B5C" w:rsidRPr="00494F7C" w:rsidTr="00343C8E">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C7B5C" w:rsidRPr="00494F7C" w:rsidRDefault="008C7B5C" w:rsidP="00343C8E">
            <w:pPr>
              <w:spacing w:after="0" w:line="240" w:lineRule="auto"/>
              <w:jc w:val="center"/>
              <w:rPr>
                <w:rFonts w:ascii="Calibri" w:eastAsia="Times New Roman" w:hAnsi="Calibri" w:cs="Times New Roman"/>
                <w:color w:val="000000"/>
                <w:lang w:eastAsia="en-GB"/>
              </w:rPr>
            </w:pPr>
            <w:r w:rsidRPr="00494F7C">
              <w:rPr>
                <w:rFonts w:ascii="Calibri" w:eastAsia="Times New Roman" w:hAnsi="Calibri" w:cs="Times New Roman"/>
                <w:color w:val="000000"/>
                <w:lang w:eastAsia="en-GB"/>
              </w:rPr>
              <w:t>High</w:t>
            </w:r>
            <w:r>
              <w:rPr>
                <w:rFonts w:ascii="Calibri" w:eastAsia="Times New Roman" w:hAnsi="Calibri" w:cs="Times New Roman"/>
                <w:color w:val="000000"/>
                <w:lang w:eastAsia="en-GB"/>
              </w:rPr>
              <w:t xml:space="preserve"> (2)</w:t>
            </w:r>
          </w:p>
        </w:tc>
        <w:tc>
          <w:tcPr>
            <w:tcW w:w="1780" w:type="dxa"/>
            <w:tcBorders>
              <w:top w:val="nil"/>
              <w:left w:val="nil"/>
              <w:bottom w:val="single" w:sz="4" w:space="0" w:color="auto"/>
              <w:right w:val="single" w:sz="4" w:space="0" w:color="auto"/>
            </w:tcBorders>
            <w:shd w:val="clear" w:color="auto" w:fill="auto"/>
            <w:noWrap/>
            <w:vAlign w:val="bottom"/>
            <w:hideMark/>
          </w:tcPr>
          <w:p w:rsidR="008C7B5C" w:rsidRPr="00494F7C" w:rsidRDefault="008C7B5C" w:rsidP="00343C8E">
            <w:pPr>
              <w:spacing w:after="0" w:line="240" w:lineRule="auto"/>
              <w:rPr>
                <w:rFonts w:ascii="Calibri" w:eastAsia="Times New Roman" w:hAnsi="Calibri" w:cs="Times New Roman"/>
                <w:color w:val="000000"/>
                <w:lang w:eastAsia="en-GB"/>
              </w:rPr>
            </w:pPr>
            <w:r w:rsidRPr="00494F7C">
              <w:rPr>
                <w:rFonts w:ascii="Calibri" w:eastAsia="Times New Roman" w:hAnsi="Calibri" w:cs="Times New Roman"/>
                <w:color w:val="000000"/>
                <w:lang w:eastAsia="en-GB"/>
              </w:rPr>
              <w:t>3.13-3.29</w:t>
            </w:r>
          </w:p>
        </w:tc>
      </w:tr>
      <w:tr w:rsidR="008C7B5C" w:rsidRPr="00494F7C" w:rsidTr="00343C8E">
        <w:trPr>
          <w:trHeight w:val="300"/>
        </w:trPr>
        <w:tc>
          <w:tcPr>
            <w:tcW w:w="96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8C7B5C" w:rsidRPr="00494F7C" w:rsidRDefault="008C7B5C" w:rsidP="00343C8E">
            <w:pPr>
              <w:spacing w:after="0" w:line="240" w:lineRule="auto"/>
              <w:jc w:val="center"/>
              <w:rPr>
                <w:rFonts w:ascii="Calibri" w:eastAsia="Times New Roman" w:hAnsi="Calibri" w:cs="Times New Roman"/>
                <w:color w:val="000000"/>
                <w:lang w:eastAsia="en-GB"/>
              </w:rPr>
            </w:pPr>
            <w:r w:rsidRPr="00494F7C">
              <w:rPr>
                <w:rFonts w:ascii="Calibri" w:eastAsia="Times New Roman" w:hAnsi="Calibri" w:cs="Times New Roman"/>
                <w:color w:val="000000"/>
                <w:lang w:eastAsia="en-GB"/>
              </w:rPr>
              <w:t>Average</w:t>
            </w:r>
            <w:r>
              <w:rPr>
                <w:rFonts w:ascii="Calibri" w:eastAsia="Times New Roman" w:hAnsi="Calibri" w:cs="Times New Roman"/>
                <w:color w:val="000000"/>
                <w:lang w:eastAsia="en-GB"/>
              </w:rPr>
              <w:t xml:space="preserve"> (3)</w:t>
            </w:r>
          </w:p>
        </w:tc>
        <w:tc>
          <w:tcPr>
            <w:tcW w:w="1780" w:type="dxa"/>
            <w:tcBorders>
              <w:top w:val="nil"/>
              <w:left w:val="nil"/>
              <w:bottom w:val="single" w:sz="4" w:space="0" w:color="auto"/>
              <w:right w:val="single" w:sz="4" w:space="0" w:color="auto"/>
            </w:tcBorders>
            <w:shd w:val="clear" w:color="auto" w:fill="auto"/>
            <w:noWrap/>
            <w:vAlign w:val="bottom"/>
            <w:hideMark/>
          </w:tcPr>
          <w:p w:rsidR="008C7B5C" w:rsidRPr="00494F7C" w:rsidRDefault="008C7B5C" w:rsidP="00343C8E">
            <w:pPr>
              <w:spacing w:after="0" w:line="240" w:lineRule="auto"/>
              <w:rPr>
                <w:rFonts w:ascii="Calibri" w:eastAsia="Times New Roman" w:hAnsi="Calibri" w:cs="Times New Roman"/>
                <w:color w:val="000000"/>
                <w:lang w:eastAsia="en-GB"/>
              </w:rPr>
            </w:pPr>
            <w:r w:rsidRPr="00494F7C">
              <w:rPr>
                <w:rFonts w:ascii="Calibri" w:eastAsia="Times New Roman" w:hAnsi="Calibri" w:cs="Times New Roman"/>
                <w:color w:val="000000"/>
                <w:lang w:eastAsia="en-GB"/>
              </w:rPr>
              <w:t>3.06-3.12</w:t>
            </w:r>
          </w:p>
        </w:tc>
      </w:tr>
      <w:tr w:rsidR="008C7B5C" w:rsidRPr="00494F7C" w:rsidTr="00343C8E">
        <w:trPr>
          <w:trHeight w:val="300"/>
        </w:trPr>
        <w:tc>
          <w:tcPr>
            <w:tcW w:w="960" w:type="dxa"/>
            <w:vMerge/>
            <w:tcBorders>
              <w:top w:val="nil"/>
              <w:left w:val="single" w:sz="4" w:space="0" w:color="auto"/>
              <w:bottom w:val="single" w:sz="4" w:space="0" w:color="000000"/>
              <w:right w:val="single" w:sz="4" w:space="0" w:color="auto"/>
            </w:tcBorders>
            <w:vAlign w:val="center"/>
            <w:hideMark/>
          </w:tcPr>
          <w:p w:rsidR="008C7B5C" w:rsidRPr="00494F7C" w:rsidRDefault="008C7B5C" w:rsidP="00343C8E">
            <w:pPr>
              <w:spacing w:after="0" w:line="240" w:lineRule="auto"/>
              <w:rPr>
                <w:rFonts w:ascii="Calibri" w:eastAsia="Times New Roman" w:hAnsi="Calibri" w:cs="Times New Roman"/>
                <w:color w:val="000000"/>
                <w:lang w:eastAsia="en-GB"/>
              </w:rPr>
            </w:pPr>
          </w:p>
        </w:tc>
        <w:tc>
          <w:tcPr>
            <w:tcW w:w="1780" w:type="dxa"/>
            <w:tcBorders>
              <w:top w:val="nil"/>
              <w:left w:val="nil"/>
              <w:bottom w:val="single" w:sz="4" w:space="0" w:color="auto"/>
              <w:right w:val="single" w:sz="4" w:space="0" w:color="auto"/>
            </w:tcBorders>
            <w:shd w:val="clear" w:color="auto" w:fill="auto"/>
            <w:noWrap/>
            <w:vAlign w:val="bottom"/>
            <w:hideMark/>
          </w:tcPr>
          <w:p w:rsidR="008C7B5C" w:rsidRPr="00494F7C" w:rsidRDefault="008C7B5C" w:rsidP="00343C8E">
            <w:pPr>
              <w:spacing w:after="0" w:line="240" w:lineRule="auto"/>
              <w:rPr>
                <w:rFonts w:ascii="Calibri" w:eastAsia="Times New Roman" w:hAnsi="Calibri" w:cs="Times New Roman"/>
                <w:color w:val="000000"/>
                <w:lang w:eastAsia="en-GB"/>
              </w:rPr>
            </w:pPr>
            <w:r w:rsidRPr="00494F7C">
              <w:rPr>
                <w:rFonts w:ascii="Calibri" w:eastAsia="Times New Roman" w:hAnsi="Calibri" w:cs="Times New Roman"/>
                <w:color w:val="000000"/>
                <w:lang w:eastAsia="en-GB"/>
              </w:rPr>
              <w:t>2.99-3.05</w:t>
            </w:r>
          </w:p>
        </w:tc>
      </w:tr>
      <w:tr w:rsidR="008C7B5C" w:rsidRPr="00494F7C" w:rsidTr="00343C8E">
        <w:trPr>
          <w:trHeight w:val="300"/>
        </w:trPr>
        <w:tc>
          <w:tcPr>
            <w:tcW w:w="960" w:type="dxa"/>
            <w:vMerge/>
            <w:tcBorders>
              <w:top w:val="nil"/>
              <w:left w:val="single" w:sz="4" w:space="0" w:color="auto"/>
              <w:bottom w:val="single" w:sz="4" w:space="0" w:color="000000"/>
              <w:right w:val="single" w:sz="4" w:space="0" w:color="auto"/>
            </w:tcBorders>
            <w:vAlign w:val="center"/>
            <w:hideMark/>
          </w:tcPr>
          <w:p w:rsidR="008C7B5C" w:rsidRPr="00494F7C" w:rsidRDefault="008C7B5C" w:rsidP="00343C8E">
            <w:pPr>
              <w:spacing w:after="0" w:line="240" w:lineRule="auto"/>
              <w:rPr>
                <w:rFonts w:ascii="Calibri" w:eastAsia="Times New Roman" w:hAnsi="Calibri" w:cs="Times New Roman"/>
                <w:color w:val="000000"/>
                <w:lang w:eastAsia="en-GB"/>
              </w:rPr>
            </w:pPr>
          </w:p>
        </w:tc>
        <w:tc>
          <w:tcPr>
            <w:tcW w:w="1780" w:type="dxa"/>
            <w:tcBorders>
              <w:top w:val="nil"/>
              <w:left w:val="nil"/>
              <w:bottom w:val="single" w:sz="4" w:space="0" w:color="auto"/>
              <w:right w:val="single" w:sz="4" w:space="0" w:color="auto"/>
            </w:tcBorders>
            <w:shd w:val="clear" w:color="auto" w:fill="auto"/>
            <w:noWrap/>
            <w:vAlign w:val="bottom"/>
            <w:hideMark/>
          </w:tcPr>
          <w:p w:rsidR="008C7B5C" w:rsidRPr="00494F7C" w:rsidRDefault="008C7B5C" w:rsidP="00343C8E">
            <w:pPr>
              <w:spacing w:after="0" w:line="240" w:lineRule="auto"/>
              <w:rPr>
                <w:rFonts w:ascii="Calibri" w:eastAsia="Times New Roman" w:hAnsi="Calibri" w:cs="Times New Roman"/>
                <w:color w:val="000000"/>
                <w:lang w:eastAsia="en-GB"/>
              </w:rPr>
            </w:pPr>
            <w:r w:rsidRPr="00494F7C">
              <w:rPr>
                <w:rFonts w:ascii="Calibri" w:eastAsia="Times New Roman" w:hAnsi="Calibri" w:cs="Times New Roman"/>
                <w:color w:val="000000"/>
                <w:lang w:eastAsia="en-GB"/>
              </w:rPr>
              <w:t>2.92-2.98</w:t>
            </w:r>
          </w:p>
        </w:tc>
      </w:tr>
      <w:tr w:rsidR="008C7B5C" w:rsidRPr="00494F7C" w:rsidTr="00343C8E">
        <w:trPr>
          <w:trHeight w:val="300"/>
        </w:trPr>
        <w:tc>
          <w:tcPr>
            <w:tcW w:w="960" w:type="dxa"/>
            <w:vMerge/>
            <w:tcBorders>
              <w:top w:val="nil"/>
              <w:left w:val="single" w:sz="4" w:space="0" w:color="auto"/>
              <w:bottom w:val="single" w:sz="4" w:space="0" w:color="000000"/>
              <w:right w:val="single" w:sz="4" w:space="0" w:color="auto"/>
            </w:tcBorders>
            <w:vAlign w:val="center"/>
            <w:hideMark/>
          </w:tcPr>
          <w:p w:rsidR="008C7B5C" w:rsidRPr="00494F7C" w:rsidRDefault="008C7B5C" w:rsidP="00343C8E">
            <w:pPr>
              <w:spacing w:after="0" w:line="240" w:lineRule="auto"/>
              <w:rPr>
                <w:rFonts w:ascii="Calibri" w:eastAsia="Times New Roman" w:hAnsi="Calibri" w:cs="Times New Roman"/>
                <w:color w:val="000000"/>
                <w:lang w:eastAsia="en-GB"/>
              </w:rPr>
            </w:pPr>
          </w:p>
        </w:tc>
        <w:tc>
          <w:tcPr>
            <w:tcW w:w="1780" w:type="dxa"/>
            <w:tcBorders>
              <w:top w:val="nil"/>
              <w:left w:val="nil"/>
              <w:bottom w:val="single" w:sz="4" w:space="0" w:color="auto"/>
              <w:right w:val="single" w:sz="4" w:space="0" w:color="auto"/>
            </w:tcBorders>
            <w:shd w:val="clear" w:color="auto" w:fill="auto"/>
            <w:noWrap/>
            <w:vAlign w:val="bottom"/>
            <w:hideMark/>
          </w:tcPr>
          <w:p w:rsidR="008C7B5C" w:rsidRPr="00494F7C" w:rsidRDefault="008C7B5C" w:rsidP="00343C8E">
            <w:pPr>
              <w:spacing w:after="0" w:line="240" w:lineRule="auto"/>
              <w:rPr>
                <w:rFonts w:ascii="Calibri" w:eastAsia="Times New Roman" w:hAnsi="Calibri" w:cs="Times New Roman"/>
                <w:color w:val="000000"/>
                <w:lang w:eastAsia="en-GB"/>
              </w:rPr>
            </w:pPr>
            <w:r w:rsidRPr="00494F7C">
              <w:rPr>
                <w:rFonts w:ascii="Calibri" w:eastAsia="Times New Roman" w:hAnsi="Calibri" w:cs="Times New Roman"/>
                <w:color w:val="000000"/>
                <w:lang w:eastAsia="en-GB"/>
              </w:rPr>
              <w:t>2.85-2.91</w:t>
            </w:r>
          </w:p>
        </w:tc>
      </w:tr>
      <w:tr w:rsidR="008C7B5C" w:rsidRPr="00494F7C" w:rsidTr="00343C8E">
        <w:trPr>
          <w:trHeight w:val="300"/>
        </w:trPr>
        <w:tc>
          <w:tcPr>
            <w:tcW w:w="960" w:type="dxa"/>
            <w:vMerge/>
            <w:tcBorders>
              <w:top w:val="nil"/>
              <w:left w:val="single" w:sz="4" w:space="0" w:color="auto"/>
              <w:bottom w:val="single" w:sz="4" w:space="0" w:color="000000"/>
              <w:right w:val="single" w:sz="4" w:space="0" w:color="auto"/>
            </w:tcBorders>
            <w:vAlign w:val="center"/>
            <w:hideMark/>
          </w:tcPr>
          <w:p w:rsidR="008C7B5C" w:rsidRPr="00494F7C" w:rsidRDefault="008C7B5C" w:rsidP="00343C8E">
            <w:pPr>
              <w:spacing w:after="0" w:line="240" w:lineRule="auto"/>
              <w:rPr>
                <w:rFonts w:ascii="Calibri" w:eastAsia="Times New Roman" w:hAnsi="Calibri" w:cs="Times New Roman"/>
                <w:color w:val="000000"/>
                <w:lang w:eastAsia="en-GB"/>
              </w:rPr>
            </w:pPr>
          </w:p>
        </w:tc>
        <w:tc>
          <w:tcPr>
            <w:tcW w:w="1780" w:type="dxa"/>
            <w:tcBorders>
              <w:top w:val="nil"/>
              <w:left w:val="nil"/>
              <w:bottom w:val="single" w:sz="4" w:space="0" w:color="auto"/>
              <w:right w:val="single" w:sz="4" w:space="0" w:color="auto"/>
            </w:tcBorders>
            <w:shd w:val="clear" w:color="auto" w:fill="auto"/>
            <w:noWrap/>
            <w:vAlign w:val="bottom"/>
            <w:hideMark/>
          </w:tcPr>
          <w:p w:rsidR="008C7B5C" w:rsidRPr="00494F7C" w:rsidRDefault="008C7B5C" w:rsidP="00343C8E">
            <w:pPr>
              <w:spacing w:after="0" w:line="240" w:lineRule="auto"/>
              <w:rPr>
                <w:rFonts w:ascii="Calibri" w:eastAsia="Times New Roman" w:hAnsi="Calibri" w:cs="Times New Roman"/>
                <w:color w:val="000000"/>
                <w:lang w:eastAsia="en-GB"/>
              </w:rPr>
            </w:pPr>
            <w:r w:rsidRPr="00494F7C">
              <w:rPr>
                <w:rFonts w:ascii="Calibri" w:eastAsia="Times New Roman" w:hAnsi="Calibri" w:cs="Times New Roman"/>
                <w:color w:val="000000"/>
                <w:lang w:eastAsia="en-GB"/>
              </w:rPr>
              <w:t>2.78-2.84</w:t>
            </w:r>
          </w:p>
        </w:tc>
      </w:tr>
      <w:tr w:rsidR="008C7B5C" w:rsidRPr="00494F7C" w:rsidTr="00343C8E">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C7B5C" w:rsidRPr="00494F7C" w:rsidRDefault="008C7B5C" w:rsidP="00343C8E">
            <w:pPr>
              <w:spacing w:after="0" w:line="240" w:lineRule="auto"/>
              <w:rPr>
                <w:rFonts w:ascii="Calibri" w:eastAsia="Times New Roman" w:hAnsi="Calibri" w:cs="Times New Roman"/>
                <w:color w:val="000000"/>
                <w:lang w:eastAsia="en-GB"/>
              </w:rPr>
            </w:pPr>
            <w:r w:rsidRPr="00494F7C">
              <w:rPr>
                <w:rFonts w:ascii="Calibri" w:eastAsia="Times New Roman" w:hAnsi="Calibri" w:cs="Times New Roman"/>
                <w:color w:val="000000"/>
                <w:lang w:eastAsia="en-GB"/>
              </w:rPr>
              <w:t>Low</w:t>
            </w:r>
            <w:r>
              <w:rPr>
                <w:rFonts w:ascii="Calibri" w:eastAsia="Times New Roman" w:hAnsi="Calibri" w:cs="Times New Roman"/>
                <w:color w:val="000000"/>
                <w:lang w:eastAsia="en-GB"/>
              </w:rPr>
              <w:t xml:space="preserve"> (4)</w:t>
            </w:r>
          </w:p>
        </w:tc>
        <w:tc>
          <w:tcPr>
            <w:tcW w:w="1780" w:type="dxa"/>
            <w:tcBorders>
              <w:top w:val="nil"/>
              <w:left w:val="nil"/>
              <w:bottom w:val="single" w:sz="4" w:space="0" w:color="auto"/>
              <w:right w:val="single" w:sz="4" w:space="0" w:color="auto"/>
            </w:tcBorders>
            <w:shd w:val="clear" w:color="auto" w:fill="auto"/>
            <w:noWrap/>
            <w:vAlign w:val="bottom"/>
            <w:hideMark/>
          </w:tcPr>
          <w:p w:rsidR="008C7B5C" w:rsidRPr="00494F7C" w:rsidRDefault="008C7B5C" w:rsidP="00343C8E">
            <w:pPr>
              <w:spacing w:after="0" w:line="240" w:lineRule="auto"/>
              <w:rPr>
                <w:rFonts w:ascii="Calibri" w:eastAsia="Times New Roman" w:hAnsi="Calibri" w:cs="Times New Roman"/>
                <w:color w:val="000000"/>
                <w:lang w:eastAsia="en-GB"/>
              </w:rPr>
            </w:pPr>
            <w:r w:rsidRPr="00494F7C">
              <w:rPr>
                <w:rFonts w:ascii="Calibri" w:eastAsia="Times New Roman" w:hAnsi="Calibri" w:cs="Times New Roman"/>
                <w:color w:val="000000"/>
                <w:lang w:eastAsia="en-GB"/>
              </w:rPr>
              <w:t>2.61-2.77</w:t>
            </w:r>
          </w:p>
        </w:tc>
      </w:tr>
      <w:tr w:rsidR="008C7B5C" w:rsidRPr="00494F7C" w:rsidTr="00343C8E">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C7B5C" w:rsidRPr="00494F7C" w:rsidRDefault="008C7B5C" w:rsidP="00343C8E">
            <w:pPr>
              <w:spacing w:after="0" w:line="240" w:lineRule="auto"/>
              <w:rPr>
                <w:rFonts w:ascii="Calibri" w:eastAsia="Times New Roman" w:hAnsi="Calibri" w:cs="Times New Roman"/>
                <w:color w:val="000000"/>
                <w:lang w:eastAsia="en-GB"/>
              </w:rPr>
            </w:pPr>
            <w:r w:rsidRPr="00494F7C">
              <w:rPr>
                <w:rFonts w:ascii="Calibri" w:eastAsia="Times New Roman" w:hAnsi="Calibri" w:cs="Times New Roman"/>
                <w:color w:val="000000"/>
                <w:lang w:eastAsia="en-GB"/>
              </w:rPr>
              <w:t>Very Low</w:t>
            </w:r>
            <w:r>
              <w:rPr>
                <w:rFonts w:ascii="Calibri" w:eastAsia="Times New Roman" w:hAnsi="Calibri" w:cs="Times New Roman"/>
                <w:color w:val="000000"/>
                <w:lang w:eastAsia="en-GB"/>
              </w:rPr>
              <w:t>(5)</w:t>
            </w:r>
          </w:p>
        </w:tc>
        <w:tc>
          <w:tcPr>
            <w:tcW w:w="1780" w:type="dxa"/>
            <w:tcBorders>
              <w:top w:val="nil"/>
              <w:left w:val="nil"/>
              <w:bottom w:val="single" w:sz="4" w:space="0" w:color="auto"/>
              <w:right w:val="single" w:sz="4" w:space="0" w:color="auto"/>
            </w:tcBorders>
            <w:shd w:val="clear" w:color="auto" w:fill="auto"/>
            <w:noWrap/>
            <w:vAlign w:val="bottom"/>
            <w:hideMark/>
          </w:tcPr>
          <w:p w:rsidR="008C7B5C" w:rsidRPr="00494F7C" w:rsidRDefault="008C7B5C" w:rsidP="00343C8E">
            <w:pPr>
              <w:spacing w:after="0" w:line="240" w:lineRule="auto"/>
              <w:rPr>
                <w:rFonts w:ascii="Calibri" w:eastAsia="Times New Roman" w:hAnsi="Calibri" w:cs="Times New Roman"/>
                <w:color w:val="000000"/>
                <w:lang w:eastAsia="en-GB"/>
              </w:rPr>
            </w:pPr>
            <w:r w:rsidRPr="00494F7C">
              <w:rPr>
                <w:rFonts w:ascii="Calibri" w:eastAsia="Times New Roman" w:hAnsi="Calibri" w:cs="Times New Roman"/>
                <w:color w:val="000000"/>
                <w:lang w:eastAsia="en-GB"/>
              </w:rPr>
              <w:t>2.60 and below</w:t>
            </w:r>
          </w:p>
        </w:tc>
      </w:tr>
    </w:tbl>
    <w:p w:rsidR="008C7B5C" w:rsidRDefault="008C7B5C" w:rsidP="008C7B5C">
      <w:pPr>
        <w:pStyle w:val="ListParagraph"/>
        <w:ind w:left="1080"/>
      </w:pPr>
    </w:p>
    <w:p w:rsidR="006C7C86" w:rsidRDefault="006C7C86" w:rsidP="006C7C86">
      <w:pPr>
        <w:pStyle w:val="ListParagraph"/>
        <w:numPr>
          <w:ilvl w:val="0"/>
          <w:numId w:val="7"/>
        </w:numPr>
      </w:pPr>
      <w:r>
        <w:t>Interpretation:</w:t>
      </w:r>
    </w:p>
    <w:p w:rsidR="006C7C86" w:rsidRDefault="006C7C86" w:rsidP="006C7C86">
      <w:r>
        <w:t xml:space="preserve">Results from 24 primary schools from a US study by </w:t>
      </w:r>
      <w:proofErr w:type="spellStart"/>
      <w:r>
        <w:t>Battistich</w:t>
      </w:r>
      <w:proofErr w:type="spellEnd"/>
      <w:r>
        <w:t xml:space="preserve"> et al. (1995) is used as a basis for cautious comparison. The highest school average score in the study was 3.29, while the lowest was 2.56. The average score across all 24 schools of 2.95, almost exactly at the scale midpoint, and standard deviation of 0.17 indicates that for this comparison sample scores above 3.12 can be considered above average and those below 2.78. </w:t>
      </w:r>
      <w:proofErr w:type="gramStart"/>
      <w:r>
        <w:t>below</w:t>
      </w:r>
      <w:proofErr w:type="gramEnd"/>
      <w:r>
        <w:t xml:space="preserve"> average. </w:t>
      </w:r>
    </w:p>
    <w:p w:rsidR="006C7C86" w:rsidRDefault="006C7C86" w:rsidP="006C7C86">
      <w:pPr>
        <w:rPr>
          <w:b/>
          <w:u w:val="single"/>
        </w:rPr>
      </w:pPr>
    </w:p>
    <w:p w:rsidR="00E04712" w:rsidRPr="002D7FB6" w:rsidRDefault="00E04712" w:rsidP="006C7C86">
      <w:pPr>
        <w:rPr>
          <w:b/>
          <w:sz w:val="28"/>
          <w:szCs w:val="28"/>
          <w:u w:val="single"/>
        </w:rPr>
      </w:pPr>
      <w:r w:rsidRPr="002D7FB6">
        <w:rPr>
          <w:b/>
          <w:sz w:val="28"/>
          <w:szCs w:val="28"/>
          <w:u w:val="single"/>
        </w:rPr>
        <w:t>School belonging questionnaire:</w:t>
      </w:r>
    </w:p>
    <w:p w:rsidR="001E416F" w:rsidRDefault="001E416F" w:rsidP="001E416F">
      <w:pPr>
        <w:pStyle w:val="ListParagraph"/>
        <w:numPr>
          <w:ilvl w:val="0"/>
          <w:numId w:val="8"/>
        </w:numPr>
      </w:pPr>
      <w:r w:rsidRPr="001E416F">
        <w:t xml:space="preserve">For items: </w:t>
      </w:r>
      <w:r>
        <w:t>1, 2, 4, 6, 7, 11, and 12 – 1=No not true; 2=? Not sure and 3=Yes true</w:t>
      </w:r>
    </w:p>
    <w:p w:rsidR="001E416F" w:rsidRDefault="001E416F" w:rsidP="001E416F">
      <w:pPr>
        <w:pStyle w:val="ListParagraph"/>
        <w:numPr>
          <w:ilvl w:val="0"/>
          <w:numId w:val="8"/>
        </w:numPr>
      </w:pPr>
      <w:r>
        <w:t>Reverse the scores on items: 3, 5, 8, 9 and 10. - 3= No not true; 2=? Not sure and 1=Yes true</w:t>
      </w:r>
    </w:p>
    <w:p w:rsidR="001E416F" w:rsidRDefault="001E416F" w:rsidP="001E416F">
      <w:pPr>
        <w:pStyle w:val="ListParagraph"/>
        <w:numPr>
          <w:ilvl w:val="0"/>
          <w:numId w:val="8"/>
        </w:numPr>
      </w:pPr>
      <w:r>
        <w:t xml:space="preserve">Add scores for each item and divide by 12 to get peoples average score. This is the belonging Scale score. </w:t>
      </w:r>
    </w:p>
    <w:p w:rsidR="001E416F" w:rsidRDefault="001E416F" w:rsidP="001E416F">
      <w:pPr>
        <w:pStyle w:val="ListParagraph"/>
        <w:numPr>
          <w:ilvl w:val="0"/>
          <w:numId w:val="8"/>
        </w:numPr>
      </w:pPr>
      <w:r>
        <w:t xml:space="preserve">The percentage of pupils in a class or school with a low belonging score can be calculated by dividing the number of pupils who score below’2’ by the number of pupil who completed the measure and multiplying by 100. </w:t>
      </w:r>
    </w:p>
    <w:p w:rsidR="001E416F" w:rsidRDefault="00C5651E" w:rsidP="001E416F">
      <w:pPr>
        <w:rPr>
          <w:b/>
          <w:u w:val="single"/>
        </w:rPr>
      </w:pPr>
      <w:r w:rsidRPr="00C5651E">
        <w:rPr>
          <w:b/>
          <w:u w:val="single"/>
        </w:rPr>
        <w:t>Interpretation</w:t>
      </w:r>
    </w:p>
    <w:p w:rsidR="00C5651E" w:rsidRDefault="00C5651E" w:rsidP="001E416F">
      <w:r>
        <w:t>A mid-point of 2 can be used to identify pupils who have a low sense of belonging and may be at risk of alienation. (However, this is normed on a UK study by (Frederickson et al. 2007) on 397 children from years 3 to 6 in 14 schools</w:t>
      </w:r>
      <w:r w:rsidR="00A31F70">
        <w:t xml:space="preserve">. A mean score below 2 was obtained by 16 percent of the sample).  </w:t>
      </w:r>
    </w:p>
    <w:p w:rsidR="00C009DD" w:rsidRDefault="00A31F70" w:rsidP="001E416F">
      <w:r>
        <w:t xml:space="preserve">In retrospect, The Psychological Sense of School Membership Scale (PSSM) should have been used for the secondary school sample as this was developed for pupils aged 10-14 years. The belonging scale that was used was a version of the PSSM scale, reduced from 18 to 12 items, anglicised and simplified for use with children as young as 8 years. </w:t>
      </w:r>
    </w:p>
    <w:p w:rsidR="00A31F70" w:rsidRPr="00C5651E" w:rsidRDefault="00A31F70" w:rsidP="001E416F">
      <w:r>
        <w:lastRenderedPageBreak/>
        <w:t xml:space="preserve">I am unsure as to how this will affect the interpretation of the secondary school scores as the scale midpoint of 3.0 is regarded as the ‘tipping point’ below which a pupil is considered to be more negative than positive in their response on the PSSM scale. </w:t>
      </w:r>
    </w:p>
    <w:p w:rsidR="00C009DD" w:rsidRDefault="00C009DD" w:rsidP="00C009DD">
      <w:pPr>
        <w:pStyle w:val="ListParagraph"/>
        <w:rPr>
          <w:b/>
          <w:u w:val="single"/>
        </w:rPr>
      </w:pPr>
    </w:p>
    <w:p w:rsidR="00F51885" w:rsidRPr="002D7FB6" w:rsidRDefault="00D8010D" w:rsidP="002D7FB6">
      <w:pPr>
        <w:rPr>
          <w:b/>
          <w:sz w:val="28"/>
          <w:szCs w:val="28"/>
          <w:u w:val="single"/>
        </w:rPr>
      </w:pPr>
      <w:r w:rsidRPr="002D7FB6">
        <w:rPr>
          <w:b/>
          <w:sz w:val="28"/>
          <w:szCs w:val="28"/>
          <w:u w:val="single"/>
        </w:rPr>
        <w:t xml:space="preserve">Sense of school connectedness scale </w:t>
      </w:r>
    </w:p>
    <w:p w:rsidR="00184B63" w:rsidRPr="00C009DD" w:rsidRDefault="00C009DD" w:rsidP="00D8010D">
      <w:pPr>
        <w:pStyle w:val="ListParagraph"/>
        <w:numPr>
          <w:ilvl w:val="0"/>
          <w:numId w:val="2"/>
        </w:numPr>
        <w:rPr>
          <w:b/>
          <w:u w:val="single"/>
        </w:rPr>
      </w:pPr>
      <w:r>
        <w:t xml:space="preserve">Scores on each item are summed for each scale. This gives a total score of between 6 and 30. </w:t>
      </w:r>
    </w:p>
    <w:p w:rsidR="00C009DD" w:rsidRPr="00C009DD" w:rsidRDefault="00C009DD" w:rsidP="00C009DD">
      <w:pPr>
        <w:ind w:left="720"/>
      </w:pPr>
      <w:r w:rsidRPr="00C009DD">
        <w:t xml:space="preserve">There </w:t>
      </w:r>
      <w:r>
        <w:t xml:space="preserve">is presently no normative or national data in the UK for this scale. </w:t>
      </w:r>
      <w:r w:rsidR="00362EE5">
        <w:t xml:space="preserve">However, Ozer et al. (2008) provide guidance about school connectedness scores that could be categorised as ‘Low’, ‘Midpoint’ and High. </w:t>
      </w:r>
    </w:p>
    <w:p w:rsidR="00184B63" w:rsidRPr="00184B63" w:rsidRDefault="00184B63" w:rsidP="00184B63">
      <w:pPr>
        <w:rPr>
          <w:b/>
          <w:u w:val="single"/>
        </w:rPr>
      </w:pPr>
      <w:r>
        <w:t xml:space="preserve">             </w:t>
      </w:r>
      <w:r w:rsidRPr="00184B63">
        <w:rPr>
          <w:b/>
          <w:u w:val="single"/>
        </w:rPr>
        <w:t>Scoring Grid</w:t>
      </w:r>
      <w:bookmarkStart w:id="0" w:name="_GoBack"/>
      <w:bookmarkEnd w:id="0"/>
    </w:p>
    <w:p w:rsidR="00184B63" w:rsidRPr="00184B63" w:rsidRDefault="00184B63" w:rsidP="00184B63">
      <w:pPr>
        <w:ind w:left="720"/>
      </w:pPr>
      <w:r w:rsidRPr="00184B63">
        <w:t>6-18 = low</w:t>
      </w:r>
    </w:p>
    <w:p w:rsidR="00184B63" w:rsidRPr="00184B63" w:rsidRDefault="00184B63" w:rsidP="00184B63">
      <w:pPr>
        <w:ind w:left="720"/>
      </w:pPr>
      <w:r w:rsidRPr="00184B63">
        <w:t>19-23 = average</w:t>
      </w:r>
    </w:p>
    <w:p w:rsidR="00184B63" w:rsidRPr="00184B63" w:rsidRDefault="00184B63" w:rsidP="00184B63">
      <w:pPr>
        <w:ind w:left="720"/>
      </w:pPr>
      <w:r w:rsidRPr="00184B63">
        <w:t>24-30 = above average</w:t>
      </w:r>
    </w:p>
    <w:p w:rsidR="00F51885" w:rsidRPr="007A222D" w:rsidRDefault="00F51885" w:rsidP="00F51885"/>
    <w:p w:rsidR="007A222D" w:rsidRDefault="007A222D" w:rsidP="004A6933"/>
    <w:p w:rsidR="007A222D" w:rsidRDefault="007A222D" w:rsidP="004A6933"/>
    <w:sectPr w:rsidR="007A22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45F51"/>
    <w:multiLevelType w:val="hybridMultilevel"/>
    <w:tmpl w:val="1298AB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24738F"/>
    <w:multiLevelType w:val="hybridMultilevel"/>
    <w:tmpl w:val="DCF09FD6"/>
    <w:lvl w:ilvl="0" w:tplc="575A7542">
      <w:start w:val="1"/>
      <w:numFmt w:val="bullet"/>
      <w:lvlText w:val=""/>
      <w:lvlJc w:val="left"/>
      <w:pPr>
        <w:ind w:left="1080" w:hanging="360"/>
      </w:pPr>
      <w:rPr>
        <w:rFonts w:ascii="Wingdings" w:eastAsiaTheme="minorHAnsi"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8E909F3"/>
    <w:multiLevelType w:val="hybridMultilevel"/>
    <w:tmpl w:val="E728AC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3C5EA7"/>
    <w:multiLevelType w:val="hybridMultilevel"/>
    <w:tmpl w:val="F32EDA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6C23C6A"/>
    <w:multiLevelType w:val="hybridMultilevel"/>
    <w:tmpl w:val="DC8A3D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6873C29"/>
    <w:multiLevelType w:val="hybridMultilevel"/>
    <w:tmpl w:val="EF7851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A7631E5"/>
    <w:multiLevelType w:val="hybridMultilevel"/>
    <w:tmpl w:val="C05AAEF2"/>
    <w:lvl w:ilvl="0" w:tplc="0B56499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E780488"/>
    <w:multiLevelType w:val="hybridMultilevel"/>
    <w:tmpl w:val="B0C2AC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1"/>
  </w:num>
  <w:num w:numId="3">
    <w:abstractNumId w:val="4"/>
  </w:num>
  <w:num w:numId="4">
    <w:abstractNumId w:val="6"/>
  </w:num>
  <w:num w:numId="5">
    <w:abstractNumId w:val="3"/>
  </w:num>
  <w:num w:numId="6">
    <w:abstractNumId w:val="2"/>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0E8A1BDF-CDF7-41DA-B9DE-942FA1742875}"/>
    <w:docVar w:name="dgnword-eventsink" w:val="367567664"/>
  </w:docVars>
  <w:rsids>
    <w:rsidRoot w:val="004A6933"/>
    <w:rsid w:val="000766F5"/>
    <w:rsid w:val="000B58CF"/>
    <w:rsid w:val="00116D1E"/>
    <w:rsid w:val="001170DB"/>
    <w:rsid w:val="00184B63"/>
    <w:rsid w:val="001E416F"/>
    <w:rsid w:val="001F3A94"/>
    <w:rsid w:val="0023471B"/>
    <w:rsid w:val="002D7FB6"/>
    <w:rsid w:val="00356EEF"/>
    <w:rsid w:val="00362EE5"/>
    <w:rsid w:val="00423369"/>
    <w:rsid w:val="00451380"/>
    <w:rsid w:val="00494F7C"/>
    <w:rsid w:val="004A6933"/>
    <w:rsid w:val="004E253C"/>
    <w:rsid w:val="00526991"/>
    <w:rsid w:val="0054276C"/>
    <w:rsid w:val="005978D3"/>
    <w:rsid w:val="005F5192"/>
    <w:rsid w:val="00651E49"/>
    <w:rsid w:val="006C7C86"/>
    <w:rsid w:val="007773F2"/>
    <w:rsid w:val="007A222D"/>
    <w:rsid w:val="008B666B"/>
    <w:rsid w:val="008C7B5C"/>
    <w:rsid w:val="00A31F70"/>
    <w:rsid w:val="00B974DC"/>
    <w:rsid w:val="00C009DD"/>
    <w:rsid w:val="00C5651E"/>
    <w:rsid w:val="00C67623"/>
    <w:rsid w:val="00D8010D"/>
    <w:rsid w:val="00E04712"/>
    <w:rsid w:val="00F51885"/>
    <w:rsid w:val="00F54F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F55650-5FB7-4D11-A6DF-78EE113EB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6933"/>
    <w:pPr>
      <w:ind w:left="720"/>
      <w:contextualSpacing/>
    </w:pPr>
  </w:style>
  <w:style w:type="table" w:styleId="TableGrid">
    <w:name w:val="Table Grid"/>
    <w:basedOn w:val="TableNormal"/>
    <w:uiPriority w:val="59"/>
    <w:rsid w:val="001F3A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508196">
      <w:bodyDiv w:val="1"/>
      <w:marLeft w:val="0"/>
      <w:marRight w:val="0"/>
      <w:marTop w:val="0"/>
      <w:marBottom w:val="0"/>
      <w:divBdr>
        <w:top w:val="none" w:sz="0" w:space="0" w:color="auto"/>
        <w:left w:val="none" w:sz="0" w:space="0" w:color="auto"/>
        <w:bottom w:val="none" w:sz="0" w:space="0" w:color="auto"/>
        <w:right w:val="none" w:sz="0" w:space="0" w:color="auto"/>
      </w:divBdr>
    </w:div>
    <w:div w:id="117083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3909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Scott</cp:lastModifiedBy>
  <cp:revision>2</cp:revision>
  <dcterms:created xsi:type="dcterms:W3CDTF">2015-08-25T12:38:00Z</dcterms:created>
  <dcterms:modified xsi:type="dcterms:W3CDTF">2015-08-25T12:38:00Z</dcterms:modified>
</cp:coreProperties>
</file>