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D51EFF" w14:textId="77777777" w:rsidR="00DA1DAB" w:rsidRPr="001E1897" w:rsidRDefault="00DA1DAB" w:rsidP="00DA1DAB">
      <w:pPr>
        <w:pStyle w:val="Header"/>
        <w:jc w:val="center"/>
        <w:rPr>
          <w:b/>
          <w:sz w:val="28"/>
          <w:szCs w:val="28"/>
        </w:rPr>
      </w:pPr>
      <w:bookmarkStart w:id="0" w:name="_GoBack"/>
      <w:bookmarkEnd w:id="0"/>
      <w:r w:rsidRPr="001E1897">
        <w:rPr>
          <w:b/>
          <w:sz w:val="28"/>
          <w:szCs w:val="28"/>
        </w:rPr>
        <w:t>The Learning Hierarchy, adapted from Haring &amp; Eaton, 1978</w:t>
      </w:r>
    </w:p>
    <w:p w14:paraId="0612EBD7" w14:textId="5501113C" w:rsidR="00DA1DAB" w:rsidRPr="009776EB" w:rsidRDefault="00DA1DAB" w:rsidP="00DA1DAB">
      <w:pPr>
        <w:rPr>
          <w:bCs/>
          <w:sz w:val="20"/>
          <w:szCs w:val="20"/>
        </w:rPr>
      </w:pPr>
      <w:r>
        <w:rPr>
          <w:noProof/>
        </w:rPr>
        <w:drawing>
          <wp:anchor distT="12192" distB="11811" distL="114300" distR="114300" simplePos="0" relativeHeight="251659264" behindDoc="1" locked="0" layoutInCell="1" allowOverlap="1" wp14:anchorId="271DA87A" wp14:editId="4A205246">
            <wp:simplePos x="0" y="0"/>
            <wp:positionH relativeFrom="column">
              <wp:posOffset>-302895</wp:posOffset>
            </wp:positionH>
            <wp:positionV relativeFrom="paragraph">
              <wp:posOffset>120142</wp:posOffset>
            </wp:positionV>
            <wp:extent cx="6419850" cy="2371725"/>
            <wp:effectExtent l="0" t="0" r="0" b="9525"/>
            <wp:wrapSquare wrapText="bothSides"/>
            <wp:docPr id="161984938" name="Diagram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5" r:lo="rId6" r:qs="rId7" r:cs="rId8"/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EEE4A5C" w14:textId="77777777" w:rsidR="00DA1DAB" w:rsidRDefault="00DA1DAB" w:rsidP="00DA1DAB">
      <w:pPr>
        <w:pStyle w:val="Header"/>
        <w:ind w:left="720"/>
        <w:rPr>
          <w:i/>
          <w:sz w:val="22"/>
        </w:rPr>
      </w:pPr>
    </w:p>
    <w:p w14:paraId="36A76831" w14:textId="77777777" w:rsidR="00DA1DAB" w:rsidRPr="000A065C" w:rsidRDefault="00DA1DAB" w:rsidP="00DA1DAB">
      <w:pPr>
        <w:pStyle w:val="Header"/>
        <w:spacing w:after="120"/>
        <w:ind w:left="720"/>
        <w:rPr>
          <w:i/>
          <w:sz w:val="22"/>
        </w:rPr>
      </w:pPr>
      <w:r>
        <w:rPr>
          <w:i/>
          <w:sz w:val="22"/>
        </w:rPr>
        <w:t>The Learning Hierarchy is a theory of how learners develop new skills, retain them over time and adapt them to learning other skills:</w:t>
      </w:r>
    </w:p>
    <w:p w14:paraId="4F54DF31" w14:textId="77777777" w:rsidR="00DA1DAB" w:rsidRDefault="00DA1DAB" w:rsidP="00DA1DAB">
      <w:pPr>
        <w:pStyle w:val="Header"/>
        <w:numPr>
          <w:ilvl w:val="0"/>
          <w:numId w:val="1"/>
        </w:numPr>
        <w:tabs>
          <w:tab w:val="clear" w:pos="4513"/>
          <w:tab w:val="clear" w:pos="9026"/>
        </w:tabs>
        <w:spacing w:after="120"/>
        <w:rPr>
          <w:i/>
          <w:sz w:val="22"/>
        </w:rPr>
      </w:pPr>
      <w:r w:rsidRPr="00174822">
        <w:rPr>
          <w:i/>
          <w:sz w:val="22"/>
        </w:rPr>
        <w:t>At the first stage of acquisition the learner is developing the ability</w:t>
      </w:r>
      <w:r>
        <w:rPr>
          <w:i/>
          <w:sz w:val="22"/>
        </w:rPr>
        <w:t xml:space="preserve"> to perform a skill accurately.</w:t>
      </w:r>
    </w:p>
    <w:p w14:paraId="060327E8" w14:textId="77777777" w:rsidR="00DA1DAB" w:rsidRDefault="00DA1DAB" w:rsidP="00DA1DAB">
      <w:pPr>
        <w:pStyle w:val="Header"/>
        <w:numPr>
          <w:ilvl w:val="0"/>
          <w:numId w:val="1"/>
        </w:numPr>
        <w:tabs>
          <w:tab w:val="clear" w:pos="4513"/>
          <w:tab w:val="clear" w:pos="9026"/>
        </w:tabs>
        <w:spacing w:after="120"/>
        <w:rPr>
          <w:i/>
          <w:sz w:val="22"/>
        </w:rPr>
      </w:pPr>
      <w:r w:rsidRPr="00174822">
        <w:rPr>
          <w:i/>
          <w:sz w:val="22"/>
        </w:rPr>
        <w:t>The learner progresses to the fluency stage when performance be</w:t>
      </w:r>
      <w:r>
        <w:rPr>
          <w:i/>
          <w:sz w:val="22"/>
        </w:rPr>
        <w:t>comes fast as well as accurate.</w:t>
      </w:r>
    </w:p>
    <w:p w14:paraId="421E9F3C" w14:textId="77777777" w:rsidR="00DA1DAB" w:rsidRDefault="00DA1DAB" w:rsidP="00DA1DAB">
      <w:pPr>
        <w:pStyle w:val="Header"/>
        <w:numPr>
          <w:ilvl w:val="0"/>
          <w:numId w:val="1"/>
        </w:numPr>
        <w:tabs>
          <w:tab w:val="clear" w:pos="4513"/>
          <w:tab w:val="clear" w:pos="9026"/>
        </w:tabs>
        <w:spacing w:after="120"/>
        <w:rPr>
          <w:i/>
          <w:sz w:val="22"/>
        </w:rPr>
      </w:pPr>
      <w:r w:rsidRPr="00174822">
        <w:rPr>
          <w:i/>
          <w:sz w:val="22"/>
        </w:rPr>
        <w:t>Regular opportunities to practice fluent performance move the learner onto the maintenance or “mastery” stage, where the skills and kn</w:t>
      </w:r>
      <w:r>
        <w:rPr>
          <w:i/>
          <w:sz w:val="22"/>
        </w:rPr>
        <w:t>owledge are retained over time.</w:t>
      </w:r>
    </w:p>
    <w:p w14:paraId="2BCFA43A" w14:textId="77777777" w:rsidR="00DA1DAB" w:rsidRDefault="00DA1DAB" w:rsidP="00DA1DAB">
      <w:pPr>
        <w:pStyle w:val="Header"/>
        <w:numPr>
          <w:ilvl w:val="0"/>
          <w:numId w:val="1"/>
        </w:numPr>
        <w:tabs>
          <w:tab w:val="clear" w:pos="4513"/>
          <w:tab w:val="clear" w:pos="9026"/>
        </w:tabs>
        <w:spacing w:after="120"/>
        <w:rPr>
          <w:i/>
          <w:sz w:val="22"/>
        </w:rPr>
      </w:pPr>
      <w:r>
        <w:rPr>
          <w:i/>
          <w:sz w:val="22"/>
        </w:rPr>
        <w:t>Further opportunities to practice the skill in different situations supports the learner to generalise the skill, for example accurate spelling in a single word test, generalised to accurate spelling during story-writing.</w:t>
      </w:r>
    </w:p>
    <w:p w14:paraId="57DC2055" w14:textId="77777777" w:rsidR="00DA1DAB" w:rsidRDefault="00DA1DAB" w:rsidP="00DA1DAB">
      <w:pPr>
        <w:pStyle w:val="Header"/>
        <w:numPr>
          <w:ilvl w:val="0"/>
          <w:numId w:val="1"/>
        </w:numPr>
        <w:tabs>
          <w:tab w:val="clear" w:pos="4513"/>
          <w:tab w:val="clear" w:pos="9026"/>
        </w:tabs>
        <w:spacing w:after="120"/>
        <w:rPr>
          <w:i/>
          <w:sz w:val="22"/>
        </w:rPr>
      </w:pPr>
      <w:r>
        <w:rPr>
          <w:i/>
          <w:sz w:val="22"/>
        </w:rPr>
        <w:t>At the final stage of adaptation, the learner is able to apply the skill to developing other related or similar skills.</w:t>
      </w:r>
    </w:p>
    <w:p w14:paraId="32D13FDC" w14:textId="77777777" w:rsidR="00DA1DAB" w:rsidRPr="00174822" w:rsidRDefault="00DA1DAB" w:rsidP="00DA1DAB">
      <w:pPr>
        <w:pStyle w:val="Header"/>
        <w:ind w:left="720"/>
        <w:rPr>
          <w:i/>
          <w:sz w:val="22"/>
        </w:rPr>
      </w:pPr>
      <w:r>
        <w:rPr>
          <w:i/>
          <w:sz w:val="22"/>
        </w:rPr>
        <w:t xml:space="preserve">It is </w:t>
      </w:r>
      <w:r w:rsidRPr="00174822">
        <w:rPr>
          <w:i/>
          <w:sz w:val="22"/>
        </w:rPr>
        <w:t xml:space="preserve">important to be aware that </w:t>
      </w:r>
      <w:r>
        <w:rPr>
          <w:i/>
          <w:sz w:val="22"/>
        </w:rPr>
        <w:t>a child</w:t>
      </w:r>
      <w:r w:rsidRPr="00174822">
        <w:rPr>
          <w:i/>
          <w:sz w:val="22"/>
        </w:rPr>
        <w:t xml:space="preserve"> may show the capacity to acquire a skill, but without sufficient opportunities to develop </w:t>
      </w:r>
      <w:r>
        <w:rPr>
          <w:i/>
          <w:sz w:val="22"/>
        </w:rPr>
        <w:t>fast</w:t>
      </w:r>
      <w:r w:rsidRPr="00174822">
        <w:rPr>
          <w:i/>
          <w:sz w:val="22"/>
        </w:rPr>
        <w:t xml:space="preserve"> performance of that skill, </w:t>
      </w:r>
      <w:r>
        <w:rPr>
          <w:i/>
          <w:sz w:val="22"/>
        </w:rPr>
        <w:t>he/she</w:t>
      </w:r>
      <w:r w:rsidRPr="00174822">
        <w:rPr>
          <w:i/>
          <w:sz w:val="22"/>
        </w:rPr>
        <w:t xml:space="preserve"> will be unlikely to retain it over time – this can be mistakenly interpreted as a difficulty in being able to acquire the skill. It </w:t>
      </w:r>
      <w:r>
        <w:rPr>
          <w:i/>
          <w:sz w:val="22"/>
        </w:rPr>
        <w:t>is</w:t>
      </w:r>
      <w:r w:rsidRPr="00174822">
        <w:rPr>
          <w:i/>
          <w:sz w:val="22"/>
        </w:rPr>
        <w:t xml:space="preserve"> therefore important to ensure that </w:t>
      </w:r>
      <w:r>
        <w:rPr>
          <w:i/>
          <w:sz w:val="22"/>
        </w:rPr>
        <w:t>a child</w:t>
      </w:r>
      <w:r w:rsidRPr="00174822">
        <w:rPr>
          <w:i/>
          <w:sz w:val="22"/>
        </w:rPr>
        <w:t xml:space="preserve"> is given ample opportu</w:t>
      </w:r>
      <w:r>
        <w:rPr>
          <w:i/>
          <w:sz w:val="22"/>
        </w:rPr>
        <w:t>nities to develop fluency in his/her</w:t>
      </w:r>
      <w:r w:rsidRPr="00174822">
        <w:rPr>
          <w:i/>
          <w:sz w:val="22"/>
        </w:rPr>
        <w:t xml:space="preserve"> learning, before moving </w:t>
      </w:r>
      <w:r>
        <w:rPr>
          <w:i/>
          <w:sz w:val="22"/>
        </w:rPr>
        <w:t>the learning forward.</w:t>
      </w:r>
    </w:p>
    <w:p w14:paraId="208BB2BD" w14:textId="77777777" w:rsidR="00DA1DAB" w:rsidRPr="00027262" w:rsidRDefault="00DA1DAB" w:rsidP="00DA1DAB"/>
    <w:p w14:paraId="54258CF0" w14:textId="77777777" w:rsidR="007E3EF4" w:rsidRDefault="007E3EF4">
      <w:pPr>
        <w:rPr>
          <w:szCs w:val="24"/>
        </w:rPr>
      </w:pPr>
    </w:p>
    <w:p w14:paraId="7CA270DA" w14:textId="77777777" w:rsidR="00DA1DAB" w:rsidRDefault="00DA1DAB">
      <w:pPr>
        <w:rPr>
          <w:szCs w:val="24"/>
        </w:rPr>
      </w:pPr>
    </w:p>
    <w:p w14:paraId="171BEEBD" w14:textId="45E193BE" w:rsidR="00DA1DAB" w:rsidRPr="00DA1DAB" w:rsidRDefault="00DA1DAB" w:rsidP="00DA1DAB">
      <w:pPr>
        <w:pStyle w:val="ListParagraph"/>
        <w:numPr>
          <w:ilvl w:val="0"/>
          <w:numId w:val="2"/>
        </w:numPr>
        <w:rPr>
          <w:szCs w:val="24"/>
        </w:rPr>
      </w:pPr>
      <w:r w:rsidRPr="00DA1DAB">
        <w:rPr>
          <w:szCs w:val="24"/>
        </w:rPr>
        <w:t xml:space="preserve">Staff working with </w:t>
      </w:r>
      <w:r>
        <w:rPr>
          <w:szCs w:val="24"/>
        </w:rPr>
        <w:t>XXX</w:t>
      </w:r>
      <w:r w:rsidRPr="00DA1DAB">
        <w:rPr>
          <w:szCs w:val="24"/>
        </w:rPr>
        <w:t xml:space="preserve"> may find it helpful to hold in mind the ‘Learning Hierarchy’ of skill development to help build </w:t>
      </w:r>
      <w:r w:rsidRPr="00DA1DAB">
        <w:rPr>
          <w:szCs w:val="24"/>
          <w:u w:val="single"/>
        </w:rPr>
        <w:t>hi</w:t>
      </w:r>
      <w:r w:rsidRPr="00DA1DAB">
        <w:rPr>
          <w:szCs w:val="24"/>
          <w:u w:val="single"/>
        </w:rPr>
        <w:t>s/her</w:t>
      </w:r>
      <w:r w:rsidRPr="00DA1DAB">
        <w:rPr>
          <w:szCs w:val="24"/>
        </w:rPr>
        <w:t xml:space="preserve"> confidence and support retention of knowledge and skills over time (see appendix). Awareness of the first three stages of the hierarchy would be particularly useful in supporting </w:t>
      </w:r>
      <w:proofErr w:type="spellStart"/>
      <w:r>
        <w:rPr>
          <w:szCs w:val="24"/>
        </w:rPr>
        <w:t>xxx</w:t>
      </w:r>
      <w:r w:rsidRPr="00DA1DAB">
        <w:rPr>
          <w:szCs w:val="24"/>
        </w:rPr>
        <w:t>’s</w:t>
      </w:r>
      <w:proofErr w:type="spellEnd"/>
      <w:r w:rsidRPr="00DA1DAB">
        <w:rPr>
          <w:szCs w:val="24"/>
        </w:rPr>
        <w:t xml:space="preserve"> learning.</w:t>
      </w:r>
    </w:p>
    <w:sectPr w:rsidR="00DA1DAB" w:rsidRPr="00DA1DAB" w:rsidSect="00DA1DAB">
      <w:footerReference w:type="default" r:id="rId10"/>
      <w:pgSz w:w="11906" w:h="16838"/>
      <w:pgMar w:top="1135" w:right="1418" w:bottom="851" w:left="1418" w:header="709" w:footer="41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54D201" w14:textId="77777777" w:rsidR="00DA1DAB" w:rsidRPr="008C6BED" w:rsidRDefault="00DA1DAB" w:rsidP="006E1AFA">
    <w:pPr>
      <w:pStyle w:val="Heading6"/>
      <w:rPr>
        <w:rFonts w:cs="Arial"/>
        <w:bCs w:val="0"/>
        <w:i/>
        <w:iCs/>
        <w:sz w:val="18"/>
        <w:szCs w:val="18"/>
      </w:rPr>
    </w:pPr>
    <w:r w:rsidRPr="008C6BED">
      <w:rPr>
        <w:rFonts w:cs="Arial"/>
        <w:bCs w:val="0"/>
        <w:i/>
        <w:iCs/>
        <w:sz w:val="18"/>
        <w:szCs w:val="18"/>
      </w:rPr>
      <w:t xml:space="preserve">This report should not be copied, in whole or in part, without the permission of the </w:t>
    </w:r>
    <w:proofErr w:type="gramStart"/>
    <w:r w:rsidRPr="008C6BED">
      <w:rPr>
        <w:rFonts w:cs="Arial"/>
        <w:bCs w:val="0"/>
        <w:i/>
        <w:iCs/>
        <w:sz w:val="18"/>
        <w:szCs w:val="18"/>
      </w:rPr>
      <w:t>author</w:t>
    </w:r>
    <w:proofErr w:type="gramEnd"/>
  </w:p>
  <w:p w14:paraId="130945EF" w14:textId="77777777" w:rsidR="00DA1DAB" w:rsidRDefault="00DA1DAB" w:rsidP="006E1AFA">
    <w:pPr>
      <w:pStyle w:val="Footer"/>
      <w:rPr>
        <w:sz w:val="16"/>
        <w:szCs w:val="16"/>
      </w:rPr>
    </w:pPr>
  </w:p>
  <w:p w14:paraId="65CCA5EF" w14:textId="77777777" w:rsidR="00DA1DAB" w:rsidRPr="00D42663" w:rsidRDefault="00DA1DAB" w:rsidP="006E1AFA">
    <w:pPr>
      <w:pStyle w:val="Footer"/>
      <w:rPr>
        <w:sz w:val="16"/>
        <w:szCs w:val="16"/>
      </w:rPr>
    </w:pPr>
    <w:r w:rsidRPr="00D42663">
      <w:rPr>
        <w:sz w:val="16"/>
        <w:szCs w:val="16"/>
      </w:rPr>
      <w:t>Confidential</w:t>
    </w:r>
    <w:r w:rsidRPr="00D42663">
      <w:rPr>
        <w:sz w:val="16"/>
        <w:szCs w:val="16"/>
      </w:rPr>
      <w:tab/>
      <w:t xml:space="preserve">                             Page </w:t>
    </w:r>
    <w:r w:rsidRPr="00D42663">
      <w:rPr>
        <w:sz w:val="16"/>
        <w:szCs w:val="16"/>
      </w:rPr>
      <w:fldChar w:fldCharType="begin"/>
    </w:r>
    <w:r w:rsidRPr="00D42663">
      <w:rPr>
        <w:sz w:val="16"/>
        <w:szCs w:val="16"/>
      </w:rPr>
      <w:instrText xml:space="preserve"> PAGE </w:instrText>
    </w:r>
    <w:r w:rsidRPr="00D42663">
      <w:rPr>
        <w:sz w:val="16"/>
        <w:szCs w:val="16"/>
      </w:rPr>
      <w:fldChar w:fldCharType="separate"/>
    </w:r>
    <w:r>
      <w:rPr>
        <w:noProof/>
        <w:sz w:val="16"/>
        <w:szCs w:val="16"/>
      </w:rPr>
      <w:t>1</w:t>
    </w:r>
    <w:r w:rsidRPr="00D42663">
      <w:rPr>
        <w:sz w:val="16"/>
        <w:szCs w:val="16"/>
      </w:rPr>
      <w:fldChar w:fldCharType="end"/>
    </w:r>
    <w:r w:rsidRPr="00D42663">
      <w:rPr>
        <w:sz w:val="16"/>
        <w:szCs w:val="16"/>
      </w:rPr>
      <w:t xml:space="preserve"> of </w:t>
    </w:r>
    <w:r w:rsidRPr="00D42663">
      <w:rPr>
        <w:sz w:val="16"/>
        <w:szCs w:val="16"/>
      </w:rPr>
      <w:fldChar w:fldCharType="begin"/>
    </w:r>
    <w:r w:rsidRPr="00D42663">
      <w:rPr>
        <w:sz w:val="16"/>
        <w:szCs w:val="16"/>
      </w:rPr>
      <w:instrText xml:space="preserve"> NUMPAGES </w:instrText>
    </w:r>
    <w:r w:rsidRPr="00D42663">
      <w:rPr>
        <w:sz w:val="16"/>
        <w:szCs w:val="16"/>
      </w:rPr>
      <w:fldChar w:fldCharType="separate"/>
    </w:r>
    <w:r>
      <w:rPr>
        <w:noProof/>
        <w:sz w:val="16"/>
        <w:szCs w:val="16"/>
      </w:rPr>
      <w:t>10</w:t>
    </w:r>
    <w:r w:rsidRPr="00D42663">
      <w:rPr>
        <w:sz w:val="16"/>
        <w:szCs w:val="16"/>
      </w:rPr>
      <w:fldChar w:fldCharType="end"/>
    </w:r>
  </w:p>
  <w:p w14:paraId="77069FEE" w14:textId="77777777" w:rsidR="00DA1DAB" w:rsidRDefault="00DA1DAB">
    <w:pPr>
      <w:pStyle w:val="Footer"/>
    </w:pP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A547F8"/>
    <w:multiLevelType w:val="hybridMultilevel"/>
    <w:tmpl w:val="919808D0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41411B01"/>
    <w:multiLevelType w:val="hybridMultilevel"/>
    <w:tmpl w:val="3BDCD3E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12913697">
    <w:abstractNumId w:val="0"/>
  </w:num>
  <w:num w:numId="2" w16cid:durableId="8962065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87"/>
  <w:drawingGridVerticalSpacing w:val="187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DA1DAB"/>
    <w:rsid w:val="001B4A1F"/>
    <w:rsid w:val="002F0228"/>
    <w:rsid w:val="0030250A"/>
    <w:rsid w:val="00484047"/>
    <w:rsid w:val="00597F74"/>
    <w:rsid w:val="007A24D7"/>
    <w:rsid w:val="007E3EF4"/>
    <w:rsid w:val="008071B2"/>
    <w:rsid w:val="008155E4"/>
    <w:rsid w:val="00BD384E"/>
    <w:rsid w:val="00CB4E25"/>
    <w:rsid w:val="00CF248B"/>
    <w:rsid w:val="00D26C7F"/>
    <w:rsid w:val="00DA1DAB"/>
    <w:rsid w:val="00E32BE6"/>
    <w:rsid w:val="00EA6435"/>
    <w:rsid w:val="00EE153E"/>
    <w:rsid w:val="00F654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3C5E0908"/>
  <w15:chartTrackingRefBased/>
  <w15:docId w15:val="{D5D006A2-A727-47D4-AE5E-80DE6B66B5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1DAB"/>
    <w:rPr>
      <w:rFonts w:ascii="Calibri" w:eastAsia="Times New Roman" w:hAnsi="Calibri" w:cs="Arial"/>
      <w:sz w:val="24"/>
      <w:lang w:eastAsia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E32BE6"/>
    <w:pPr>
      <w:keepNext/>
      <w:keepLines/>
      <w:spacing w:before="240"/>
      <w:outlineLvl w:val="0"/>
    </w:pPr>
    <w:rPr>
      <w:rFonts w:eastAsiaTheme="majorEastAsia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2BE6"/>
    <w:pPr>
      <w:keepNext/>
      <w:keepLines/>
      <w:spacing w:before="40"/>
      <w:outlineLvl w:val="1"/>
    </w:pPr>
    <w:rPr>
      <w:rFonts w:eastAsiaTheme="majorEastAsia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32BE6"/>
    <w:pPr>
      <w:keepNext/>
      <w:keepLines/>
      <w:spacing w:before="40"/>
      <w:outlineLvl w:val="2"/>
    </w:pPr>
    <w:rPr>
      <w:rFonts w:eastAsiaTheme="majorEastAsia" w:cstheme="majorBidi"/>
      <w:color w:val="243F60" w:themeColor="accent1" w:themeShade="7F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2BE6"/>
    <w:pPr>
      <w:keepNext/>
      <w:keepLines/>
      <w:spacing w:before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DA1DAB"/>
    <w:pPr>
      <w:spacing w:before="240" w:after="60"/>
      <w:outlineLvl w:val="5"/>
    </w:pPr>
    <w:rPr>
      <w:rFonts w:cs="Times New Roman"/>
      <w:b/>
      <w:bCs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1B4A1F"/>
    <w:rPr>
      <w:sz w:val="24"/>
    </w:rPr>
  </w:style>
  <w:style w:type="character" w:customStyle="1" w:styleId="Heading1Char">
    <w:name w:val="Heading 1 Char"/>
    <w:basedOn w:val="DefaultParagraphFont"/>
    <w:link w:val="Heading1"/>
    <w:uiPriority w:val="9"/>
    <w:rsid w:val="00E32BE6"/>
    <w:rPr>
      <w:rFonts w:ascii="Calibri" w:eastAsiaTheme="majorEastAsia" w:hAnsi="Calibri" w:cstheme="majorBidi"/>
      <w:color w:val="365F91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E32BE6"/>
    <w:rPr>
      <w:rFonts w:ascii="Calibri" w:eastAsiaTheme="majorEastAsia" w:hAnsi="Calibri" w:cstheme="majorBidi"/>
      <w:color w:val="365F91" w:themeColor="accent1" w:themeShade="BF"/>
      <w:sz w:val="26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E32BE6"/>
    <w:pPr>
      <w:contextualSpacing/>
    </w:pPr>
    <w:rPr>
      <w:rFonts w:eastAsiaTheme="majorEastAsia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2BE6"/>
    <w:rPr>
      <w:rFonts w:ascii="Calibri" w:eastAsiaTheme="majorEastAsia" w:hAnsi="Calibr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2BE6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  <w:sz w:val="22"/>
    </w:rPr>
  </w:style>
  <w:style w:type="character" w:customStyle="1" w:styleId="SubtitleChar">
    <w:name w:val="Subtitle Char"/>
    <w:basedOn w:val="DefaultParagraphFont"/>
    <w:link w:val="Subtitle"/>
    <w:uiPriority w:val="11"/>
    <w:rsid w:val="00E32BE6"/>
    <w:rPr>
      <w:rFonts w:ascii="Calibri" w:eastAsiaTheme="minorEastAsia" w:hAnsi="Calibri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qFormat/>
    <w:rsid w:val="001B4A1F"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sid w:val="001B4A1F"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1B4A1F"/>
    <w:rPr>
      <w:i/>
      <w:iCs/>
      <w:color w:val="4F81BD" w:themeColor="accent1"/>
    </w:rPr>
  </w:style>
  <w:style w:type="character" w:customStyle="1" w:styleId="Heading3Char">
    <w:name w:val="Heading 3 Char"/>
    <w:basedOn w:val="DefaultParagraphFont"/>
    <w:link w:val="Heading3"/>
    <w:uiPriority w:val="9"/>
    <w:rsid w:val="00E32BE6"/>
    <w:rPr>
      <w:rFonts w:ascii="Calibri" w:eastAsiaTheme="majorEastAsia" w:hAnsi="Calibri" w:cstheme="majorBidi"/>
      <w:color w:val="243F60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2BE6"/>
    <w:rPr>
      <w:rFonts w:ascii="Calibri" w:eastAsiaTheme="majorEastAsia" w:hAnsi="Calibri" w:cstheme="majorBidi"/>
      <w:i/>
      <w:iCs/>
      <w:color w:val="365F91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semiHidden/>
    <w:rsid w:val="00DA1DAB"/>
    <w:rPr>
      <w:rFonts w:ascii="Calibri" w:eastAsia="Times New Roman" w:hAnsi="Calibri" w:cs="Times New Roman"/>
      <w:b/>
      <w:bCs/>
      <w:lang w:eastAsia="en-GB"/>
    </w:rPr>
  </w:style>
  <w:style w:type="paragraph" w:styleId="Header">
    <w:name w:val="header"/>
    <w:basedOn w:val="Normal"/>
    <w:link w:val="HeaderChar"/>
    <w:rsid w:val="00DA1DAB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DA1DAB"/>
    <w:rPr>
      <w:rFonts w:ascii="Calibri" w:eastAsia="Times New Roman" w:hAnsi="Calibri" w:cs="Arial"/>
      <w:sz w:val="24"/>
      <w:lang w:eastAsia="en-GB"/>
    </w:rPr>
  </w:style>
  <w:style w:type="paragraph" w:styleId="Footer">
    <w:name w:val="footer"/>
    <w:basedOn w:val="Normal"/>
    <w:link w:val="FooterChar"/>
    <w:rsid w:val="00DA1DA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DA1DAB"/>
    <w:rPr>
      <w:rFonts w:ascii="Calibri" w:eastAsia="Times New Roman" w:hAnsi="Calibri" w:cs="Arial"/>
      <w:sz w:val="24"/>
      <w:lang w:eastAsia="en-GB"/>
    </w:rPr>
  </w:style>
  <w:style w:type="paragraph" w:styleId="ListParagraph">
    <w:name w:val="List Paragraph"/>
    <w:basedOn w:val="Normal"/>
    <w:uiPriority w:val="34"/>
    <w:qFormat/>
    <w:rsid w:val="00DA1DA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Colors" Target="diagrams/colors1.xml"/><Relationship Id="rId3" Type="http://schemas.openxmlformats.org/officeDocument/2006/relationships/settings" Target="settings.xml"/><Relationship Id="rId7" Type="http://schemas.openxmlformats.org/officeDocument/2006/relationships/diagramQuickStyle" Target="diagrams/quickStyle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diagramLayout" Target="diagrams/layout1.xml"/><Relationship Id="rId11" Type="http://schemas.openxmlformats.org/officeDocument/2006/relationships/fontTable" Target="fontTable.xml"/><Relationship Id="rId5" Type="http://schemas.openxmlformats.org/officeDocument/2006/relationships/diagramData" Target="diagrams/data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microsoft.com/office/2007/relationships/diagramDrawing" Target="diagrams/drawing1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B89D3D8E-8461-4A12-B160-FB62D79C0CBC}" type="doc">
      <dgm:prSet loTypeId="urn:microsoft.com/office/officeart/2005/8/layout/pyramid2" loCatId="list" qsTypeId="urn:microsoft.com/office/officeart/2005/8/quickstyle/simple1" qsCatId="simple" csTypeId="urn:microsoft.com/office/officeart/2005/8/colors/accent1_2" csCatId="accent1" phldr="1"/>
      <dgm:spPr/>
    </dgm:pt>
    <dgm:pt modelId="{5F308F90-A3C6-4696-9D98-E1C50C832C6C}">
      <dgm:prSet phldrT="[Text]"/>
      <dgm:spPr>
        <a:xfrm>
          <a:off x="3032045" y="996170"/>
          <a:ext cx="1541621" cy="337229"/>
        </a:xfrm>
        <a:prstGeom prst="roundRect">
          <a:avLst/>
        </a:prstGeom>
        <a:solidFill>
          <a:sysClr val="window" lastClr="FFFFFF">
            <a:alpha val="90000"/>
            <a:hueOff val="0"/>
            <a:satOff val="0"/>
            <a:lumOff val="0"/>
            <a:alphaOff val="0"/>
          </a:sysClr>
        </a:solidFill>
        <a:ln w="25400" cap="flat" cmpd="sng" algn="ctr">
          <a:solidFill>
            <a:srgbClr val="4F81BD">
              <a:hueOff val="0"/>
              <a:satOff val="0"/>
              <a:lumOff val="0"/>
              <a:alphaOff val="0"/>
            </a:srgbClr>
          </a:solidFill>
          <a:prstDash val="solid"/>
        </a:ln>
        <a:effectLst/>
      </dgm:spPr>
      <dgm:t>
        <a:bodyPr/>
        <a:lstStyle/>
        <a:p>
          <a:pPr algn="ctr"/>
          <a:r>
            <a:rPr lang="en-GB" dirty="0">
              <a:solidFill>
                <a:sysClr val="windowText" lastClr="000000">
                  <a:hueOff val="0"/>
                  <a:satOff val="0"/>
                  <a:lumOff val="0"/>
                  <a:alphaOff val="0"/>
                </a:sysClr>
              </a:solidFill>
              <a:latin typeface="Calibri"/>
              <a:ea typeface="+mn-ea"/>
              <a:cs typeface="+mn-cs"/>
            </a:rPr>
            <a:t>Maintenance </a:t>
          </a:r>
        </a:p>
      </dgm:t>
    </dgm:pt>
    <dgm:pt modelId="{8DBF87B8-8C52-485F-AD8B-C960ED5E7D9E}" type="parTrans" cxnId="{E3A2000A-85FF-43CE-A8F4-9E5DCFDB81FB}">
      <dgm:prSet/>
      <dgm:spPr/>
      <dgm:t>
        <a:bodyPr/>
        <a:lstStyle/>
        <a:p>
          <a:pPr algn="ctr"/>
          <a:endParaRPr lang="en-GB"/>
        </a:p>
      </dgm:t>
    </dgm:pt>
    <dgm:pt modelId="{3E49D793-3DC9-493F-B0FE-336F742FD466}" type="sibTrans" cxnId="{E3A2000A-85FF-43CE-A8F4-9E5DCFDB81FB}">
      <dgm:prSet/>
      <dgm:spPr/>
      <dgm:t>
        <a:bodyPr/>
        <a:lstStyle/>
        <a:p>
          <a:pPr algn="ctr"/>
          <a:endParaRPr lang="en-GB"/>
        </a:p>
      </dgm:t>
    </dgm:pt>
    <dgm:pt modelId="{80A1C7F5-E659-4F66-A7A3-B22A357C9345}">
      <dgm:prSet phldrT="[Text]"/>
      <dgm:spPr>
        <a:xfrm>
          <a:off x="3032045" y="1754937"/>
          <a:ext cx="1541621" cy="337229"/>
        </a:xfrm>
        <a:prstGeom prst="roundRect">
          <a:avLst/>
        </a:prstGeom>
        <a:solidFill>
          <a:sysClr val="window" lastClr="FFFFFF">
            <a:alpha val="90000"/>
            <a:hueOff val="0"/>
            <a:satOff val="0"/>
            <a:lumOff val="0"/>
            <a:alphaOff val="0"/>
          </a:sysClr>
        </a:solidFill>
        <a:ln w="25400" cap="flat" cmpd="sng" algn="ctr">
          <a:solidFill>
            <a:srgbClr val="4F81BD">
              <a:hueOff val="0"/>
              <a:satOff val="0"/>
              <a:lumOff val="0"/>
              <a:alphaOff val="0"/>
            </a:srgbClr>
          </a:solidFill>
          <a:prstDash val="solid"/>
        </a:ln>
        <a:effectLst/>
      </dgm:spPr>
      <dgm:t>
        <a:bodyPr/>
        <a:lstStyle/>
        <a:p>
          <a:pPr algn="ctr"/>
          <a:r>
            <a:rPr lang="en-GB" dirty="0">
              <a:solidFill>
                <a:sysClr val="windowText" lastClr="000000">
                  <a:hueOff val="0"/>
                  <a:satOff val="0"/>
                  <a:lumOff val="0"/>
                  <a:alphaOff val="0"/>
                </a:sysClr>
              </a:solidFill>
              <a:latin typeface="Calibri"/>
              <a:ea typeface="+mn-ea"/>
              <a:cs typeface="+mn-cs"/>
            </a:rPr>
            <a:t>Acquisition</a:t>
          </a:r>
        </a:p>
      </dgm:t>
    </dgm:pt>
    <dgm:pt modelId="{94BEF7FE-2ACE-4365-A9ED-64A312F9F086}" type="parTrans" cxnId="{93680761-684D-4F73-AEE3-DF090051FE57}">
      <dgm:prSet/>
      <dgm:spPr/>
      <dgm:t>
        <a:bodyPr/>
        <a:lstStyle/>
        <a:p>
          <a:pPr algn="ctr"/>
          <a:endParaRPr lang="en-GB"/>
        </a:p>
      </dgm:t>
    </dgm:pt>
    <dgm:pt modelId="{CD672D8E-AC07-4E48-956F-7E683D8C6A57}" type="sibTrans" cxnId="{93680761-684D-4F73-AEE3-DF090051FE57}">
      <dgm:prSet/>
      <dgm:spPr/>
      <dgm:t>
        <a:bodyPr/>
        <a:lstStyle/>
        <a:p>
          <a:pPr algn="ctr"/>
          <a:endParaRPr lang="en-GB"/>
        </a:p>
      </dgm:t>
    </dgm:pt>
    <dgm:pt modelId="{A8E5A7F8-B571-423E-89B9-FA7D6BD3A78F}">
      <dgm:prSet/>
      <dgm:spPr>
        <a:xfrm>
          <a:off x="3032045" y="616787"/>
          <a:ext cx="1541621" cy="337229"/>
        </a:xfrm>
        <a:prstGeom prst="roundRect">
          <a:avLst/>
        </a:prstGeom>
        <a:solidFill>
          <a:sysClr val="window" lastClr="FFFFFF">
            <a:alpha val="90000"/>
            <a:hueOff val="0"/>
            <a:satOff val="0"/>
            <a:lumOff val="0"/>
            <a:alphaOff val="0"/>
          </a:sysClr>
        </a:solidFill>
        <a:ln w="25400" cap="flat" cmpd="sng" algn="ctr">
          <a:solidFill>
            <a:srgbClr val="4F81BD">
              <a:hueOff val="0"/>
              <a:satOff val="0"/>
              <a:lumOff val="0"/>
              <a:alphaOff val="0"/>
            </a:srgbClr>
          </a:solidFill>
          <a:prstDash val="solid"/>
        </a:ln>
        <a:effectLst/>
      </dgm:spPr>
      <dgm:t>
        <a:bodyPr/>
        <a:lstStyle/>
        <a:p>
          <a:pPr algn="ctr"/>
          <a:r>
            <a:rPr lang="en-GB" dirty="0">
              <a:solidFill>
                <a:sysClr val="windowText" lastClr="000000">
                  <a:hueOff val="0"/>
                  <a:satOff val="0"/>
                  <a:lumOff val="0"/>
                  <a:alphaOff val="0"/>
                </a:sysClr>
              </a:solidFill>
              <a:latin typeface="Calibri"/>
              <a:ea typeface="+mn-ea"/>
              <a:cs typeface="+mn-cs"/>
            </a:rPr>
            <a:t>Generalisation</a:t>
          </a:r>
        </a:p>
      </dgm:t>
    </dgm:pt>
    <dgm:pt modelId="{B49D1355-D60B-4236-8BD6-2FAF885C8ED5}" type="parTrans" cxnId="{5834A970-3E78-40C0-8D70-B3F9AC0533FA}">
      <dgm:prSet/>
      <dgm:spPr/>
      <dgm:t>
        <a:bodyPr/>
        <a:lstStyle/>
        <a:p>
          <a:pPr algn="ctr"/>
          <a:endParaRPr lang="en-GB"/>
        </a:p>
      </dgm:t>
    </dgm:pt>
    <dgm:pt modelId="{C7C3320E-E527-483E-82C8-9F9CA7E28CA6}" type="sibTrans" cxnId="{5834A970-3E78-40C0-8D70-B3F9AC0533FA}">
      <dgm:prSet/>
      <dgm:spPr/>
      <dgm:t>
        <a:bodyPr/>
        <a:lstStyle/>
        <a:p>
          <a:pPr algn="ctr"/>
          <a:endParaRPr lang="en-GB"/>
        </a:p>
      </dgm:t>
    </dgm:pt>
    <dgm:pt modelId="{8BE7FADB-789F-49C7-8B40-55D910683CBF}">
      <dgm:prSet/>
      <dgm:spPr>
        <a:xfrm>
          <a:off x="3032045" y="1375554"/>
          <a:ext cx="1541621" cy="337229"/>
        </a:xfrm>
        <a:prstGeom prst="roundRect">
          <a:avLst/>
        </a:prstGeom>
        <a:solidFill>
          <a:sysClr val="window" lastClr="FFFFFF">
            <a:alpha val="90000"/>
            <a:hueOff val="0"/>
            <a:satOff val="0"/>
            <a:lumOff val="0"/>
            <a:alphaOff val="0"/>
          </a:sysClr>
        </a:solidFill>
        <a:ln w="25400" cap="flat" cmpd="sng" algn="ctr">
          <a:solidFill>
            <a:srgbClr val="4F81BD">
              <a:hueOff val="0"/>
              <a:satOff val="0"/>
              <a:lumOff val="0"/>
              <a:alphaOff val="0"/>
            </a:srgbClr>
          </a:solidFill>
          <a:prstDash val="solid"/>
        </a:ln>
        <a:effectLst/>
      </dgm:spPr>
      <dgm:t>
        <a:bodyPr/>
        <a:lstStyle/>
        <a:p>
          <a:pPr algn="ctr"/>
          <a:r>
            <a:rPr lang="en-GB" dirty="0">
              <a:solidFill>
                <a:sysClr val="windowText" lastClr="000000">
                  <a:hueOff val="0"/>
                  <a:satOff val="0"/>
                  <a:lumOff val="0"/>
                  <a:alphaOff val="0"/>
                </a:sysClr>
              </a:solidFill>
              <a:latin typeface="Calibri"/>
              <a:ea typeface="+mn-ea"/>
              <a:cs typeface="+mn-cs"/>
            </a:rPr>
            <a:t>Fluency</a:t>
          </a:r>
        </a:p>
      </dgm:t>
    </dgm:pt>
    <dgm:pt modelId="{BFF5FC59-58C6-471B-8D1C-BB94CB468CBD}" type="parTrans" cxnId="{412C002B-4D62-4A55-83E0-DCFE8AA59CCB}">
      <dgm:prSet/>
      <dgm:spPr/>
      <dgm:t>
        <a:bodyPr/>
        <a:lstStyle/>
        <a:p>
          <a:pPr algn="ctr"/>
          <a:endParaRPr lang="en-GB"/>
        </a:p>
      </dgm:t>
    </dgm:pt>
    <dgm:pt modelId="{DEE1F65B-049B-47A0-8F26-390EF6FED347}" type="sibTrans" cxnId="{412C002B-4D62-4A55-83E0-DCFE8AA59CCB}">
      <dgm:prSet/>
      <dgm:spPr/>
      <dgm:t>
        <a:bodyPr/>
        <a:lstStyle/>
        <a:p>
          <a:pPr algn="ctr"/>
          <a:endParaRPr lang="en-GB"/>
        </a:p>
      </dgm:t>
    </dgm:pt>
    <dgm:pt modelId="{B1AE028C-6AF5-4F15-A410-345AABDBE6A2}">
      <dgm:prSet phldrT="[Text]"/>
      <dgm:spPr>
        <a:xfrm>
          <a:off x="3032045" y="237160"/>
          <a:ext cx="1541621" cy="337229"/>
        </a:xfrm>
        <a:prstGeom prst="roundRect">
          <a:avLst/>
        </a:prstGeom>
        <a:solidFill>
          <a:sysClr val="window" lastClr="FFFFFF">
            <a:alpha val="90000"/>
            <a:hueOff val="0"/>
            <a:satOff val="0"/>
            <a:lumOff val="0"/>
            <a:alphaOff val="0"/>
          </a:sysClr>
        </a:solidFill>
        <a:ln w="25400" cap="flat" cmpd="sng" algn="ctr">
          <a:solidFill>
            <a:srgbClr val="4F81BD">
              <a:hueOff val="0"/>
              <a:satOff val="0"/>
              <a:lumOff val="0"/>
              <a:alphaOff val="0"/>
            </a:srgbClr>
          </a:solidFill>
          <a:prstDash val="solid"/>
        </a:ln>
        <a:effectLst/>
      </dgm:spPr>
      <dgm:t>
        <a:bodyPr/>
        <a:lstStyle/>
        <a:p>
          <a:pPr algn="ctr"/>
          <a:r>
            <a:rPr lang="en-GB" dirty="0">
              <a:solidFill>
                <a:sysClr val="windowText" lastClr="000000">
                  <a:hueOff val="0"/>
                  <a:satOff val="0"/>
                  <a:lumOff val="0"/>
                  <a:alphaOff val="0"/>
                </a:sysClr>
              </a:solidFill>
              <a:latin typeface="Calibri"/>
              <a:ea typeface="+mn-ea"/>
              <a:cs typeface="+mn-cs"/>
            </a:rPr>
            <a:t>Adaptation</a:t>
          </a:r>
        </a:p>
      </dgm:t>
    </dgm:pt>
    <dgm:pt modelId="{97EB3B06-B830-492B-A175-3EB6700B2F9D}" type="sibTrans" cxnId="{66372C9B-6336-40C8-BE20-627C64582649}">
      <dgm:prSet/>
      <dgm:spPr/>
      <dgm:t>
        <a:bodyPr/>
        <a:lstStyle/>
        <a:p>
          <a:pPr algn="ctr"/>
          <a:endParaRPr lang="en-GB"/>
        </a:p>
      </dgm:t>
    </dgm:pt>
    <dgm:pt modelId="{E6008621-399F-4AB0-9C7C-12755B9F0F61}" type="parTrans" cxnId="{66372C9B-6336-40C8-BE20-627C64582649}">
      <dgm:prSet/>
      <dgm:spPr/>
      <dgm:t>
        <a:bodyPr/>
        <a:lstStyle/>
        <a:p>
          <a:pPr algn="ctr"/>
          <a:endParaRPr lang="en-GB"/>
        </a:p>
      </dgm:t>
    </dgm:pt>
    <dgm:pt modelId="{AFC6A59F-7543-479D-9253-AE7894B8DC39}" type="pres">
      <dgm:prSet presAssocID="{B89D3D8E-8461-4A12-B160-FB62D79C0CBC}" presName="compositeShape" presStyleCnt="0">
        <dgm:presLayoutVars>
          <dgm:dir/>
          <dgm:resizeHandles/>
        </dgm:presLayoutVars>
      </dgm:prSet>
      <dgm:spPr/>
    </dgm:pt>
    <dgm:pt modelId="{E645CA68-216F-455F-9EFB-A3699FFE2CD7}" type="pres">
      <dgm:prSet presAssocID="{B89D3D8E-8461-4A12-B160-FB62D79C0CBC}" presName="pyramid" presStyleLbl="node1" presStyleIdx="0" presStyleCnt="1" custLinFactNeighborX="12100" custLinFactNeighborY="-20800"/>
      <dgm:spPr>
        <a:xfrm>
          <a:off x="2133161" y="0"/>
          <a:ext cx="2371724" cy="2371724"/>
        </a:xfrm>
        <a:prstGeom prst="triangle">
          <a:avLst/>
        </a:prstGeom>
        <a:solidFill>
          <a:srgbClr val="4F81BD">
            <a:hueOff val="0"/>
            <a:satOff val="0"/>
            <a:lumOff val="0"/>
            <a:alphaOff val="0"/>
          </a:srgbClr>
        </a:solidFill>
        <a:ln w="254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</a:ln>
        <a:effectLst/>
      </dgm:spPr>
    </dgm:pt>
    <dgm:pt modelId="{21BB73F7-9741-42F2-BF8F-F8489B4D7518}" type="pres">
      <dgm:prSet presAssocID="{B89D3D8E-8461-4A12-B160-FB62D79C0CBC}" presName="theList" presStyleCnt="0"/>
      <dgm:spPr/>
    </dgm:pt>
    <dgm:pt modelId="{4A24AB21-37BF-4664-AF83-4E34CF6B9B25}" type="pres">
      <dgm:prSet presAssocID="{B1AE028C-6AF5-4F15-A410-345AABDBE6A2}" presName="aNode" presStyleLbl="fgAcc1" presStyleIdx="0" presStyleCnt="5" custLinFactNeighborY="-579">
        <dgm:presLayoutVars>
          <dgm:bulletEnabled val="1"/>
        </dgm:presLayoutVars>
      </dgm:prSet>
      <dgm:spPr/>
    </dgm:pt>
    <dgm:pt modelId="{D7B56216-4C2D-4CEE-8EBF-E99061DAF9B3}" type="pres">
      <dgm:prSet presAssocID="{B1AE028C-6AF5-4F15-A410-345AABDBE6A2}" presName="aSpace" presStyleCnt="0"/>
      <dgm:spPr/>
    </dgm:pt>
    <dgm:pt modelId="{06218ABB-FA7F-41DA-9AE8-CFE916CE4E22}" type="pres">
      <dgm:prSet presAssocID="{A8E5A7F8-B571-423E-89B9-FA7D6BD3A78F}" presName="aNode" presStyleLbl="fgAcc1" presStyleIdx="1" presStyleCnt="5">
        <dgm:presLayoutVars>
          <dgm:bulletEnabled val="1"/>
        </dgm:presLayoutVars>
      </dgm:prSet>
      <dgm:spPr/>
    </dgm:pt>
    <dgm:pt modelId="{E3F235A4-CCCD-41A1-A508-E5D21C328216}" type="pres">
      <dgm:prSet presAssocID="{A8E5A7F8-B571-423E-89B9-FA7D6BD3A78F}" presName="aSpace" presStyleCnt="0"/>
      <dgm:spPr/>
    </dgm:pt>
    <dgm:pt modelId="{314B5A73-1D41-4524-9142-CE4D9CFA3BC0}" type="pres">
      <dgm:prSet presAssocID="{5F308F90-A3C6-4696-9D98-E1C50C832C6C}" presName="aNode" presStyleLbl="fgAcc1" presStyleIdx="2" presStyleCnt="5">
        <dgm:presLayoutVars>
          <dgm:bulletEnabled val="1"/>
        </dgm:presLayoutVars>
      </dgm:prSet>
      <dgm:spPr/>
    </dgm:pt>
    <dgm:pt modelId="{BE3DAD57-B4F8-4A67-812A-A2738B309C97}" type="pres">
      <dgm:prSet presAssocID="{5F308F90-A3C6-4696-9D98-E1C50C832C6C}" presName="aSpace" presStyleCnt="0"/>
      <dgm:spPr/>
    </dgm:pt>
    <dgm:pt modelId="{12FF0391-1129-49FC-B65D-0CF04E915B55}" type="pres">
      <dgm:prSet presAssocID="{8BE7FADB-789F-49C7-8B40-55D910683CBF}" presName="aNode" presStyleLbl="fgAcc1" presStyleIdx="3" presStyleCnt="5">
        <dgm:presLayoutVars>
          <dgm:bulletEnabled val="1"/>
        </dgm:presLayoutVars>
      </dgm:prSet>
      <dgm:spPr/>
    </dgm:pt>
    <dgm:pt modelId="{6414BD05-2CA7-4C4E-8D38-131BFA8E0BD4}" type="pres">
      <dgm:prSet presAssocID="{8BE7FADB-789F-49C7-8B40-55D910683CBF}" presName="aSpace" presStyleCnt="0"/>
      <dgm:spPr/>
    </dgm:pt>
    <dgm:pt modelId="{825C9F4D-BEB7-4B4B-A22B-5DC43E98E459}" type="pres">
      <dgm:prSet presAssocID="{80A1C7F5-E659-4F66-A7A3-B22A357C9345}" presName="aNode" presStyleLbl="fgAcc1" presStyleIdx="4" presStyleCnt="5">
        <dgm:presLayoutVars>
          <dgm:bulletEnabled val="1"/>
        </dgm:presLayoutVars>
      </dgm:prSet>
      <dgm:spPr/>
    </dgm:pt>
    <dgm:pt modelId="{B84F7F56-8865-4F59-B525-D834FDCDCDE7}" type="pres">
      <dgm:prSet presAssocID="{80A1C7F5-E659-4F66-A7A3-B22A357C9345}" presName="aSpace" presStyleCnt="0"/>
      <dgm:spPr/>
    </dgm:pt>
  </dgm:ptLst>
  <dgm:cxnLst>
    <dgm:cxn modelId="{E3A2000A-85FF-43CE-A8F4-9E5DCFDB81FB}" srcId="{B89D3D8E-8461-4A12-B160-FB62D79C0CBC}" destId="{5F308F90-A3C6-4696-9D98-E1C50C832C6C}" srcOrd="2" destOrd="0" parTransId="{8DBF87B8-8C52-485F-AD8B-C960ED5E7D9E}" sibTransId="{3E49D793-3DC9-493F-B0FE-336F742FD466}"/>
    <dgm:cxn modelId="{412C002B-4D62-4A55-83E0-DCFE8AA59CCB}" srcId="{B89D3D8E-8461-4A12-B160-FB62D79C0CBC}" destId="{8BE7FADB-789F-49C7-8B40-55D910683CBF}" srcOrd="3" destOrd="0" parTransId="{BFF5FC59-58C6-471B-8D1C-BB94CB468CBD}" sibTransId="{DEE1F65B-049B-47A0-8F26-390EF6FED347}"/>
    <dgm:cxn modelId="{93680761-684D-4F73-AEE3-DF090051FE57}" srcId="{B89D3D8E-8461-4A12-B160-FB62D79C0CBC}" destId="{80A1C7F5-E659-4F66-A7A3-B22A357C9345}" srcOrd="4" destOrd="0" parTransId="{94BEF7FE-2ACE-4365-A9ED-64A312F9F086}" sibTransId="{CD672D8E-AC07-4E48-956F-7E683D8C6A57}"/>
    <dgm:cxn modelId="{FE7FA465-07F3-4C5F-B124-7ACC5377151D}" type="presOf" srcId="{B89D3D8E-8461-4A12-B160-FB62D79C0CBC}" destId="{AFC6A59F-7543-479D-9253-AE7894B8DC39}" srcOrd="0" destOrd="0" presId="urn:microsoft.com/office/officeart/2005/8/layout/pyramid2"/>
    <dgm:cxn modelId="{5834A970-3E78-40C0-8D70-B3F9AC0533FA}" srcId="{B89D3D8E-8461-4A12-B160-FB62D79C0CBC}" destId="{A8E5A7F8-B571-423E-89B9-FA7D6BD3A78F}" srcOrd="1" destOrd="0" parTransId="{B49D1355-D60B-4236-8BD6-2FAF885C8ED5}" sibTransId="{C7C3320E-E527-483E-82C8-9F9CA7E28CA6}"/>
    <dgm:cxn modelId="{9046C655-482E-492B-BB72-1C764475E461}" type="presOf" srcId="{80A1C7F5-E659-4F66-A7A3-B22A357C9345}" destId="{825C9F4D-BEB7-4B4B-A22B-5DC43E98E459}" srcOrd="0" destOrd="0" presId="urn:microsoft.com/office/officeart/2005/8/layout/pyramid2"/>
    <dgm:cxn modelId="{E2B3F458-D3EF-4536-8A8B-5BF4A44AE2F7}" type="presOf" srcId="{A8E5A7F8-B571-423E-89B9-FA7D6BD3A78F}" destId="{06218ABB-FA7F-41DA-9AE8-CFE916CE4E22}" srcOrd="0" destOrd="0" presId="urn:microsoft.com/office/officeart/2005/8/layout/pyramid2"/>
    <dgm:cxn modelId="{66372C9B-6336-40C8-BE20-627C64582649}" srcId="{B89D3D8E-8461-4A12-B160-FB62D79C0CBC}" destId="{B1AE028C-6AF5-4F15-A410-345AABDBE6A2}" srcOrd="0" destOrd="0" parTransId="{E6008621-399F-4AB0-9C7C-12755B9F0F61}" sibTransId="{97EB3B06-B830-492B-A175-3EB6700B2F9D}"/>
    <dgm:cxn modelId="{A814F8A3-0857-4AE0-B1A9-9425F3DBF982}" type="presOf" srcId="{8BE7FADB-789F-49C7-8B40-55D910683CBF}" destId="{12FF0391-1129-49FC-B65D-0CF04E915B55}" srcOrd="0" destOrd="0" presId="urn:microsoft.com/office/officeart/2005/8/layout/pyramid2"/>
    <dgm:cxn modelId="{F68C61F2-5A36-4E27-B056-AFC9FCBD5546}" type="presOf" srcId="{5F308F90-A3C6-4696-9D98-E1C50C832C6C}" destId="{314B5A73-1D41-4524-9142-CE4D9CFA3BC0}" srcOrd="0" destOrd="0" presId="urn:microsoft.com/office/officeart/2005/8/layout/pyramid2"/>
    <dgm:cxn modelId="{84EC8FFB-3F9C-4724-AC5C-4CDEB9A60E49}" type="presOf" srcId="{B1AE028C-6AF5-4F15-A410-345AABDBE6A2}" destId="{4A24AB21-37BF-4664-AF83-4E34CF6B9B25}" srcOrd="0" destOrd="0" presId="urn:microsoft.com/office/officeart/2005/8/layout/pyramid2"/>
    <dgm:cxn modelId="{87D059A8-445B-48B6-B7A5-FB5D3AA82653}" type="presParOf" srcId="{AFC6A59F-7543-479D-9253-AE7894B8DC39}" destId="{E645CA68-216F-455F-9EFB-A3699FFE2CD7}" srcOrd="0" destOrd="0" presId="urn:microsoft.com/office/officeart/2005/8/layout/pyramid2"/>
    <dgm:cxn modelId="{014A8ED8-18E1-475A-B135-A63E3AB398F6}" type="presParOf" srcId="{AFC6A59F-7543-479D-9253-AE7894B8DC39}" destId="{21BB73F7-9741-42F2-BF8F-F8489B4D7518}" srcOrd="1" destOrd="0" presId="urn:microsoft.com/office/officeart/2005/8/layout/pyramid2"/>
    <dgm:cxn modelId="{7D8ABAF0-FE18-4AC7-97C5-CB149F5E2815}" type="presParOf" srcId="{21BB73F7-9741-42F2-BF8F-F8489B4D7518}" destId="{4A24AB21-37BF-4664-AF83-4E34CF6B9B25}" srcOrd="0" destOrd="0" presId="urn:microsoft.com/office/officeart/2005/8/layout/pyramid2"/>
    <dgm:cxn modelId="{7BBECF99-8924-433F-B929-71E62627424F}" type="presParOf" srcId="{21BB73F7-9741-42F2-BF8F-F8489B4D7518}" destId="{D7B56216-4C2D-4CEE-8EBF-E99061DAF9B3}" srcOrd="1" destOrd="0" presId="urn:microsoft.com/office/officeart/2005/8/layout/pyramid2"/>
    <dgm:cxn modelId="{FB82A84C-C4D2-4871-B12B-3CE80FEB0124}" type="presParOf" srcId="{21BB73F7-9741-42F2-BF8F-F8489B4D7518}" destId="{06218ABB-FA7F-41DA-9AE8-CFE916CE4E22}" srcOrd="2" destOrd="0" presId="urn:microsoft.com/office/officeart/2005/8/layout/pyramid2"/>
    <dgm:cxn modelId="{40B9467C-5DDA-4FB4-9BD8-6305821692D4}" type="presParOf" srcId="{21BB73F7-9741-42F2-BF8F-F8489B4D7518}" destId="{E3F235A4-CCCD-41A1-A508-E5D21C328216}" srcOrd="3" destOrd="0" presId="urn:microsoft.com/office/officeart/2005/8/layout/pyramid2"/>
    <dgm:cxn modelId="{F0121874-3783-4283-8244-A50259CE1394}" type="presParOf" srcId="{21BB73F7-9741-42F2-BF8F-F8489B4D7518}" destId="{314B5A73-1D41-4524-9142-CE4D9CFA3BC0}" srcOrd="4" destOrd="0" presId="urn:microsoft.com/office/officeart/2005/8/layout/pyramid2"/>
    <dgm:cxn modelId="{270051C4-7886-43D4-B884-4C71BA9B5A9E}" type="presParOf" srcId="{21BB73F7-9741-42F2-BF8F-F8489B4D7518}" destId="{BE3DAD57-B4F8-4A67-812A-A2738B309C97}" srcOrd="5" destOrd="0" presId="urn:microsoft.com/office/officeart/2005/8/layout/pyramid2"/>
    <dgm:cxn modelId="{6A1CDA35-B847-410D-9295-508C7BA14F29}" type="presParOf" srcId="{21BB73F7-9741-42F2-BF8F-F8489B4D7518}" destId="{12FF0391-1129-49FC-B65D-0CF04E915B55}" srcOrd="6" destOrd="0" presId="urn:microsoft.com/office/officeart/2005/8/layout/pyramid2"/>
    <dgm:cxn modelId="{2D5C0A01-208F-4646-B539-A8D1D18872E4}" type="presParOf" srcId="{21BB73F7-9741-42F2-BF8F-F8489B4D7518}" destId="{6414BD05-2CA7-4C4E-8D38-131BFA8E0BD4}" srcOrd="7" destOrd="0" presId="urn:microsoft.com/office/officeart/2005/8/layout/pyramid2"/>
    <dgm:cxn modelId="{5AAB34AA-77FE-41A4-B66F-8A50C0247FB3}" type="presParOf" srcId="{21BB73F7-9741-42F2-BF8F-F8489B4D7518}" destId="{825C9F4D-BEB7-4B4B-A22B-5DC43E98E459}" srcOrd="8" destOrd="0" presId="urn:microsoft.com/office/officeart/2005/8/layout/pyramid2"/>
    <dgm:cxn modelId="{BA18B4B1-24D7-4F79-9B11-9593DD59A7BC}" type="presParOf" srcId="{21BB73F7-9741-42F2-BF8F-F8489B4D7518}" destId="{B84F7F56-8865-4F59-B525-D834FDCDCDE7}" srcOrd="9" destOrd="0" presId="urn:microsoft.com/office/officeart/2005/8/layout/pyramid2"/>
  </dgm:cxnLst>
  <dgm:bg/>
  <dgm:whole/>
  <dgm:extLst>
    <a:ext uri="http://schemas.microsoft.com/office/drawing/2008/diagram">
      <dsp:dataModelExt xmlns:dsp="http://schemas.microsoft.com/office/drawing/2008/diagram" relId="rId9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E645CA68-216F-455F-9EFB-A3699FFE2CD7}">
      <dsp:nvSpPr>
        <dsp:cNvPr id="0" name=""/>
        <dsp:cNvSpPr/>
      </dsp:nvSpPr>
      <dsp:spPr>
        <a:xfrm>
          <a:off x="2133161" y="0"/>
          <a:ext cx="2371724" cy="2371724"/>
        </a:xfrm>
        <a:prstGeom prst="triangle">
          <a:avLst/>
        </a:prstGeom>
        <a:solidFill>
          <a:srgbClr val="4F81BD">
            <a:hueOff val="0"/>
            <a:satOff val="0"/>
            <a:lumOff val="0"/>
            <a:alphaOff val="0"/>
          </a:srgbClr>
        </a:solidFill>
        <a:ln w="254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4A24AB21-37BF-4664-AF83-4E34CF6B9B25}">
      <dsp:nvSpPr>
        <dsp:cNvPr id="0" name=""/>
        <dsp:cNvSpPr/>
      </dsp:nvSpPr>
      <dsp:spPr>
        <a:xfrm>
          <a:off x="3032045" y="237160"/>
          <a:ext cx="1541621" cy="337229"/>
        </a:xfrm>
        <a:prstGeom prst="roundRect">
          <a:avLst/>
        </a:prstGeom>
        <a:solidFill>
          <a:sysClr val="window" lastClr="FFFFFF">
            <a:alpha val="90000"/>
            <a:hueOff val="0"/>
            <a:satOff val="0"/>
            <a:lumOff val="0"/>
            <a:alphaOff val="0"/>
          </a:sysClr>
        </a:solidFill>
        <a:ln w="25400" cap="flat" cmpd="sng" algn="ctr">
          <a:solidFill>
            <a:srgbClr val="4F81BD">
              <a:hueOff val="0"/>
              <a:satOff val="0"/>
              <a:lumOff val="0"/>
              <a:alphaOff val="0"/>
            </a:srgb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53340" tIns="53340" rIns="53340" bIns="5334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1400" kern="1200" dirty="0">
              <a:solidFill>
                <a:sysClr val="windowText" lastClr="000000">
                  <a:hueOff val="0"/>
                  <a:satOff val="0"/>
                  <a:lumOff val="0"/>
                  <a:alphaOff val="0"/>
                </a:sysClr>
              </a:solidFill>
              <a:latin typeface="Calibri"/>
              <a:ea typeface="+mn-ea"/>
              <a:cs typeface="+mn-cs"/>
            </a:rPr>
            <a:t>Adaptation</a:t>
          </a:r>
        </a:p>
      </dsp:txBody>
      <dsp:txXfrm>
        <a:off x="3048507" y="253622"/>
        <a:ext cx="1508697" cy="304305"/>
      </dsp:txXfrm>
    </dsp:sp>
    <dsp:sp modelId="{06218ABB-FA7F-41DA-9AE8-CFE916CE4E22}">
      <dsp:nvSpPr>
        <dsp:cNvPr id="0" name=""/>
        <dsp:cNvSpPr/>
      </dsp:nvSpPr>
      <dsp:spPr>
        <a:xfrm>
          <a:off x="3032045" y="616787"/>
          <a:ext cx="1541621" cy="337229"/>
        </a:xfrm>
        <a:prstGeom prst="roundRect">
          <a:avLst/>
        </a:prstGeom>
        <a:solidFill>
          <a:sysClr val="window" lastClr="FFFFFF">
            <a:alpha val="90000"/>
            <a:hueOff val="0"/>
            <a:satOff val="0"/>
            <a:lumOff val="0"/>
            <a:alphaOff val="0"/>
          </a:sysClr>
        </a:solidFill>
        <a:ln w="25400" cap="flat" cmpd="sng" algn="ctr">
          <a:solidFill>
            <a:srgbClr val="4F81BD">
              <a:hueOff val="0"/>
              <a:satOff val="0"/>
              <a:lumOff val="0"/>
              <a:alphaOff val="0"/>
            </a:srgb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53340" tIns="53340" rIns="53340" bIns="5334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1400" kern="1200" dirty="0">
              <a:solidFill>
                <a:sysClr val="windowText" lastClr="000000">
                  <a:hueOff val="0"/>
                  <a:satOff val="0"/>
                  <a:lumOff val="0"/>
                  <a:alphaOff val="0"/>
                </a:sysClr>
              </a:solidFill>
              <a:latin typeface="Calibri"/>
              <a:ea typeface="+mn-ea"/>
              <a:cs typeface="+mn-cs"/>
            </a:rPr>
            <a:t>Generalisation</a:t>
          </a:r>
        </a:p>
      </dsp:txBody>
      <dsp:txXfrm>
        <a:off x="3048507" y="633249"/>
        <a:ext cx="1508697" cy="304305"/>
      </dsp:txXfrm>
    </dsp:sp>
    <dsp:sp modelId="{314B5A73-1D41-4524-9142-CE4D9CFA3BC0}">
      <dsp:nvSpPr>
        <dsp:cNvPr id="0" name=""/>
        <dsp:cNvSpPr/>
      </dsp:nvSpPr>
      <dsp:spPr>
        <a:xfrm>
          <a:off x="3032045" y="996170"/>
          <a:ext cx="1541621" cy="337229"/>
        </a:xfrm>
        <a:prstGeom prst="roundRect">
          <a:avLst/>
        </a:prstGeom>
        <a:solidFill>
          <a:sysClr val="window" lastClr="FFFFFF">
            <a:alpha val="90000"/>
            <a:hueOff val="0"/>
            <a:satOff val="0"/>
            <a:lumOff val="0"/>
            <a:alphaOff val="0"/>
          </a:sysClr>
        </a:solidFill>
        <a:ln w="25400" cap="flat" cmpd="sng" algn="ctr">
          <a:solidFill>
            <a:srgbClr val="4F81BD">
              <a:hueOff val="0"/>
              <a:satOff val="0"/>
              <a:lumOff val="0"/>
              <a:alphaOff val="0"/>
            </a:srgb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53340" tIns="53340" rIns="53340" bIns="5334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1400" kern="1200" dirty="0">
              <a:solidFill>
                <a:sysClr val="windowText" lastClr="000000">
                  <a:hueOff val="0"/>
                  <a:satOff val="0"/>
                  <a:lumOff val="0"/>
                  <a:alphaOff val="0"/>
                </a:sysClr>
              </a:solidFill>
              <a:latin typeface="Calibri"/>
              <a:ea typeface="+mn-ea"/>
              <a:cs typeface="+mn-cs"/>
            </a:rPr>
            <a:t>Maintenance </a:t>
          </a:r>
        </a:p>
      </dsp:txBody>
      <dsp:txXfrm>
        <a:off x="3048507" y="1012632"/>
        <a:ext cx="1508697" cy="304305"/>
      </dsp:txXfrm>
    </dsp:sp>
    <dsp:sp modelId="{12FF0391-1129-49FC-B65D-0CF04E915B55}">
      <dsp:nvSpPr>
        <dsp:cNvPr id="0" name=""/>
        <dsp:cNvSpPr/>
      </dsp:nvSpPr>
      <dsp:spPr>
        <a:xfrm>
          <a:off x="3032045" y="1375554"/>
          <a:ext cx="1541621" cy="337229"/>
        </a:xfrm>
        <a:prstGeom prst="roundRect">
          <a:avLst/>
        </a:prstGeom>
        <a:solidFill>
          <a:sysClr val="window" lastClr="FFFFFF">
            <a:alpha val="90000"/>
            <a:hueOff val="0"/>
            <a:satOff val="0"/>
            <a:lumOff val="0"/>
            <a:alphaOff val="0"/>
          </a:sysClr>
        </a:solidFill>
        <a:ln w="25400" cap="flat" cmpd="sng" algn="ctr">
          <a:solidFill>
            <a:srgbClr val="4F81BD">
              <a:hueOff val="0"/>
              <a:satOff val="0"/>
              <a:lumOff val="0"/>
              <a:alphaOff val="0"/>
            </a:srgb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53340" tIns="53340" rIns="53340" bIns="5334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1400" kern="1200" dirty="0">
              <a:solidFill>
                <a:sysClr val="windowText" lastClr="000000">
                  <a:hueOff val="0"/>
                  <a:satOff val="0"/>
                  <a:lumOff val="0"/>
                  <a:alphaOff val="0"/>
                </a:sysClr>
              </a:solidFill>
              <a:latin typeface="Calibri"/>
              <a:ea typeface="+mn-ea"/>
              <a:cs typeface="+mn-cs"/>
            </a:rPr>
            <a:t>Fluency</a:t>
          </a:r>
        </a:p>
      </dsp:txBody>
      <dsp:txXfrm>
        <a:off x="3048507" y="1392016"/>
        <a:ext cx="1508697" cy="304305"/>
      </dsp:txXfrm>
    </dsp:sp>
    <dsp:sp modelId="{825C9F4D-BEB7-4B4B-A22B-5DC43E98E459}">
      <dsp:nvSpPr>
        <dsp:cNvPr id="0" name=""/>
        <dsp:cNvSpPr/>
      </dsp:nvSpPr>
      <dsp:spPr>
        <a:xfrm>
          <a:off x="3032045" y="1754937"/>
          <a:ext cx="1541621" cy="337229"/>
        </a:xfrm>
        <a:prstGeom prst="roundRect">
          <a:avLst/>
        </a:prstGeom>
        <a:solidFill>
          <a:sysClr val="window" lastClr="FFFFFF">
            <a:alpha val="90000"/>
            <a:hueOff val="0"/>
            <a:satOff val="0"/>
            <a:lumOff val="0"/>
            <a:alphaOff val="0"/>
          </a:sysClr>
        </a:solidFill>
        <a:ln w="25400" cap="flat" cmpd="sng" algn="ctr">
          <a:solidFill>
            <a:srgbClr val="4F81BD">
              <a:hueOff val="0"/>
              <a:satOff val="0"/>
              <a:lumOff val="0"/>
              <a:alphaOff val="0"/>
            </a:srgb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53340" tIns="53340" rIns="53340" bIns="5334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1400" kern="1200" dirty="0">
              <a:solidFill>
                <a:sysClr val="windowText" lastClr="000000">
                  <a:hueOff val="0"/>
                  <a:satOff val="0"/>
                  <a:lumOff val="0"/>
                  <a:alphaOff val="0"/>
                </a:sysClr>
              </a:solidFill>
              <a:latin typeface="Calibri"/>
              <a:ea typeface="+mn-ea"/>
              <a:cs typeface="+mn-cs"/>
            </a:rPr>
            <a:t>Acquisition</a:t>
          </a:r>
        </a:p>
      </dsp:txBody>
      <dsp:txXfrm>
        <a:off x="3048507" y="1771399"/>
        <a:ext cx="1508697" cy="304305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pyramid2">
  <dgm:title val=""/>
  <dgm:desc val=""/>
  <dgm:catLst>
    <dgm:cat type="pyramid" pri="3000"/>
    <dgm:cat type="list" pri="21000"/>
    <dgm:cat type="convert" pri="17000"/>
  </dgm:catLst>
  <dgm:sampData useDef="1">
    <dgm:dataModel>
      <dgm:ptLst/>
      <dgm:bg/>
      <dgm:whole/>
    </dgm:dataModel>
  </dgm:sampData>
  <dgm:styleData useDef="1">
    <dgm:dataModel>
      <dgm:ptLst/>
      <dgm:bg/>
      <dgm:whole/>
    </dgm:dataModel>
  </dgm:styleData>
  <dgm:clrData useDef="1">
    <dgm:dataModel>
      <dgm:ptLst/>
      <dgm:bg/>
      <dgm:whole/>
    </dgm:dataModel>
  </dgm:clrData>
  <dgm:layoutNode name="compositeShape">
    <dgm:alg type="composite"/>
    <dgm:shape xmlns:r="http://schemas.openxmlformats.org/officeDocument/2006/relationships" r:blip="">
      <dgm:adjLst/>
    </dgm:shape>
    <dgm:presOf/>
    <dgm:varLst>
      <dgm:dir/>
      <dgm:resizeHandles/>
    </dgm:varLst>
    <dgm:choose name="Name0">
      <dgm:if name="Name1" func="var" arg="dir" op="equ" val="norm">
        <dgm:constrLst>
          <dgm:constr type="w" for="ch" forName="pyramid" refType="h"/>
          <dgm:constr type="h" for="ch" forName="pyramid" refType="h"/>
          <dgm:constr type="h" for="ch" forName="theList" refType="h" fact="0.8"/>
          <dgm:constr type="w" for="ch" forName="theList" refType="h" fact="0.65"/>
          <dgm:constr type="ctrY" for="ch" forName="theList" refType="h" refFor="ch" refForName="pyramid" fact="0.5"/>
          <dgm:constr type="l" for="ch" forName="theList" refType="w" refFor="ch" refForName="pyramid" fact="0.5"/>
          <dgm:constr type="h" for="des" forName="aSpace" refType="h" fact="0.1"/>
        </dgm:constrLst>
      </dgm:if>
      <dgm:else name="Name2">
        <dgm:constrLst>
          <dgm:constr type="w" for="ch" forName="pyramid" refType="h"/>
          <dgm:constr type="h" for="ch" forName="pyramid" refType="h"/>
          <dgm:constr type="h" for="ch" forName="theList" refType="h" fact="0.8"/>
          <dgm:constr type="w" for="ch" forName="theList" refType="h" fact="0.65"/>
          <dgm:constr type="ctrY" for="ch" forName="theList" refType="h" refFor="ch" refForName="pyramid" fact="0.5"/>
          <dgm:constr type="r" for="ch" forName="theList" refType="w" refFor="ch" refForName="pyramid" fact="0.5"/>
          <dgm:constr type="h" for="des" forName="aSpace" refType="h" fact="0.1"/>
        </dgm:constrLst>
      </dgm:else>
    </dgm:choose>
    <dgm:ruleLst/>
    <dgm:choose name="Name3">
      <dgm:if name="Name4" axis="ch" ptType="node" func="cnt" op="gte" val="1">
        <dgm:layoutNode name="pyramid" styleLbl="node1">
          <dgm:alg type="sp"/>
          <dgm:shape xmlns:r="http://schemas.openxmlformats.org/officeDocument/2006/relationships" type="triangle" r:blip="">
            <dgm:adjLst/>
          </dgm:shape>
          <dgm:presOf/>
          <dgm:constrLst/>
          <dgm:ruleLst/>
        </dgm:layoutNode>
        <dgm:layoutNode name="theList">
          <dgm:alg type="lin">
            <dgm:param type="linDir" val="fromT"/>
          </dgm:alg>
          <dgm:shape xmlns:r="http://schemas.openxmlformats.org/officeDocument/2006/relationships" r:blip="">
            <dgm:adjLst/>
          </dgm:shape>
          <dgm:presOf/>
          <dgm:constrLst>
            <dgm:constr type="w" for="ch" forName="aNode" refType="w"/>
            <dgm:constr type="h" for="ch" forName="aNode" refType="h"/>
            <dgm:constr type="primFontSz" for="ch" ptType="node" op="equ"/>
          </dgm:constrLst>
          <dgm:ruleLst/>
          <dgm:forEach name="aNodeForEach" axis="ch" ptType="node">
            <dgm:layoutNode name="aNode" styleLbl="fgAcc1">
              <dgm:varLst>
                <dgm:bulletEnabled val="1"/>
              </dgm:varLst>
              <dgm:alg type="tx"/>
              <dgm:shape xmlns:r="http://schemas.openxmlformats.org/officeDocument/2006/relationships" type="roundRect" r:blip="">
                <dgm:adjLst/>
              </dgm:shape>
              <dgm:presOf axis="desOrSelf" ptType="node"/>
              <dgm:constrLst>
                <dgm:constr type="primFontSz" val="65"/>
                <dgm:constr type="tMarg" refType="primFontSz" fact="0.3"/>
                <dgm:constr type="bMarg" refType="primFontSz" fact="0.3"/>
                <dgm:constr type="lMarg" refType="primFontSz" fact="0.3"/>
                <dgm:constr type="rMarg" refType="primFontSz" fact="0.3"/>
              </dgm:constrLst>
              <dgm:ruleLst>
                <dgm:rule type="primFontSz" val="5" fact="NaN" max="NaN"/>
              </dgm:ruleLst>
            </dgm:layoutNode>
            <dgm:layoutNode name="aSpace">
              <dgm:alg type="sp"/>
              <dgm:shape xmlns:r="http://schemas.openxmlformats.org/officeDocument/2006/relationships" r:blip="">
                <dgm:adjLst/>
              </dgm:shape>
              <dgm:presOf/>
              <dgm:constrLst/>
              <dgm:ruleLst/>
            </dgm:layoutNode>
          </dgm:forEach>
        </dgm:layoutNode>
      </dgm:if>
      <dgm:else name="Name5"/>
    </dgm:choose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250</Words>
  <Characters>1429</Characters>
  <Application>Microsoft Office Word</Application>
  <DocSecurity>0</DocSecurity>
  <Lines>11</Lines>
  <Paragraphs>3</Paragraphs>
  <ScaleCrop>false</ScaleCrop>
  <Company/>
  <LinksUpToDate>false</LinksUpToDate>
  <CharactersWithSpaces>1676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 Scott Ighavongbe-Patrick</dc:creator>
  <cp:keywords/>
  <dc:description/>
  <cp:lastModifiedBy>Dr Scott Ighavongbe-Patrick</cp:lastModifiedBy>
  <cp:revision>1</cp:revision>
  <dcterms:created xsi:type="dcterms:W3CDTF">2024-02-02T10:51:00Z</dcterms:created>
  <dcterms:modified xsi:type="dcterms:W3CDTF">2024-02-02T10:54:00Z</dcterms:modified>
</cp:coreProperties>
</file>