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4760EF" w14:textId="77777777" w:rsidR="009E774D" w:rsidRDefault="00EE71A2" w:rsidP="00EE71A2">
      <w:pPr>
        <w:pStyle w:val="Heading1"/>
      </w:pPr>
      <w:bookmarkStart w:id="0" w:name="_Toc217969863"/>
      <w:bookmarkStart w:id="1" w:name="_Toc217971299"/>
      <w:bookmarkStart w:id="2" w:name="_Toc218000668"/>
      <w:bookmarkStart w:id="3" w:name="_Toc220471657"/>
      <w:r>
        <w:t>Report from Sub-committee on</w:t>
      </w:r>
      <w:r w:rsidR="0016357C">
        <w:t xml:space="preserve"> </w:t>
      </w:r>
      <w:r w:rsidR="009E774D">
        <w:t>OSG’s Relationships with Industry</w:t>
      </w:r>
      <w:bookmarkEnd w:id="0"/>
      <w:bookmarkEnd w:id="1"/>
      <w:bookmarkEnd w:id="2"/>
      <w:bookmarkEnd w:id="3"/>
    </w:p>
    <w:p w14:paraId="455EA078" w14:textId="77777777" w:rsidR="009E774D" w:rsidRPr="009E774D" w:rsidRDefault="009E774D" w:rsidP="009E774D">
      <w:r>
        <w:t>DRAFT Jan 2013</w:t>
      </w:r>
    </w:p>
    <w:p w14:paraId="621C5961" w14:textId="02DF4E2D" w:rsidR="003A213C" w:rsidRDefault="003A213C">
      <w:pPr>
        <w:pStyle w:val="TOC1"/>
        <w:tabs>
          <w:tab w:val="right" w:leader="dot" w:pos="8630"/>
        </w:tabs>
        <w:rPr>
          <w:noProof/>
          <w:lang w:eastAsia="ja-JP"/>
        </w:rPr>
      </w:pPr>
      <w:r>
        <w:fldChar w:fldCharType="begin"/>
      </w:r>
      <w:r>
        <w:instrText xml:space="preserve"> TOC \o "1-4" </w:instrText>
      </w:r>
      <w:r>
        <w:fldChar w:fldCharType="separate"/>
      </w:r>
    </w:p>
    <w:p w14:paraId="749DD4FF" w14:textId="77777777" w:rsidR="003A213C" w:rsidRDefault="003A213C">
      <w:pPr>
        <w:pStyle w:val="TOC2"/>
        <w:tabs>
          <w:tab w:val="right" w:leader="dot" w:pos="8630"/>
        </w:tabs>
        <w:rPr>
          <w:noProof/>
          <w:lang w:eastAsia="ja-JP"/>
        </w:rPr>
      </w:pPr>
      <w:r>
        <w:rPr>
          <w:noProof/>
        </w:rPr>
        <w:t>Charter of the Sub-Committee</w:t>
      </w:r>
      <w:r>
        <w:rPr>
          <w:noProof/>
        </w:rPr>
        <w:tab/>
      </w:r>
      <w:r>
        <w:rPr>
          <w:noProof/>
        </w:rPr>
        <w:fldChar w:fldCharType="begin"/>
      </w:r>
      <w:r>
        <w:rPr>
          <w:noProof/>
        </w:rPr>
        <w:instrText xml:space="preserve"> PAGEREF _Toc220471658 \h </w:instrText>
      </w:r>
      <w:r>
        <w:rPr>
          <w:noProof/>
        </w:rPr>
      </w:r>
      <w:r>
        <w:rPr>
          <w:noProof/>
        </w:rPr>
        <w:fldChar w:fldCharType="separate"/>
      </w:r>
      <w:r>
        <w:rPr>
          <w:noProof/>
        </w:rPr>
        <w:t>1</w:t>
      </w:r>
      <w:r>
        <w:rPr>
          <w:noProof/>
        </w:rPr>
        <w:fldChar w:fldCharType="end"/>
      </w:r>
    </w:p>
    <w:p w14:paraId="66013704" w14:textId="77777777" w:rsidR="003A213C" w:rsidRDefault="003A213C">
      <w:pPr>
        <w:pStyle w:val="TOC2"/>
        <w:tabs>
          <w:tab w:val="right" w:leader="dot" w:pos="8630"/>
        </w:tabs>
        <w:rPr>
          <w:noProof/>
          <w:lang w:eastAsia="ja-JP"/>
        </w:rPr>
      </w:pPr>
      <w:r>
        <w:rPr>
          <w:noProof/>
        </w:rPr>
        <w:t>Recommendations</w:t>
      </w:r>
      <w:r>
        <w:rPr>
          <w:noProof/>
        </w:rPr>
        <w:tab/>
      </w:r>
      <w:r>
        <w:rPr>
          <w:noProof/>
        </w:rPr>
        <w:fldChar w:fldCharType="begin"/>
      </w:r>
      <w:r>
        <w:rPr>
          <w:noProof/>
        </w:rPr>
        <w:instrText xml:space="preserve"> PAGEREF _Toc220471659 \h </w:instrText>
      </w:r>
      <w:r>
        <w:rPr>
          <w:noProof/>
        </w:rPr>
      </w:r>
      <w:r>
        <w:rPr>
          <w:noProof/>
        </w:rPr>
        <w:fldChar w:fldCharType="separate"/>
      </w:r>
      <w:r>
        <w:rPr>
          <w:noProof/>
        </w:rPr>
        <w:t>1</w:t>
      </w:r>
      <w:r>
        <w:rPr>
          <w:noProof/>
        </w:rPr>
        <w:fldChar w:fldCharType="end"/>
      </w:r>
    </w:p>
    <w:p w14:paraId="57A8825F" w14:textId="77777777" w:rsidR="003A213C" w:rsidRDefault="003A213C">
      <w:pPr>
        <w:pStyle w:val="TOC2"/>
        <w:tabs>
          <w:tab w:val="right" w:leader="dot" w:pos="8630"/>
        </w:tabs>
        <w:rPr>
          <w:noProof/>
          <w:lang w:eastAsia="ja-JP"/>
        </w:rPr>
      </w:pPr>
      <w:r>
        <w:rPr>
          <w:noProof/>
        </w:rPr>
        <w:t>Approaches</w:t>
      </w:r>
      <w:r>
        <w:rPr>
          <w:noProof/>
        </w:rPr>
        <w:tab/>
      </w:r>
      <w:r>
        <w:rPr>
          <w:noProof/>
        </w:rPr>
        <w:fldChar w:fldCharType="begin"/>
      </w:r>
      <w:r>
        <w:rPr>
          <w:noProof/>
        </w:rPr>
        <w:instrText xml:space="preserve"> PAGEREF _Toc220471660 \h </w:instrText>
      </w:r>
      <w:r>
        <w:rPr>
          <w:noProof/>
        </w:rPr>
      </w:r>
      <w:r>
        <w:rPr>
          <w:noProof/>
        </w:rPr>
        <w:fldChar w:fldCharType="separate"/>
      </w:r>
      <w:r>
        <w:rPr>
          <w:noProof/>
        </w:rPr>
        <w:t>1</w:t>
      </w:r>
      <w:r>
        <w:rPr>
          <w:noProof/>
        </w:rPr>
        <w:fldChar w:fldCharType="end"/>
      </w:r>
    </w:p>
    <w:p w14:paraId="769E6241" w14:textId="77777777" w:rsidR="003A213C" w:rsidRDefault="003A213C">
      <w:pPr>
        <w:pStyle w:val="TOC3"/>
        <w:tabs>
          <w:tab w:val="right" w:leader="dot" w:pos="8630"/>
        </w:tabs>
        <w:rPr>
          <w:noProof/>
          <w:lang w:eastAsia="ja-JP"/>
        </w:rPr>
      </w:pPr>
      <w:r>
        <w:rPr>
          <w:noProof/>
        </w:rPr>
        <w:t>Criteria for discussion with Commercial Organizations.</w:t>
      </w:r>
      <w:r>
        <w:rPr>
          <w:noProof/>
        </w:rPr>
        <w:tab/>
      </w:r>
      <w:r>
        <w:rPr>
          <w:noProof/>
        </w:rPr>
        <w:fldChar w:fldCharType="begin"/>
      </w:r>
      <w:r>
        <w:rPr>
          <w:noProof/>
        </w:rPr>
        <w:instrText xml:space="preserve"> PAGEREF _Toc220471661 \h </w:instrText>
      </w:r>
      <w:r>
        <w:rPr>
          <w:noProof/>
        </w:rPr>
      </w:r>
      <w:r>
        <w:rPr>
          <w:noProof/>
        </w:rPr>
        <w:fldChar w:fldCharType="separate"/>
      </w:r>
      <w:r>
        <w:rPr>
          <w:noProof/>
        </w:rPr>
        <w:t>1</w:t>
      </w:r>
      <w:r>
        <w:rPr>
          <w:noProof/>
        </w:rPr>
        <w:fldChar w:fldCharType="end"/>
      </w:r>
    </w:p>
    <w:p w14:paraId="352C5F76" w14:textId="77777777" w:rsidR="003A213C" w:rsidRDefault="003A213C">
      <w:pPr>
        <w:pStyle w:val="TOC3"/>
        <w:tabs>
          <w:tab w:val="right" w:leader="dot" w:pos="8630"/>
        </w:tabs>
        <w:rPr>
          <w:noProof/>
          <w:lang w:eastAsia="ja-JP"/>
        </w:rPr>
      </w:pPr>
      <w:r>
        <w:rPr>
          <w:noProof/>
        </w:rPr>
        <w:t>Benefits from working with Commercial Organizations.</w:t>
      </w:r>
      <w:r>
        <w:rPr>
          <w:noProof/>
        </w:rPr>
        <w:tab/>
      </w:r>
      <w:r>
        <w:rPr>
          <w:noProof/>
        </w:rPr>
        <w:fldChar w:fldCharType="begin"/>
      </w:r>
      <w:r>
        <w:rPr>
          <w:noProof/>
        </w:rPr>
        <w:instrText xml:space="preserve"> PAGEREF _Toc220471662 \h </w:instrText>
      </w:r>
      <w:r>
        <w:rPr>
          <w:noProof/>
        </w:rPr>
      </w:r>
      <w:r>
        <w:rPr>
          <w:noProof/>
        </w:rPr>
        <w:fldChar w:fldCharType="separate"/>
      </w:r>
      <w:r>
        <w:rPr>
          <w:noProof/>
        </w:rPr>
        <w:t>2</w:t>
      </w:r>
      <w:r>
        <w:rPr>
          <w:noProof/>
        </w:rPr>
        <w:fldChar w:fldCharType="end"/>
      </w:r>
    </w:p>
    <w:p w14:paraId="0256F17C" w14:textId="77777777" w:rsidR="003A213C" w:rsidRDefault="003A213C">
      <w:pPr>
        <w:pStyle w:val="TOC2"/>
        <w:tabs>
          <w:tab w:val="right" w:leader="dot" w:pos="8630"/>
        </w:tabs>
        <w:rPr>
          <w:noProof/>
          <w:lang w:eastAsia="ja-JP"/>
        </w:rPr>
      </w:pPr>
      <w:r>
        <w:rPr>
          <w:noProof/>
        </w:rPr>
        <w:t>Initial Activities</w:t>
      </w:r>
      <w:r>
        <w:rPr>
          <w:noProof/>
        </w:rPr>
        <w:tab/>
      </w:r>
      <w:r>
        <w:rPr>
          <w:noProof/>
        </w:rPr>
        <w:fldChar w:fldCharType="begin"/>
      </w:r>
      <w:r>
        <w:rPr>
          <w:noProof/>
        </w:rPr>
        <w:instrText xml:space="preserve"> PAGEREF _Toc220471663 \h </w:instrText>
      </w:r>
      <w:r>
        <w:rPr>
          <w:noProof/>
        </w:rPr>
      </w:r>
      <w:r>
        <w:rPr>
          <w:noProof/>
        </w:rPr>
        <w:fldChar w:fldCharType="separate"/>
      </w:r>
      <w:r>
        <w:rPr>
          <w:noProof/>
        </w:rPr>
        <w:t>3</w:t>
      </w:r>
      <w:r>
        <w:rPr>
          <w:noProof/>
        </w:rPr>
        <w:fldChar w:fldCharType="end"/>
      </w:r>
    </w:p>
    <w:p w14:paraId="5C7ADDB0" w14:textId="77777777" w:rsidR="003A213C" w:rsidRDefault="003A213C">
      <w:pPr>
        <w:pStyle w:val="TOC3"/>
        <w:tabs>
          <w:tab w:val="right" w:leader="dot" w:pos="8630"/>
        </w:tabs>
        <w:rPr>
          <w:noProof/>
          <w:lang w:eastAsia="ja-JP"/>
        </w:rPr>
      </w:pPr>
      <w:r>
        <w:rPr>
          <w:noProof/>
        </w:rPr>
        <w:t>Purchasing access to compute and storage resources</w:t>
      </w:r>
      <w:r>
        <w:rPr>
          <w:noProof/>
        </w:rPr>
        <w:tab/>
      </w:r>
      <w:r>
        <w:rPr>
          <w:noProof/>
        </w:rPr>
        <w:fldChar w:fldCharType="begin"/>
      </w:r>
      <w:r>
        <w:rPr>
          <w:noProof/>
        </w:rPr>
        <w:instrText xml:space="preserve"> PAGEREF _Toc220471664 \h </w:instrText>
      </w:r>
      <w:r>
        <w:rPr>
          <w:noProof/>
        </w:rPr>
      </w:r>
      <w:r>
        <w:rPr>
          <w:noProof/>
        </w:rPr>
        <w:fldChar w:fldCharType="separate"/>
      </w:r>
      <w:r>
        <w:rPr>
          <w:noProof/>
        </w:rPr>
        <w:t>3</w:t>
      </w:r>
      <w:r>
        <w:rPr>
          <w:noProof/>
        </w:rPr>
        <w:fldChar w:fldCharType="end"/>
      </w:r>
    </w:p>
    <w:p w14:paraId="70979941" w14:textId="77777777" w:rsidR="003A213C" w:rsidRDefault="003A213C">
      <w:pPr>
        <w:pStyle w:val="TOC3"/>
        <w:tabs>
          <w:tab w:val="right" w:leader="dot" w:pos="8630"/>
        </w:tabs>
        <w:rPr>
          <w:noProof/>
          <w:lang w:eastAsia="ja-JP"/>
        </w:rPr>
      </w:pPr>
      <w:r>
        <w:rPr>
          <w:noProof/>
        </w:rPr>
        <w:t>Focus Group Workshop on SBIR/STTR Possibility</w:t>
      </w:r>
      <w:r>
        <w:rPr>
          <w:noProof/>
        </w:rPr>
        <w:tab/>
      </w:r>
      <w:r>
        <w:rPr>
          <w:noProof/>
        </w:rPr>
        <w:fldChar w:fldCharType="begin"/>
      </w:r>
      <w:r>
        <w:rPr>
          <w:noProof/>
        </w:rPr>
        <w:instrText xml:space="preserve"> PAGEREF _Toc220471665 \h </w:instrText>
      </w:r>
      <w:r>
        <w:rPr>
          <w:noProof/>
        </w:rPr>
      </w:r>
      <w:r>
        <w:rPr>
          <w:noProof/>
        </w:rPr>
        <w:fldChar w:fldCharType="separate"/>
      </w:r>
      <w:r>
        <w:rPr>
          <w:noProof/>
        </w:rPr>
        <w:t>3</w:t>
      </w:r>
      <w:r>
        <w:rPr>
          <w:noProof/>
        </w:rPr>
        <w:fldChar w:fldCharType="end"/>
      </w:r>
    </w:p>
    <w:p w14:paraId="1E3209CF" w14:textId="24E5657B" w:rsidR="009E774D" w:rsidRDefault="003A213C" w:rsidP="009E774D">
      <w:r>
        <w:fldChar w:fldCharType="end"/>
      </w:r>
    </w:p>
    <w:p w14:paraId="00AF034C" w14:textId="77777777" w:rsidR="009E774D" w:rsidRDefault="009E774D" w:rsidP="009E774D">
      <w:pPr>
        <w:pStyle w:val="Heading2"/>
      </w:pPr>
      <w:bookmarkStart w:id="4" w:name="_Toc220471658"/>
      <w:r>
        <w:t xml:space="preserve">Charter </w:t>
      </w:r>
      <w:r w:rsidR="00EE71A2">
        <w:t>of the Sub-Committee</w:t>
      </w:r>
      <w:bookmarkEnd w:id="4"/>
    </w:p>
    <w:p w14:paraId="551E3DD2" w14:textId="13313634" w:rsidR="009E774D" w:rsidRDefault="009E774D" w:rsidP="009E774D">
      <w:r>
        <w:t>A sub-committee of the Open Science Grid Council is as</w:t>
      </w:r>
      <w:r w:rsidR="00071EA0">
        <w:t xml:space="preserve">ked to write a proposal for </w:t>
      </w:r>
      <w:r>
        <w:t xml:space="preserve">strategic goals for industry relationships and engagement </w:t>
      </w:r>
      <w:r w:rsidR="00071EA0">
        <w:t xml:space="preserve">by OSG </w:t>
      </w:r>
      <w:r>
        <w:t>over the next 5-10 years:</w:t>
      </w:r>
    </w:p>
    <w:p w14:paraId="04367883" w14:textId="65D71A74" w:rsidR="009E774D" w:rsidRDefault="009E774D" w:rsidP="009E774D">
      <w:pPr>
        <w:pStyle w:val="ListParagraph"/>
        <w:numPr>
          <w:ilvl w:val="0"/>
          <w:numId w:val="1"/>
        </w:numPr>
      </w:pPr>
      <w:r>
        <w:t>Clarify the goals, princi</w:t>
      </w:r>
      <w:r w:rsidR="00071EA0">
        <w:t>ples and approaches for the OSG</w:t>
      </w:r>
      <w:r>
        <w:t>'s interactions with Commercial Organizations (where organizations covers physical and virtual organizations, as well as the individuals who are part of such organizations).</w:t>
      </w:r>
    </w:p>
    <w:p w14:paraId="38B9E2A7" w14:textId="77777777" w:rsidR="009E774D" w:rsidRDefault="009E774D" w:rsidP="009E774D">
      <w:pPr>
        <w:pStyle w:val="ListParagraph"/>
        <w:numPr>
          <w:ilvl w:val="0"/>
          <w:numId w:val="1"/>
        </w:numPr>
      </w:pPr>
      <w:r>
        <w:t>Make a proposal for the nature of Commercial Organizations with which OSG should engage.</w:t>
      </w:r>
    </w:p>
    <w:p w14:paraId="7848BD6B" w14:textId="35EF38DB" w:rsidR="009E774D" w:rsidRDefault="009E774D" w:rsidP="009E774D">
      <w:pPr>
        <w:pStyle w:val="ListParagraph"/>
        <w:numPr>
          <w:ilvl w:val="0"/>
          <w:numId w:val="1"/>
        </w:numPr>
      </w:pPr>
      <w:r>
        <w:t>Make a proposal for Commercial Organization activities and interactions useful for the OSG in 2020.</w:t>
      </w:r>
    </w:p>
    <w:p w14:paraId="67CBC05C" w14:textId="1D4086D5" w:rsidR="009E774D" w:rsidRDefault="002F7AEA" w:rsidP="009E774D">
      <w:pPr>
        <w:pStyle w:val="Heading2"/>
      </w:pPr>
      <w:bookmarkStart w:id="5" w:name="_Toc220471659"/>
      <w:r>
        <w:t>Recommendations</w:t>
      </w:r>
      <w:bookmarkEnd w:id="5"/>
    </w:p>
    <w:p w14:paraId="4F816595" w14:textId="666B45FB" w:rsidR="002F7AEA" w:rsidRDefault="002F7AEA" w:rsidP="009E774D">
      <w:r>
        <w:t xml:space="preserve">The sub-committee </w:t>
      </w:r>
      <w:r w:rsidR="009E774D">
        <w:t>recomm</w:t>
      </w:r>
      <w:r w:rsidR="00071EA0">
        <w:t>ends a strategy that:</w:t>
      </w:r>
    </w:p>
    <w:p w14:paraId="7D4113BD" w14:textId="430CCC02" w:rsidR="002F7AEA" w:rsidRDefault="002F7AEA" w:rsidP="002F7AEA">
      <w:pPr>
        <w:pStyle w:val="ListParagraph"/>
        <w:numPr>
          <w:ilvl w:val="0"/>
          <w:numId w:val="6"/>
        </w:numPr>
      </w:pPr>
      <w:r>
        <w:t>S</w:t>
      </w:r>
      <w:r w:rsidR="00071EA0">
        <w:t xml:space="preserve">upports use of </w:t>
      </w:r>
      <w:r w:rsidR="009E774D">
        <w:t xml:space="preserve">OSG mechanisms for centralized provision of </w:t>
      </w:r>
      <w:r w:rsidR="00071EA0">
        <w:t xml:space="preserve">effective </w:t>
      </w:r>
      <w:r w:rsidR="009E774D">
        <w:t>“pay-for” services</w:t>
      </w:r>
      <w:r w:rsidR="00071EA0">
        <w:t xml:space="preserve"> its members</w:t>
      </w:r>
      <w:r w:rsidR="009E774D">
        <w:t xml:space="preserve">; </w:t>
      </w:r>
    </w:p>
    <w:p w14:paraId="2B05CA69" w14:textId="71F4A0CD" w:rsidR="002F7AEA" w:rsidRDefault="00071EA0" w:rsidP="002F7AEA">
      <w:pPr>
        <w:pStyle w:val="ListParagraph"/>
        <w:numPr>
          <w:ilvl w:val="0"/>
          <w:numId w:val="6"/>
        </w:numPr>
      </w:pPr>
      <w:r>
        <w:t>E</w:t>
      </w:r>
      <w:r w:rsidR="002F7AEA">
        <w:t>ncourage</w:t>
      </w:r>
      <w:r>
        <w:t>s</w:t>
      </w:r>
      <w:r w:rsidR="002F7AEA">
        <w:t xml:space="preserve"> a pilot OSG activity to engage</w:t>
      </w:r>
      <w:r>
        <w:t xml:space="preserve"> with and depend</w:t>
      </w:r>
      <w:r w:rsidR="009E774D">
        <w:t xml:space="preserve"> on </w:t>
      </w:r>
      <w:r>
        <w:t xml:space="preserve">one or more </w:t>
      </w:r>
      <w:r w:rsidR="009E774D">
        <w:t>comm</w:t>
      </w:r>
      <w:r>
        <w:t>ercial cpu and storage provider</w:t>
      </w:r>
      <w:r w:rsidR="002F7AEA">
        <w:t xml:space="preserve"> and report back on the </w:t>
      </w:r>
      <w:r>
        <w:t>results</w:t>
      </w:r>
      <w:r w:rsidR="009E774D">
        <w:t>;</w:t>
      </w:r>
    </w:p>
    <w:p w14:paraId="37DA1720" w14:textId="1BAB986D" w:rsidR="002F7AEA" w:rsidRDefault="00071EA0" w:rsidP="002F7AEA">
      <w:pPr>
        <w:pStyle w:val="ListParagraph"/>
        <w:numPr>
          <w:ilvl w:val="0"/>
          <w:numId w:val="6"/>
        </w:numPr>
      </w:pPr>
      <w:r>
        <w:t>Uses</w:t>
      </w:r>
      <w:r w:rsidR="009E774D">
        <w:t xml:space="preserve"> </w:t>
      </w:r>
      <w:r>
        <w:t>the</w:t>
      </w:r>
      <w:r w:rsidR="009E774D">
        <w:t xml:space="preserve"> DigiCert </w:t>
      </w:r>
      <w:r>
        <w:t xml:space="preserve">Certificate Authority </w:t>
      </w:r>
      <w:r w:rsidR="002F7AEA">
        <w:t>engagement</w:t>
      </w:r>
      <w:r w:rsidR="003A213C">
        <w:t xml:space="preserve"> as relevant </w:t>
      </w:r>
      <w:r>
        <w:t>experience, with an annual report on the status and lessons learned reviewed by the Council.</w:t>
      </w:r>
    </w:p>
    <w:p w14:paraId="5DF8F898" w14:textId="70853775" w:rsidR="00071EA0" w:rsidRDefault="00C73287" w:rsidP="00071EA0">
      <w:pPr>
        <w:pStyle w:val="ListParagraph"/>
        <w:numPr>
          <w:ilvl w:val="0"/>
          <w:numId w:val="6"/>
        </w:numPr>
      </w:pPr>
      <w:r>
        <w:t>E</w:t>
      </w:r>
      <w:bookmarkStart w:id="6" w:name="_GoBack"/>
      <w:bookmarkEnd w:id="6"/>
      <w:r w:rsidR="00C46C18">
        <w:t>xplore</w:t>
      </w:r>
      <w:r>
        <w:t>s</w:t>
      </w:r>
      <w:r w:rsidR="003A213C">
        <w:t xml:space="preserve"> “pay-for”</w:t>
      </w:r>
      <w:r w:rsidR="00C46C18">
        <w:t xml:space="preserve"> partnership</w:t>
      </w:r>
      <w:r>
        <w:t>s</w:t>
      </w:r>
      <w:r w:rsidR="00C46C18">
        <w:t xml:space="preserve"> for at least one </w:t>
      </w:r>
      <w:r w:rsidR="00071EA0">
        <w:t xml:space="preserve">TBD </w:t>
      </w:r>
      <w:r w:rsidR="002F7AEA">
        <w:t>additional</w:t>
      </w:r>
      <w:r w:rsidR="00C46C18">
        <w:t xml:space="preserve"> service in the OSG</w:t>
      </w:r>
      <w:r w:rsidR="00071EA0">
        <w:t>.</w:t>
      </w:r>
    </w:p>
    <w:p w14:paraId="21035621" w14:textId="1A91F691" w:rsidR="003A213C" w:rsidRDefault="003A213C" w:rsidP="00071EA0">
      <w:pPr>
        <w:pStyle w:val="ListParagraph"/>
        <w:numPr>
          <w:ilvl w:val="0"/>
          <w:numId w:val="6"/>
        </w:numPr>
      </w:pPr>
      <w:r>
        <w:t>Further understands the potential benefits the STTR/SBIR program</w:t>
      </w:r>
    </w:p>
    <w:p w14:paraId="0E9F759F" w14:textId="534BD0C3" w:rsidR="009E774D" w:rsidRPr="009E774D" w:rsidRDefault="002F7AEA" w:rsidP="00650FE0">
      <w:pPr>
        <w:pStyle w:val="ListParagraph"/>
        <w:numPr>
          <w:ilvl w:val="0"/>
          <w:numId w:val="6"/>
        </w:numPr>
      </w:pPr>
      <w:r>
        <w:t xml:space="preserve">The </w:t>
      </w:r>
      <w:r w:rsidR="009E774D">
        <w:t xml:space="preserve">current </w:t>
      </w:r>
      <w:r w:rsidR="00071EA0" w:rsidRPr="00071EA0">
        <w:rPr>
          <w:rFonts w:eastAsia="Times New Roman" w:cs="Times New Roman"/>
        </w:rPr>
        <w:t>Policy on OSG use by Commercial Entities</w:t>
      </w:r>
      <w:r w:rsidR="00071EA0">
        <w:rPr>
          <w:rStyle w:val="FootnoteReference"/>
          <w:rFonts w:eastAsia="Times New Roman" w:cs="Times New Roman"/>
        </w:rPr>
        <w:footnoteReference w:id="1"/>
      </w:r>
      <w:r w:rsidR="00071EA0">
        <w:rPr>
          <w:rFonts w:eastAsia="Times New Roman" w:cs="Times New Roman"/>
        </w:rPr>
        <w:t xml:space="preserve"> </w:t>
      </w:r>
      <w:r>
        <w:t>is maintained as is</w:t>
      </w:r>
      <w:r w:rsidR="00650FE0">
        <w:t>.</w:t>
      </w:r>
    </w:p>
    <w:p w14:paraId="16701354" w14:textId="2374F4BB" w:rsidR="009E774D" w:rsidRDefault="009E774D" w:rsidP="009E774D">
      <w:pPr>
        <w:pStyle w:val="Heading2"/>
      </w:pPr>
      <w:bookmarkStart w:id="7" w:name="_Toc220471660"/>
      <w:r>
        <w:t>Approaches</w:t>
      </w:r>
      <w:bookmarkEnd w:id="7"/>
    </w:p>
    <w:p w14:paraId="64A24AB1" w14:textId="77777777" w:rsidR="009E774D" w:rsidRDefault="009E774D" w:rsidP="009E774D">
      <w:pPr>
        <w:pStyle w:val="Heading3"/>
      </w:pPr>
      <w:bookmarkStart w:id="8" w:name="_Toc220471661"/>
      <w:r>
        <w:t>Criteria for discussion with Commercial Organizations.</w:t>
      </w:r>
      <w:bookmarkEnd w:id="8"/>
    </w:p>
    <w:p w14:paraId="41184596" w14:textId="77777777" w:rsidR="00A13F32" w:rsidRDefault="00A13F32" w:rsidP="00A13F32">
      <w:r>
        <w:t>OSG will use the following criteria as guidelines for engaging with Commercial Organizations:</w:t>
      </w:r>
    </w:p>
    <w:p w14:paraId="5B326ACD" w14:textId="77777777" w:rsidR="00A13F32" w:rsidRDefault="00A13F32" w:rsidP="00A13F32"/>
    <w:p w14:paraId="3838161C" w14:textId="77777777" w:rsidR="00EE71A2" w:rsidRDefault="00A13F32" w:rsidP="00EE71A2">
      <w:pPr>
        <w:pStyle w:val="ListParagraph"/>
        <w:numPr>
          <w:ilvl w:val="0"/>
          <w:numId w:val="4"/>
        </w:numPr>
      </w:pPr>
      <w:r w:rsidRPr="00EE71A2">
        <w:t>An agreed upon understanding of the proposed nature of the engagement</w:t>
      </w:r>
      <w:r w:rsidR="00EE71A2" w:rsidRPr="00EE71A2">
        <w:t xml:space="preserve"> and how it align with OSG’s mission and principles?  (e.g. will it hinder or encourage future inclusion of new researchers and customers)</w:t>
      </w:r>
      <w:r w:rsidRPr="00EE71A2">
        <w:t xml:space="preserve">: </w:t>
      </w:r>
    </w:p>
    <w:p w14:paraId="5AB50FA1" w14:textId="54C1AADC" w:rsidR="00EE71A2" w:rsidRDefault="00A13F32" w:rsidP="00EE71A2">
      <w:pPr>
        <w:pStyle w:val="ListParagraph"/>
        <w:numPr>
          <w:ilvl w:val="1"/>
          <w:numId w:val="4"/>
        </w:numPr>
      </w:pPr>
      <w:r w:rsidRPr="00EE71A2">
        <w:t>Coll</w:t>
      </w:r>
      <w:r w:rsidR="00136539">
        <w:t>aboration or customer/provider.</w:t>
      </w:r>
    </w:p>
    <w:p w14:paraId="6F257D0F" w14:textId="76CF51BB" w:rsidR="00EE71A2" w:rsidRDefault="00A13F32" w:rsidP="00EE71A2">
      <w:pPr>
        <w:pStyle w:val="ListParagraph"/>
        <w:numPr>
          <w:ilvl w:val="1"/>
          <w:numId w:val="4"/>
        </w:numPr>
      </w:pPr>
      <w:r w:rsidRPr="00EE71A2">
        <w:t>OSG as a cus</w:t>
      </w:r>
      <w:r w:rsidR="00136539">
        <w:t>tomer or a provider of services.</w:t>
      </w:r>
      <w:r w:rsidRPr="00EE71A2">
        <w:t xml:space="preserve"> </w:t>
      </w:r>
    </w:p>
    <w:p w14:paraId="0C3BA608" w14:textId="26063EC3" w:rsidR="00A13F32" w:rsidRPr="00EE71A2" w:rsidRDefault="00A13F32" w:rsidP="00EE71A2">
      <w:pPr>
        <w:pStyle w:val="ListParagraph"/>
        <w:numPr>
          <w:ilvl w:val="1"/>
          <w:numId w:val="4"/>
        </w:numPr>
      </w:pPr>
      <w:r w:rsidRPr="00EE71A2">
        <w:t>The dependencies, in one or both directions, that would result (including for services, resources, softwa</w:t>
      </w:r>
      <w:r w:rsidR="00136539">
        <w:t>re, consulting, expertise etc.).</w:t>
      </w:r>
      <w:r w:rsidRPr="00EE71A2">
        <w:t xml:space="preserve"> </w:t>
      </w:r>
    </w:p>
    <w:p w14:paraId="675D44DD" w14:textId="77777777" w:rsidR="00A13F32" w:rsidRPr="00EE71A2" w:rsidRDefault="00A13F32" w:rsidP="00EE71A2"/>
    <w:p w14:paraId="0027C8D3" w14:textId="404B9F4B" w:rsidR="00EE71A2" w:rsidRDefault="00A13F32" w:rsidP="00EE71A2">
      <w:pPr>
        <w:pStyle w:val="ListParagraph"/>
        <w:numPr>
          <w:ilvl w:val="0"/>
          <w:numId w:val="4"/>
        </w:numPr>
      </w:pPr>
      <w:r w:rsidRPr="00EE71A2">
        <w:t xml:space="preserve">A documented understanding of the potential benefit to OSG from </w:t>
      </w:r>
      <w:r w:rsidR="00136539">
        <w:t>the engagement:</w:t>
      </w:r>
    </w:p>
    <w:p w14:paraId="115007C5" w14:textId="77777777" w:rsidR="00EE71A2" w:rsidRDefault="00EE71A2" w:rsidP="00EE71A2">
      <w:pPr>
        <w:pStyle w:val="ListParagraph"/>
        <w:numPr>
          <w:ilvl w:val="1"/>
          <w:numId w:val="4"/>
        </w:numPr>
      </w:pPr>
      <w:r>
        <w:t>The benefits to contributors, users and providers.</w:t>
      </w:r>
    </w:p>
    <w:p w14:paraId="4646BE20" w14:textId="4ABC2F15" w:rsidR="00EE71A2" w:rsidRDefault="00EE71A2" w:rsidP="00EE71A2">
      <w:pPr>
        <w:pStyle w:val="ListParagraph"/>
        <w:numPr>
          <w:ilvl w:val="1"/>
          <w:numId w:val="4"/>
        </w:numPr>
      </w:pPr>
      <w:r>
        <w:t xml:space="preserve">An analysis </w:t>
      </w:r>
      <w:r w:rsidR="00136539">
        <w:t>of the cost impacts and savings.</w:t>
      </w:r>
    </w:p>
    <w:p w14:paraId="22F8A441" w14:textId="30670CD9" w:rsidR="00EE71A2" w:rsidRDefault="00EE71A2" w:rsidP="00EE71A2">
      <w:pPr>
        <w:pStyle w:val="ListParagraph"/>
        <w:numPr>
          <w:ilvl w:val="1"/>
          <w:numId w:val="4"/>
        </w:numPr>
      </w:pPr>
      <w:r>
        <w:t>The benefit to future OSG activities and fabric of services</w:t>
      </w:r>
      <w:r w:rsidR="00136539">
        <w:t>.</w:t>
      </w:r>
    </w:p>
    <w:p w14:paraId="37C21A5F" w14:textId="77777777" w:rsidR="00EE71A2" w:rsidRDefault="00EE71A2" w:rsidP="00EE71A2">
      <w:pPr>
        <w:pStyle w:val="ListParagraph"/>
        <w:ind w:left="1440"/>
      </w:pPr>
    </w:p>
    <w:p w14:paraId="2C7A704D" w14:textId="77777777" w:rsidR="00EE71A2" w:rsidRDefault="00EE71A2" w:rsidP="00EE71A2">
      <w:pPr>
        <w:pStyle w:val="ListParagraph"/>
        <w:numPr>
          <w:ilvl w:val="0"/>
          <w:numId w:val="4"/>
        </w:numPr>
      </w:pPr>
      <w:r>
        <w:t>A</w:t>
      </w:r>
      <w:r w:rsidR="00A13F32" w:rsidRPr="00EE71A2">
        <w:t xml:space="preserve"> Technical Risk Assessment of the outcomes in terms of</w:t>
      </w:r>
      <w:r>
        <w:t>:</w:t>
      </w:r>
    </w:p>
    <w:p w14:paraId="63AA0BCE" w14:textId="77777777" w:rsidR="00136539" w:rsidRDefault="00136539" w:rsidP="00136539">
      <w:pPr>
        <w:pStyle w:val="ListParagraph"/>
        <w:numPr>
          <w:ilvl w:val="1"/>
          <w:numId w:val="4"/>
        </w:numPr>
      </w:pPr>
      <w:r>
        <w:t>Functionality.</w:t>
      </w:r>
    </w:p>
    <w:p w14:paraId="3751D9F7" w14:textId="0D93C491" w:rsidR="00136539" w:rsidRDefault="00EE71A2" w:rsidP="00136539">
      <w:pPr>
        <w:pStyle w:val="ListParagraph"/>
        <w:numPr>
          <w:ilvl w:val="1"/>
          <w:numId w:val="4"/>
        </w:numPr>
      </w:pPr>
      <w:r>
        <w:t>Quality of service</w:t>
      </w:r>
      <w:r w:rsidR="00136539">
        <w:t>.</w:t>
      </w:r>
    </w:p>
    <w:p w14:paraId="6F8F46A2" w14:textId="6D66E3CF" w:rsidR="00EE71A2" w:rsidRDefault="00EE71A2" w:rsidP="00EE71A2">
      <w:pPr>
        <w:pStyle w:val="ListParagraph"/>
        <w:numPr>
          <w:ilvl w:val="1"/>
          <w:numId w:val="4"/>
        </w:numPr>
      </w:pPr>
      <w:r>
        <w:t>Protection and Security</w:t>
      </w:r>
      <w:r w:rsidR="00136539">
        <w:t>.</w:t>
      </w:r>
    </w:p>
    <w:p w14:paraId="6695A445" w14:textId="1F3E6267" w:rsidR="00A13F32" w:rsidRPr="00EE71A2" w:rsidRDefault="00EE71A2" w:rsidP="00EE71A2">
      <w:pPr>
        <w:pStyle w:val="ListParagraph"/>
        <w:numPr>
          <w:ilvl w:val="1"/>
          <w:numId w:val="4"/>
        </w:numPr>
      </w:pPr>
      <w:r>
        <w:t>S</w:t>
      </w:r>
      <w:r w:rsidR="00A13F32" w:rsidRPr="00EE71A2">
        <w:t>ustainability (e.g. if a contract for services is pursued, what promise is there that the price or quality of the services will remain available/affordable and/or how stable and reliable is the company?)</w:t>
      </w:r>
      <w:r w:rsidR="00136539">
        <w:t>.</w:t>
      </w:r>
    </w:p>
    <w:p w14:paraId="15CBC8CE" w14:textId="77777777" w:rsidR="00A13F32" w:rsidRPr="00EE71A2" w:rsidRDefault="00A13F32" w:rsidP="00EE71A2"/>
    <w:p w14:paraId="45E3433A" w14:textId="1D077147" w:rsidR="00A13F32" w:rsidRPr="00A13F32" w:rsidRDefault="00EE71A2" w:rsidP="00A13F32">
      <w:pPr>
        <w:pStyle w:val="ListParagraph"/>
        <w:numPr>
          <w:ilvl w:val="0"/>
          <w:numId w:val="4"/>
        </w:numPr>
      </w:pPr>
      <w:r w:rsidRPr="00EE71A2">
        <w:t xml:space="preserve">A comparison </w:t>
      </w:r>
      <w:r w:rsidR="00136539">
        <w:t xml:space="preserve">is done </w:t>
      </w:r>
      <w:r w:rsidRPr="00EE71A2">
        <w:t>between providing the engagement activity in-house in OSG (including sponsoring a satellite) and/or using open source/ no-cost alternatives</w:t>
      </w:r>
      <w:r w:rsidR="00136539">
        <w:t xml:space="preserve"> and the commercial engagement</w:t>
      </w:r>
      <w:r w:rsidRPr="00EE71A2">
        <w:t>.</w:t>
      </w:r>
    </w:p>
    <w:p w14:paraId="3A96F158" w14:textId="77777777" w:rsidR="009E774D" w:rsidRDefault="00EE71A2" w:rsidP="009E774D">
      <w:pPr>
        <w:pStyle w:val="Heading3"/>
      </w:pPr>
      <w:bookmarkStart w:id="9" w:name="_Toc220471662"/>
      <w:r>
        <w:t xml:space="preserve">Benefits from </w:t>
      </w:r>
      <w:r w:rsidR="009E774D">
        <w:t>working with Commercial Organizations.</w:t>
      </w:r>
      <w:bookmarkEnd w:id="9"/>
    </w:p>
    <w:p w14:paraId="4BB59EAD" w14:textId="77777777" w:rsidR="00EE71A2" w:rsidRDefault="00EE71A2" w:rsidP="009E774D">
      <w:r>
        <w:t>The OSG is positive towards working with commercial organizations because of:</w:t>
      </w:r>
    </w:p>
    <w:p w14:paraId="1195274C" w14:textId="77777777" w:rsidR="00EE71A2" w:rsidRDefault="00EE71A2" w:rsidP="00EE71A2">
      <w:pPr>
        <w:pStyle w:val="ListParagraph"/>
        <w:numPr>
          <w:ilvl w:val="0"/>
          <w:numId w:val="5"/>
        </w:numPr>
      </w:pPr>
      <w:r>
        <w:t xml:space="preserve">The opportunity to improve the services, software and consulting provided by the OSG. </w:t>
      </w:r>
    </w:p>
    <w:p w14:paraId="221136EC" w14:textId="77777777" w:rsidR="00EE71A2" w:rsidRDefault="00EE71A2" w:rsidP="00EE71A2">
      <w:pPr>
        <w:pStyle w:val="ListParagraph"/>
        <w:numPr>
          <w:ilvl w:val="0"/>
          <w:numId w:val="5"/>
        </w:numPr>
      </w:pPr>
      <w:r>
        <w:t xml:space="preserve">The potential for adoption and integration of OSG services by a greater number of users. </w:t>
      </w:r>
    </w:p>
    <w:p w14:paraId="0974CAF0" w14:textId="77777777" w:rsidR="00EE71A2" w:rsidRDefault="00EE71A2" w:rsidP="00EE71A2">
      <w:pPr>
        <w:pStyle w:val="ListParagraph"/>
        <w:numPr>
          <w:ilvl w:val="0"/>
          <w:numId w:val="5"/>
        </w:numPr>
      </w:pPr>
      <w:r>
        <w:t>The potential for sustained support outside of the short-cycle of NSF/DOE funding for any service provided.</w:t>
      </w:r>
    </w:p>
    <w:p w14:paraId="609A0C70" w14:textId="77777777" w:rsidR="00EE71A2" w:rsidRDefault="00EE71A2" w:rsidP="00EE71A2">
      <w:pPr>
        <w:pStyle w:val="ListParagraph"/>
        <w:numPr>
          <w:ilvl w:val="0"/>
          <w:numId w:val="5"/>
        </w:numPr>
      </w:pPr>
      <w:r>
        <w:t>Availability of and access to a deeper layer of production and operations experience and delivery.</w:t>
      </w:r>
    </w:p>
    <w:p w14:paraId="10DC07D2" w14:textId="77777777" w:rsidR="00EE71A2" w:rsidRDefault="00EE71A2" w:rsidP="009E774D">
      <w:r>
        <w:t xml:space="preserve"> </w:t>
      </w:r>
    </w:p>
    <w:p w14:paraId="253D218C" w14:textId="36A29DAC" w:rsidR="00650FE0" w:rsidRDefault="00650FE0" w:rsidP="00650FE0">
      <w:pPr>
        <w:pStyle w:val="Heading2"/>
      </w:pPr>
      <w:bookmarkStart w:id="10" w:name="_Toc220471663"/>
      <w:r>
        <w:t>Initial Activities</w:t>
      </w:r>
      <w:bookmarkEnd w:id="10"/>
    </w:p>
    <w:p w14:paraId="3F8E8561" w14:textId="02266ADA" w:rsidR="009E774D" w:rsidRDefault="002F7AEA" w:rsidP="00650FE0">
      <w:pPr>
        <w:pStyle w:val="Heading3"/>
      </w:pPr>
      <w:bookmarkStart w:id="11" w:name="_Toc220471664"/>
      <w:r>
        <w:t>P</w:t>
      </w:r>
      <w:r w:rsidR="009E774D">
        <w:t xml:space="preserve">urchasing access to </w:t>
      </w:r>
      <w:r>
        <w:t xml:space="preserve">compute and storage </w:t>
      </w:r>
      <w:r w:rsidR="009E774D">
        <w:t>resources</w:t>
      </w:r>
      <w:bookmarkEnd w:id="11"/>
      <w:r w:rsidR="009E774D">
        <w:t xml:space="preserve"> </w:t>
      </w:r>
    </w:p>
    <w:p w14:paraId="1E94B078" w14:textId="6D861DC4" w:rsidR="00650FE0" w:rsidRDefault="00650FE0" w:rsidP="00650FE0">
      <w:r>
        <w:t>We encourage an OSG pilot use of Amazon compute and storage</w:t>
      </w:r>
      <w:r>
        <w:rPr>
          <w:rStyle w:val="FootnoteReference"/>
        </w:rPr>
        <w:footnoteReference w:id="2"/>
      </w:r>
      <w:r>
        <w:t xml:space="preserve"> that a) provides resources purchased centrally b) explores the security, policy and allocation issues associated with sharing of those resources and c) assessed the operational impact of and extensions needed in the OSG fabric of services to provide this access in production.</w:t>
      </w:r>
      <w:r w:rsidR="00053F71">
        <w:t xml:space="preserve"> We recommend that the OS</w:t>
      </w:r>
      <w:r w:rsidR="002116F8">
        <w:t xml:space="preserve">G Project investigate spending </w:t>
      </w:r>
      <w:r w:rsidR="00053F71">
        <w:t>~$10K</w:t>
      </w:r>
      <w:r w:rsidR="002116F8">
        <w:t>, ~300,000 CPU hours as reported by US CMS</w:t>
      </w:r>
      <w:r w:rsidR="002116F8">
        <w:rPr>
          <w:rStyle w:val="FootnoteReference"/>
        </w:rPr>
        <w:footnoteReference w:id="3"/>
      </w:r>
      <w:r w:rsidR="00053F71">
        <w:t xml:space="preserve"> of existing project funds on to purchase such resources.</w:t>
      </w:r>
    </w:p>
    <w:p w14:paraId="4BD6775B" w14:textId="77777777" w:rsidR="00650FE0" w:rsidRDefault="00650FE0" w:rsidP="00650FE0"/>
    <w:p w14:paraId="45165A87" w14:textId="35F2DD89" w:rsidR="00B329AE" w:rsidRDefault="00650FE0" w:rsidP="00650FE0">
      <w:r>
        <w:t xml:space="preserve">We </w:t>
      </w:r>
      <w:r w:rsidR="00053F71">
        <w:t xml:space="preserve">would like </w:t>
      </w:r>
      <w:r>
        <w:t xml:space="preserve">an approach to Google and Microsoft to see the potential and </w:t>
      </w:r>
      <w:r w:rsidR="00053F71">
        <w:t>interest in an equivalent pilot and a report back to the Council on whether these look feasible for the execution of OSG jobs.</w:t>
      </w:r>
    </w:p>
    <w:p w14:paraId="47A16BE1" w14:textId="77777777" w:rsidR="003A213C" w:rsidRDefault="003A213C" w:rsidP="003A213C">
      <w:pPr>
        <w:pStyle w:val="Heading3"/>
      </w:pPr>
      <w:bookmarkStart w:id="12" w:name="_Toc220471665"/>
      <w:r>
        <w:t>Focus Group Workshop on SBIR/STTR Possibility</w:t>
      </w:r>
      <w:bookmarkEnd w:id="12"/>
    </w:p>
    <w:p w14:paraId="30ABFDA6" w14:textId="3D62B75B" w:rsidR="003A213C" w:rsidRDefault="003A213C" w:rsidP="003A213C">
      <w:r>
        <w:t xml:space="preserve">We recommend a day-long focus group in the summer of 2013 to engage potential SBIR and STTR partners and explore potential projects.  The focus group would be organized (contributed) by Council members in collaboration with the Executive Director.  The existing list of DOE and NSF SBIR and STTR recipients, as well as other companies with whom OSG members already work would be the source of the invitation list (keeping in mind the rules that companies eligible for such grants have &lt;=500 employees). </w:t>
      </w:r>
    </w:p>
    <w:p w14:paraId="1B10699E" w14:textId="77777777" w:rsidR="003A213C" w:rsidRDefault="003A213C" w:rsidP="003A213C"/>
    <w:p w14:paraId="33A0F0EE" w14:textId="184771E2" w:rsidR="003A213C" w:rsidRDefault="003A213C" w:rsidP="003A213C">
      <w:r>
        <w:t xml:space="preserve"> </w:t>
      </w:r>
    </w:p>
    <w:p w14:paraId="6210D56F" w14:textId="7F8BFE25" w:rsidR="003A213C" w:rsidRDefault="003A213C" w:rsidP="003A213C">
      <w:r>
        <w:t xml:space="preserve"> </w:t>
      </w:r>
    </w:p>
    <w:p w14:paraId="4775497C" w14:textId="77777777" w:rsidR="003A213C" w:rsidRPr="00650FE0" w:rsidRDefault="003A213C" w:rsidP="00650FE0"/>
    <w:sectPr w:rsidR="003A213C" w:rsidRPr="00650FE0" w:rsidSect="00CE0001">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D2CB20" w14:textId="77777777" w:rsidR="003A213C" w:rsidRDefault="003A213C" w:rsidP="0016357C">
      <w:r>
        <w:separator/>
      </w:r>
    </w:p>
  </w:endnote>
  <w:endnote w:type="continuationSeparator" w:id="0">
    <w:p w14:paraId="089FA3D4" w14:textId="77777777" w:rsidR="003A213C" w:rsidRDefault="003A213C" w:rsidP="00163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8CB62" w14:textId="77777777" w:rsidR="003A213C" w:rsidRDefault="003A213C" w:rsidP="00B329A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9F2B5D" w14:textId="77777777" w:rsidR="003A213C" w:rsidRDefault="003A213C" w:rsidP="0016357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F65D2C" w14:textId="77777777" w:rsidR="003A213C" w:rsidRDefault="003A213C" w:rsidP="00B329A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12FCF">
      <w:rPr>
        <w:rStyle w:val="PageNumber"/>
        <w:noProof/>
      </w:rPr>
      <w:t>1</w:t>
    </w:r>
    <w:r>
      <w:rPr>
        <w:rStyle w:val="PageNumber"/>
      </w:rPr>
      <w:fldChar w:fldCharType="end"/>
    </w:r>
  </w:p>
  <w:p w14:paraId="28611EE0" w14:textId="45F59CFF" w:rsidR="003A213C" w:rsidRDefault="003A213C" w:rsidP="0016357C">
    <w:r>
      <w:t>Report on OSG’s Relationship with Industry</w:t>
    </w:r>
  </w:p>
  <w:p w14:paraId="30EA5290" w14:textId="77777777" w:rsidR="003A213C" w:rsidRDefault="003A213C" w:rsidP="0016357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160E42" w14:textId="77777777" w:rsidR="003A213C" w:rsidRDefault="003A213C" w:rsidP="0016357C">
      <w:r>
        <w:separator/>
      </w:r>
    </w:p>
  </w:footnote>
  <w:footnote w:type="continuationSeparator" w:id="0">
    <w:p w14:paraId="377FF1F8" w14:textId="77777777" w:rsidR="003A213C" w:rsidRDefault="003A213C" w:rsidP="0016357C">
      <w:r>
        <w:continuationSeparator/>
      </w:r>
    </w:p>
  </w:footnote>
  <w:footnote w:id="1">
    <w:p w14:paraId="47E10BF0" w14:textId="39F2440C" w:rsidR="003A213C" w:rsidRDefault="003A213C">
      <w:pPr>
        <w:pStyle w:val="FootnoteText"/>
      </w:pPr>
      <w:r>
        <w:rPr>
          <w:rStyle w:val="FootnoteReference"/>
        </w:rPr>
        <w:footnoteRef/>
      </w:r>
      <w:r>
        <w:t xml:space="preserve"> </w:t>
      </w:r>
      <w:hyperlink r:id="rId1" w:history="1">
        <w:r w:rsidRPr="00071EA0">
          <w:rPr>
            <w:rStyle w:val="Hyperlink"/>
            <w:sz w:val="20"/>
            <w:szCs w:val="20"/>
          </w:rPr>
          <w:t xml:space="preserve"> http://osg-docdb.opensciencegrid.org/cgi-bin/RetrieveFile?docid=851&amp;extension=docx</w:t>
        </w:r>
      </w:hyperlink>
    </w:p>
  </w:footnote>
  <w:footnote w:id="2">
    <w:p w14:paraId="6614AC77" w14:textId="77777777" w:rsidR="00C62134" w:rsidRPr="00C62134" w:rsidRDefault="003A213C" w:rsidP="00C62134">
      <w:pPr>
        <w:widowControl w:val="0"/>
        <w:autoSpaceDE w:val="0"/>
        <w:autoSpaceDN w:val="0"/>
        <w:adjustRightInd w:val="0"/>
        <w:rPr>
          <w:rFonts w:ascii="Consolas" w:hAnsi="Consolas" w:cs="Consolas"/>
          <w:sz w:val="18"/>
          <w:szCs w:val="18"/>
        </w:rPr>
      </w:pPr>
      <w:r>
        <w:rPr>
          <w:rStyle w:val="FootnoteReference"/>
        </w:rPr>
        <w:footnoteRef/>
      </w:r>
      <w:r>
        <w:t xml:space="preserve"> At least 2 VOs are already piloting the use of commercially purchased resources from Amazon.</w:t>
      </w:r>
      <w:r w:rsidR="00C62134">
        <w:t xml:space="preserve"> </w:t>
      </w:r>
    </w:p>
    <w:p w14:paraId="01660506" w14:textId="3129BA32" w:rsidR="00C62134" w:rsidRPr="00C62134" w:rsidRDefault="00712FCF" w:rsidP="00C62134">
      <w:pPr>
        <w:widowControl w:val="0"/>
        <w:autoSpaceDE w:val="0"/>
        <w:autoSpaceDN w:val="0"/>
        <w:adjustRightInd w:val="0"/>
        <w:rPr>
          <w:rFonts w:ascii="Consolas" w:hAnsi="Consolas" w:cs="Consolas"/>
          <w:sz w:val="18"/>
          <w:szCs w:val="18"/>
        </w:rPr>
      </w:pPr>
      <w:hyperlink r:id="rId2" w:history="1">
        <w:r w:rsidR="00C62134" w:rsidRPr="00C62134">
          <w:rPr>
            <w:rFonts w:ascii="Consolas" w:hAnsi="Consolas" w:cs="Consolas"/>
            <w:color w:val="0E00ED"/>
            <w:sz w:val="18"/>
            <w:szCs w:val="18"/>
            <w:u w:val="single" w:color="0E00ED"/>
          </w:rPr>
          <w:t>https://docs.google.com/document/d/1TwEJ_GKD66W0864HKpKjJLpY8l7K8KX3svbGZvCZOW8/edit</w:t>
        </w:r>
      </w:hyperlink>
    </w:p>
    <w:p w14:paraId="41DB63D6" w14:textId="77777777" w:rsidR="00C62134" w:rsidRPr="00C62134" w:rsidRDefault="00712FCF" w:rsidP="00C62134">
      <w:pPr>
        <w:widowControl w:val="0"/>
        <w:autoSpaceDE w:val="0"/>
        <w:autoSpaceDN w:val="0"/>
        <w:adjustRightInd w:val="0"/>
        <w:rPr>
          <w:rFonts w:ascii="Consolas" w:hAnsi="Consolas" w:cs="Consolas"/>
          <w:sz w:val="18"/>
          <w:szCs w:val="18"/>
        </w:rPr>
      </w:pPr>
      <w:hyperlink r:id="rId3" w:history="1">
        <w:r w:rsidR="00C62134" w:rsidRPr="00C62134">
          <w:rPr>
            <w:rFonts w:ascii="Consolas" w:hAnsi="Consolas" w:cs="Consolas"/>
            <w:color w:val="0E00ED"/>
            <w:sz w:val="18"/>
            <w:szCs w:val="18"/>
            <w:u w:val="single" w:color="0E00ED"/>
          </w:rPr>
          <w:t>https://docs.google.com/document/d/1vets1PsJ2xd1BkHURnkhzYEAdrOSuM4Kzq8reeJoDaE/edit</w:t>
        </w:r>
      </w:hyperlink>
    </w:p>
    <w:p w14:paraId="713137A0" w14:textId="1891EC7A" w:rsidR="003A213C" w:rsidRDefault="00C62134">
      <w:pPr>
        <w:pStyle w:val="FootnoteText"/>
      </w:pPr>
      <w:r>
        <w:t xml:space="preserve"> </w:t>
      </w:r>
    </w:p>
  </w:footnote>
  <w:footnote w:id="3">
    <w:p w14:paraId="47B66B60" w14:textId="3BAFB761" w:rsidR="002116F8" w:rsidRDefault="002116F8">
      <w:pPr>
        <w:pStyle w:val="FootnoteText"/>
      </w:pPr>
      <w:r>
        <w:rPr>
          <w:rStyle w:val="FootnoteReference"/>
        </w:rPr>
        <w:footnoteRef/>
      </w:r>
      <w:r>
        <w:t xml:space="preserve"> </w:t>
      </w:r>
      <w:hyperlink r:id="rId4" w:history="1">
        <w:r w:rsidRPr="003812CD">
          <w:rPr>
            <w:rStyle w:val="Hyperlink"/>
          </w:rPr>
          <w:t>http://dl.dropbox.com/u/26164791/aaa_130108.pdf</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56C2"/>
    <w:multiLevelType w:val="hybridMultilevel"/>
    <w:tmpl w:val="393ACA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4A25AF"/>
    <w:multiLevelType w:val="hybridMultilevel"/>
    <w:tmpl w:val="B232B09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537EDD"/>
    <w:multiLevelType w:val="hybridMultilevel"/>
    <w:tmpl w:val="7B0621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516AB2"/>
    <w:multiLevelType w:val="hybridMultilevel"/>
    <w:tmpl w:val="DB8C26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D6201"/>
    <w:multiLevelType w:val="hybridMultilevel"/>
    <w:tmpl w:val="FE2687F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4AD5A86"/>
    <w:multiLevelType w:val="hybridMultilevel"/>
    <w:tmpl w:val="41F4A0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B94C52"/>
    <w:multiLevelType w:val="hybridMultilevel"/>
    <w:tmpl w:val="77E060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74D"/>
    <w:rsid w:val="00053F71"/>
    <w:rsid w:val="00071EA0"/>
    <w:rsid w:val="00136539"/>
    <w:rsid w:val="0016357C"/>
    <w:rsid w:val="002116F8"/>
    <w:rsid w:val="00216CD2"/>
    <w:rsid w:val="002F7AEA"/>
    <w:rsid w:val="00302683"/>
    <w:rsid w:val="003A213C"/>
    <w:rsid w:val="003D787B"/>
    <w:rsid w:val="00650FE0"/>
    <w:rsid w:val="006F31E8"/>
    <w:rsid w:val="00712FCF"/>
    <w:rsid w:val="008003F2"/>
    <w:rsid w:val="008E6B44"/>
    <w:rsid w:val="00956089"/>
    <w:rsid w:val="009E774D"/>
    <w:rsid w:val="00A13F32"/>
    <w:rsid w:val="00B329AE"/>
    <w:rsid w:val="00C46C18"/>
    <w:rsid w:val="00C62134"/>
    <w:rsid w:val="00C73287"/>
    <w:rsid w:val="00CE0001"/>
    <w:rsid w:val="00EB53AD"/>
    <w:rsid w:val="00EE71A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984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71A2"/>
    <w:pPr>
      <w:keepNext/>
      <w:keepLines/>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E774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74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1A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E774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E774D"/>
    <w:pPr>
      <w:ind w:left="720"/>
      <w:contextualSpacing/>
    </w:pPr>
  </w:style>
  <w:style w:type="character" w:customStyle="1" w:styleId="Heading3Char">
    <w:name w:val="Heading 3 Char"/>
    <w:basedOn w:val="DefaultParagraphFont"/>
    <w:link w:val="Heading3"/>
    <w:uiPriority w:val="9"/>
    <w:rsid w:val="009E774D"/>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16357C"/>
  </w:style>
  <w:style w:type="paragraph" w:styleId="TOC2">
    <w:name w:val="toc 2"/>
    <w:basedOn w:val="Normal"/>
    <w:next w:val="Normal"/>
    <w:autoRedefine/>
    <w:uiPriority w:val="39"/>
    <w:unhideWhenUsed/>
    <w:rsid w:val="0016357C"/>
    <w:pPr>
      <w:ind w:left="240"/>
    </w:pPr>
  </w:style>
  <w:style w:type="paragraph" w:styleId="TOC3">
    <w:name w:val="toc 3"/>
    <w:basedOn w:val="Normal"/>
    <w:next w:val="Normal"/>
    <w:autoRedefine/>
    <w:uiPriority w:val="39"/>
    <w:unhideWhenUsed/>
    <w:rsid w:val="0016357C"/>
    <w:pPr>
      <w:ind w:left="480"/>
    </w:pPr>
  </w:style>
  <w:style w:type="paragraph" w:styleId="TOC4">
    <w:name w:val="toc 4"/>
    <w:basedOn w:val="Normal"/>
    <w:next w:val="Normal"/>
    <w:autoRedefine/>
    <w:uiPriority w:val="39"/>
    <w:unhideWhenUsed/>
    <w:rsid w:val="0016357C"/>
    <w:pPr>
      <w:ind w:left="720"/>
    </w:pPr>
  </w:style>
  <w:style w:type="paragraph" w:styleId="TOC5">
    <w:name w:val="toc 5"/>
    <w:basedOn w:val="Normal"/>
    <w:next w:val="Normal"/>
    <w:autoRedefine/>
    <w:uiPriority w:val="39"/>
    <w:unhideWhenUsed/>
    <w:rsid w:val="0016357C"/>
    <w:pPr>
      <w:ind w:left="960"/>
    </w:pPr>
  </w:style>
  <w:style w:type="paragraph" w:styleId="TOC6">
    <w:name w:val="toc 6"/>
    <w:basedOn w:val="Normal"/>
    <w:next w:val="Normal"/>
    <w:autoRedefine/>
    <w:uiPriority w:val="39"/>
    <w:unhideWhenUsed/>
    <w:rsid w:val="0016357C"/>
    <w:pPr>
      <w:ind w:left="1200"/>
    </w:pPr>
  </w:style>
  <w:style w:type="paragraph" w:styleId="TOC7">
    <w:name w:val="toc 7"/>
    <w:basedOn w:val="Normal"/>
    <w:next w:val="Normal"/>
    <w:autoRedefine/>
    <w:uiPriority w:val="39"/>
    <w:unhideWhenUsed/>
    <w:rsid w:val="0016357C"/>
    <w:pPr>
      <w:ind w:left="1440"/>
    </w:pPr>
  </w:style>
  <w:style w:type="paragraph" w:styleId="TOC8">
    <w:name w:val="toc 8"/>
    <w:basedOn w:val="Normal"/>
    <w:next w:val="Normal"/>
    <w:autoRedefine/>
    <w:uiPriority w:val="39"/>
    <w:unhideWhenUsed/>
    <w:rsid w:val="0016357C"/>
    <w:pPr>
      <w:ind w:left="1680"/>
    </w:pPr>
  </w:style>
  <w:style w:type="paragraph" w:styleId="TOC9">
    <w:name w:val="toc 9"/>
    <w:basedOn w:val="Normal"/>
    <w:next w:val="Normal"/>
    <w:autoRedefine/>
    <w:uiPriority w:val="39"/>
    <w:unhideWhenUsed/>
    <w:rsid w:val="0016357C"/>
    <w:pPr>
      <w:ind w:left="1920"/>
    </w:pPr>
  </w:style>
  <w:style w:type="paragraph" w:styleId="Footer">
    <w:name w:val="footer"/>
    <w:basedOn w:val="Normal"/>
    <w:link w:val="FooterChar"/>
    <w:uiPriority w:val="99"/>
    <w:unhideWhenUsed/>
    <w:rsid w:val="0016357C"/>
    <w:pPr>
      <w:tabs>
        <w:tab w:val="center" w:pos="4320"/>
        <w:tab w:val="right" w:pos="8640"/>
      </w:tabs>
    </w:pPr>
  </w:style>
  <w:style w:type="character" w:customStyle="1" w:styleId="FooterChar">
    <w:name w:val="Footer Char"/>
    <w:basedOn w:val="DefaultParagraphFont"/>
    <w:link w:val="Footer"/>
    <w:uiPriority w:val="99"/>
    <w:rsid w:val="0016357C"/>
  </w:style>
  <w:style w:type="character" w:styleId="PageNumber">
    <w:name w:val="page number"/>
    <w:basedOn w:val="DefaultParagraphFont"/>
    <w:uiPriority w:val="99"/>
    <w:semiHidden/>
    <w:unhideWhenUsed/>
    <w:rsid w:val="0016357C"/>
  </w:style>
  <w:style w:type="paragraph" w:styleId="Header">
    <w:name w:val="header"/>
    <w:basedOn w:val="Normal"/>
    <w:link w:val="HeaderChar"/>
    <w:uiPriority w:val="99"/>
    <w:unhideWhenUsed/>
    <w:rsid w:val="0016357C"/>
    <w:pPr>
      <w:tabs>
        <w:tab w:val="center" w:pos="4320"/>
        <w:tab w:val="right" w:pos="8640"/>
      </w:tabs>
    </w:pPr>
  </w:style>
  <w:style w:type="character" w:customStyle="1" w:styleId="HeaderChar">
    <w:name w:val="Header Char"/>
    <w:basedOn w:val="DefaultParagraphFont"/>
    <w:link w:val="Header"/>
    <w:uiPriority w:val="99"/>
    <w:rsid w:val="0016357C"/>
  </w:style>
  <w:style w:type="paragraph" w:styleId="FootnoteText">
    <w:name w:val="footnote text"/>
    <w:basedOn w:val="Normal"/>
    <w:link w:val="FootnoteTextChar"/>
    <w:uiPriority w:val="99"/>
    <w:unhideWhenUsed/>
    <w:rsid w:val="00071EA0"/>
  </w:style>
  <w:style w:type="character" w:customStyle="1" w:styleId="FootnoteTextChar">
    <w:name w:val="Footnote Text Char"/>
    <w:basedOn w:val="DefaultParagraphFont"/>
    <w:link w:val="FootnoteText"/>
    <w:uiPriority w:val="99"/>
    <w:rsid w:val="00071EA0"/>
  </w:style>
  <w:style w:type="character" w:styleId="FootnoteReference">
    <w:name w:val="footnote reference"/>
    <w:basedOn w:val="DefaultParagraphFont"/>
    <w:uiPriority w:val="99"/>
    <w:unhideWhenUsed/>
    <w:rsid w:val="00071EA0"/>
    <w:rPr>
      <w:vertAlign w:val="superscript"/>
    </w:rPr>
  </w:style>
  <w:style w:type="character" w:styleId="Hyperlink">
    <w:name w:val="Hyperlink"/>
    <w:basedOn w:val="DefaultParagraphFont"/>
    <w:uiPriority w:val="99"/>
    <w:unhideWhenUsed/>
    <w:rsid w:val="00071EA0"/>
    <w:rPr>
      <w:color w:val="0000FF" w:themeColor="hyperlink"/>
      <w:u w:val="single"/>
    </w:rPr>
  </w:style>
  <w:style w:type="character" w:styleId="FollowedHyperlink">
    <w:name w:val="FollowedHyperlink"/>
    <w:basedOn w:val="DefaultParagraphFont"/>
    <w:uiPriority w:val="99"/>
    <w:semiHidden/>
    <w:unhideWhenUsed/>
    <w:rsid w:val="00071EA0"/>
    <w:rPr>
      <w:color w:val="800080" w:themeColor="followedHyperlink"/>
      <w:u w:val="single"/>
    </w:rPr>
  </w:style>
  <w:style w:type="paragraph" w:styleId="BalloonText">
    <w:name w:val="Balloon Text"/>
    <w:basedOn w:val="Normal"/>
    <w:link w:val="BalloonTextChar"/>
    <w:uiPriority w:val="99"/>
    <w:semiHidden/>
    <w:unhideWhenUsed/>
    <w:rsid w:val="00C732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328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71A2"/>
    <w:pPr>
      <w:keepNext/>
      <w:keepLines/>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E774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74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1A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E774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E774D"/>
    <w:pPr>
      <w:ind w:left="720"/>
      <w:contextualSpacing/>
    </w:pPr>
  </w:style>
  <w:style w:type="character" w:customStyle="1" w:styleId="Heading3Char">
    <w:name w:val="Heading 3 Char"/>
    <w:basedOn w:val="DefaultParagraphFont"/>
    <w:link w:val="Heading3"/>
    <w:uiPriority w:val="9"/>
    <w:rsid w:val="009E774D"/>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16357C"/>
  </w:style>
  <w:style w:type="paragraph" w:styleId="TOC2">
    <w:name w:val="toc 2"/>
    <w:basedOn w:val="Normal"/>
    <w:next w:val="Normal"/>
    <w:autoRedefine/>
    <w:uiPriority w:val="39"/>
    <w:unhideWhenUsed/>
    <w:rsid w:val="0016357C"/>
    <w:pPr>
      <w:ind w:left="240"/>
    </w:pPr>
  </w:style>
  <w:style w:type="paragraph" w:styleId="TOC3">
    <w:name w:val="toc 3"/>
    <w:basedOn w:val="Normal"/>
    <w:next w:val="Normal"/>
    <w:autoRedefine/>
    <w:uiPriority w:val="39"/>
    <w:unhideWhenUsed/>
    <w:rsid w:val="0016357C"/>
    <w:pPr>
      <w:ind w:left="480"/>
    </w:pPr>
  </w:style>
  <w:style w:type="paragraph" w:styleId="TOC4">
    <w:name w:val="toc 4"/>
    <w:basedOn w:val="Normal"/>
    <w:next w:val="Normal"/>
    <w:autoRedefine/>
    <w:uiPriority w:val="39"/>
    <w:unhideWhenUsed/>
    <w:rsid w:val="0016357C"/>
    <w:pPr>
      <w:ind w:left="720"/>
    </w:pPr>
  </w:style>
  <w:style w:type="paragraph" w:styleId="TOC5">
    <w:name w:val="toc 5"/>
    <w:basedOn w:val="Normal"/>
    <w:next w:val="Normal"/>
    <w:autoRedefine/>
    <w:uiPriority w:val="39"/>
    <w:unhideWhenUsed/>
    <w:rsid w:val="0016357C"/>
    <w:pPr>
      <w:ind w:left="960"/>
    </w:pPr>
  </w:style>
  <w:style w:type="paragraph" w:styleId="TOC6">
    <w:name w:val="toc 6"/>
    <w:basedOn w:val="Normal"/>
    <w:next w:val="Normal"/>
    <w:autoRedefine/>
    <w:uiPriority w:val="39"/>
    <w:unhideWhenUsed/>
    <w:rsid w:val="0016357C"/>
    <w:pPr>
      <w:ind w:left="1200"/>
    </w:pPr>
  </w:style>
  <w:style w:type="paragraph" w:styleId="TOC7">
    <w:name w:val="toc 7"/>
    <w:basedOn w:val="Normal"/>
    <w:next w:val="Normal"/>
    <w:autoRedefine/>
    <w:uiPriority w:val="39"/>
    <w:unhideWhenUsed/>
    <w:rsid w:val="0016357C"/>
    <w:pPr>
      <w:ind w:left="1440"/>
    </w:pPr>
  </w:style>
  <w:style w:type="paragraph" w:styleId="TOC8">
    <w:name w:val="toc 8"/>
    <w:basedOn w:val="Normal"/>
    <w:next w:val="Normal"/>
    <w:autoRedefine/>
    <w:uiPriority w:val="39"/>
    <w:unhideWhenUsed/>
    <w:rsid w:val="0016357C"/>
    <w:pPr>
      <w:ind w:left="1680"/>
    </w:pPr>
  </w:style>
  <w:style w:type="paragraph" w:styleId="TOC9">
    <w:name w:val="toc 9"/>
    <w:basedOn w:val="Normal"/>
    <w:next w:val="Normal"/>
    <w:autoRedefine/>
    <w:uiPriority w:val="39"/>
    <w:unhideWhenUsed/>
    <w:rsid w:val="0016357C"/>
    <w:pPr>
      <w:ind w:left="1920"/>
    </w:pPr>
  </w:style>
  <w:style w:type="paragraph" w:styleId="Footer">
    <w:name w:val="footer"/>
    <w:basedOn w:val="Normal"/>
    <w:link w:val="FooterChar"/>
    <w:uiPriority w:val="99"/>
    <w:unhideWhenUsed/>
    <w:rsid w:val="0016357C"/>
    <w:pPr>
      <w:tabs>
        <w:tab w:val="center" w:pos="4320"/>
        <w:tab w:val="right" w:pos="8640"/>
      </w:tabs>
    </w:pPr>
  </w:style>
  <w:style w:type="character" w:customStyle="1" w:styleId="FooterChar">
    <w:name w:val="Footer Char"/>
    <w:basedOn w:val="DefaultParagraphFont"/>
    <w:link w:val="Footer"/>
    <w:uiPriority w:val="99"/>
    <w:rsid w:val="0016357C"/>
  </w:style>
  <w:style w:type="character" w:styleId="PageNumber">
    <w:name w:val="page number"/>
    <w:basedOn w:val="DefaultParagraphFont"/>
    <w:uiPriority w:val="99"/>
    <w:semiHidden/>
    <w:unhideWhenUsed/>
    <w:rsid w:val="0016357C"/>
  </w:style>
  <w:style w:type="paragraph" w:styleId="Header">
    <w:name w:val="header"/>
    <w:basedOn w:val="Normal"/>
    <w:link w:val="HeaderChar"/>
    <w:uiPriority w:val="99"/>
    <w:unhideWhenUsed/>
    <w:rsid w:val="0016357C"/>
    <w:pPr>
      <w:tabs>
        <w:tab w:val="center" w:pos="4320"/>
        <w:tab w:val="right" w:pos="8640"/>
      </w:tabs>
    </w:pPr>
  </w:style>
  <w:style w:type="character" w:customStyle="1" w:styleId="HeaderChar">
    <w:name w:val="Header Char"/>
    <w:basedOn w:val="DefaultParagraphFont"/>
    <w:link w:val="Header"/>
    <w:uiPriority w:val="99"/>
    <w:rsid w:val="0016357C"/>
  </w:style>
  <w:style w:type="paragraph" w:styleId="FootnoteText">
    <w:name w:val="footnote text"/>
    <w:basedOn w:val="Normal"/>
    <w:link w:val="FootnoteTextChar"/>
    <w:uiPriority w:val="99"/>
    <w:unhideWhenUsed/>
    <w:rsid w:val="00071EA0"/>
  </w:style>
  <w:style w:type="character" w:customStyle="1" w:styleId="FootnoteTextChar">
    <w:name w:val="Footnote Text Char"/>
    <w:basedOn w:val="DefaultParagraphFont"/>
    <w:link w:val="FootnoteText"/>
    <w:uiPriority w:val="99"/>
    <w:rsid w:val="00071EA0"/>
  </w:style>
  <w:style w:type="character" w:styleId="FootnoteReference">
    <w:name w:val="footnote reference"/>
    <w:basedOn w:val="DefaultParagraphFont"/>
    <w:uiPriority w:val="99"/>
    <w:unhideWhenUsed/>
    <w:rsid w:val="00071EA0"/>
    <w:rPr>
      <w:vertAlign w:val="superscript"/>
    </w:rPr>
  </w:style>
  <w:style w:type="character" w:styleId="Hyperlink">
    <w:name w:val="Hyperlink"/>
    <w:basedOn w:val="DefaultParagraphFont"/>
    <w:uiPriority w:val="99"/>
    <w:unhideWhenUsed/>
    <w:rsid w:val="00071EA0"/>
    <w:rPr>
      <w:color w:val="0000FF" w:themeColor="hyperlink"/>
      <w:u w:val="single"/>
    </w:rPr>
  </w:style>
  <w:style w:type="character" w:styleId="FollowedHyperlink">
    <w:name w:val="FollowedHyperlink"/>
    <w:basedOn w:val="DefaultParagraphFont"/>
    <w:uiPriority w:val="99"/>
    <w:semiHidden/>
    <w:unhideWhenUsed/>
    <w:rsid w:val="00071EA0"/>
    <w:rPr>
      <w:color w:val="800080" w:themeColor="followedHyperlink"/>
      <w:u w:val="single"/>
    </w:rPr>
  </w:style>
  <w:style w:type="paragraph" w:styleId="BalloonText">
    <w:name w:val="Balloon Text"/>
    <w:basedOn w:val="Normal"/>
    <w:link w:val="BalloonTextChar"/>
    <w:uiPriority w:val="99"/>
    <w:semiHidden/>
    <w:unhideWhenUsed/>
    <w:rsid w:val="00C732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328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7548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docs.google.com/document/d/1vets1PsJ2xd1BkHURnkhzYEAdrOSuM4Kzq8reeJoDaE/edit" TargetMode="External"/><Relationship Id="rId4" Type="http://schemas.openxmlformats.org/officeDocument/2006/relationships/hyperlink" Target="http://dl.dropbox.com/u/26164791/aaa_130108.pdf" TargetMode="External"/><Relationship Id="rId1" Type="http://schemas.openxmlformats.org/officeDocument/2006/relationships/hyperlink" Target="http://osg-docdb.opensciencegrid.org/cgi-bin/RetrieveFile?docid=851&amp;extension=docx" TargetMode="External"/><Relationship Id="rId2" Type="http://schemas.openxmlformats.org/officeDocument/2006/relationships/hyperlink" Target="https://docs.google.com/document/d/1TwEJ_GKD66W0864HKpKjJLpY8l7K8KX3svbGZvCZOW8/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766</Words>
  <Characters>4367</Characters>
  <Application>Microsoft Macintosh Word</Application>
  <DocSecurity>0</DocSecurity>
  <Lines>36</Lines>
  <Paragraphs>10</Paragraphs>
  <ScaleCrop>false</ScaleCrop>
  <Company/>
  <LinksUpToDate>false</LinksUpToDate>
  <CharactersWithSpaces>5123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Pordes</dc:creator>
  <cp:keywords/>
  <dc:description/>
  <cp:lastModifiedBy>Ruth Pordes</cp:lastModifiedBy>
  <cp:revision>11</cp:revision>
  <cp:lastPrinted>2013-01-22T14:40:00Z</cp:lastPrinted>
  <dcterms:created xsi:type="dcterms:W3CDTF">2012-12-24T17:29:00Z</dcterms:created>
  <dcterms:modified xsi:type="dcterms:W3CDTF">2013-02-06T16:58:00Z</dcterms:modified>
</cp:coreProperties>
</file>