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EE0BA" w14:textId="77777777" w:rsidR="004C2174" w:rsidRDefault="004C2174" w:rsidP="00EA0729">
      <w:pPr>
        <w:pStyle w:val="Heading1"/>
      </w:pPr>
      <w:r w:rsidRPr="002C1C9A">
        <w:t xml:space="preserve"> OSG</w:t>
      </w:r>
      <w:r w:rsidR="00EA377C" w:rsidRPr="002C1C9A">
        <w:t xml:space="preserve"> </w:t>
      </w:r>
      <w:r w:rsidR="005944BB">
        <w:t xml:space="preserve">Engagement with </w:t>
      </w:r>
      <w:r w:rsidRPr="002C1C9A">
        <w:t xml:space="preserve">Commercial </w:t>
      </w:r>
      <w:r w:rsidR="005944BB">
        <w:t>Entities</w:t>
      </w:r>
    </w:p>
    <w:p w14:paraId="68B0288B" w14:textId="77777777" w:rsidR="002C1C9A" w:rsidRPr="005624B5" w:rsidRDefault="00EA0729" w:rsidP="005624B5">
      <w:r>
        <w:t>November 2012</w:t>
      </w:r>
    </w:p>
    <w:p w14:paraId="491048C4" w14:textId="77777777" w:rsidR="00EA377C" w:rsidRPr="002C1C9A" w:rsidRDefault="00067D5E" w:rsidP="00EA0729">
      <w:pPr>
        <w:pStyle w:val="Heading2"/>
      </w:pPr>
      <w:r w:rsidRPr="002C1C9A">
        <w:t>Purpose of Document</w:t>
      </w:r>
    </w:p>
    <w:p w14:paraId="10C4731A" w14:textId="77777777" w:rsidR="005944BB" w:rsidRPr="00EA0729" w:rsidRDefault="00EA377C" w:rsidP="00EA0729">
      <w:r>
        <w:t xml:space="preserve">This document </w:t>
      </w:r>
      <w:r w:rsidR="005944BB">
        <w:t xml:space="preserve">describes the goals of the OSG in the next few in relations and engagements with commercial entities. </w:t>
      </w:r>
    </w:p>
    <w:p w14:paraId="5B807580" w14:textId="77777777" w:rsidR="005944BB" w:rsidRPr="00EA0729" w:rsidRDefault="005944BB" w:rsidP="00EA0729">
      <w:r w:rsidRPr="00EA0729">
        <w:t xml:space="preserve">It is not intended to replace the document </w:t>
      </w:r>
      <w:r w:rsidR="00EA377C" w:rsidRPr="00EA0729">
        <w:t xml:space="preserve">describes the </w:t>
      </w:r>
      <w:r w:rsidRPr="00EA0729">
        <w:t xml:space="preserve">specific </w:t>
      </w:r>
      <w:r w:rsidR="00EA377C" w:rsidRPr="00EA0729">
        <w:t xml:space="preserve">policies and guidelines that govern access to and use of the OSG by a Commercial Entity or an individual employed by a Commercial Entity.  </w:t>
      </w:r>
      <w:r w:rsidR="00EA0729">
        <w:t xml:space="preserve">We recommend that this policy </w:t>
      </w:r>
      <w:proofErr w:type="gramStart"/>
      <w:r w:rsidR="00EA0729">
        <w:t>stands</w:t>
      </w:r>
      <w:proofErr w:type="gramEnd"/>
      <w:r w:rsidR="00EA0729">
        <w:t xml:space="preserve"> until a specific example arises where changing it would be mutually beneficial. At that time we recommend the policy be </w:t>
      </w:r>
      <w:proofErr w:type="spellStart"/>
      <w:r w:rsidR="00EA0729">
        <w:t>rediscussed</w:t>
      </w:r>
      <w:proofErr w:type="spellEnd"/>
      <w:r w:rsidR="00EA0729">
        <w:t>.</w:t>
      </w:r>
    </w:p>
    <w:p w14:paraId="6A288D28" w14:textId="77777777" w:rsidR="005944BB" w:rsidRPr="00EA0729" w:rsidRDefault="005944BB" w:rsidP="00EA0729">
      <w:r w:rsidRPr="00EA0729">
        <w:t>For the purpose of this document Commercial Organizations covers physical and virtual organizations, as well as the individuals who are part of such organizations.</w:t>
      </w:r>
    </w:p>
    <w:p w14:paraId="30BC39AF" w14:textId="77777777" w:rsidR="00EA0729" w:rsidRDefault="00EA0729" w:rsidP="00EA0729">
      <w:pPr>
        <w:pStyle w:val="Heading2"/>
      </w:pPr>
      <w:r>
        <w:t>Background</w:t>
      </w:r>
    </w:p>
    <w:p w14:paraId="3FFDB59B" w14:textId="77777777" w:rsidR="005944BB" w:rsidRDefault="005944BB" w:rsidP="00EA0729">
      <w:r>
        <w:t xml:space="preserve">OSG </w:t>
      </w:r>
      <w:r w:rsidR="00EA0729">
        <w:t>and it’s stakeholders have seen</w:t>
      </w:r>
      <w:r>
        <w:t xml:space="preserve"> benefit from interaction and relationships with commercial organizations that a) provide services on which OSG and/or its stakeholders depend, b) develop software or services of benefit to OSG and/or its stakeholders. c) </w:t>
      </w:r>
      <w:proofErr w:type="gramStart"/>
      <w:r>
        <w:t>provide</w:t>
      </w:r>
      <w:proofErr w:type="gramEnd"/>
      <w:r>
        <w:t xml:space="preserve"> consulting for OSG and/or stakeholder activities.</w:t>
      </w:r>
    </w:p>
    <w:p w14:paraId="032CDCA5" w14:textId="77777777" w:rsidR="005944BB" w:rsidRDefault="005944BB" w:rsidP="00EA0729">
      <w:r>
        <w:t>E</w:t>
      </w:r>
      <w:r w:rsidR="00EA0729">
        <w:t>xamples of such organizations we</w:t>
      </w:r>
      <w:r>
        <w:t xml:space="preserve"> have had discussions and/or activities to date </w:t>
      </w:r>
      <w:r w:rsidR="00EA0729">
        <w:t>are</w:t>
      </w:r>
      <w:r>
        <w:t xml:space="preserve">: a) </w:t>
      </w:r>
      <w:proofErr w:type="spellStart"/>
      <w:r>
        <w:t>DigiCert</w:t>
      </w:r>
      <w:proofErr w:type="spellEnd"/>
      <w:r>
        <w:t xml:space="preserve"> which provides OSG PKI Certificate Authority b</w:t>
      </w:r>
      <w:proofErr w:type="gramStart"/>
      <w:r>
        <w:t>)  Cycle</w:t>
      </w:r>
      <w:proofErr w:type="gramEnd"/>
      <w:r>
        <w:t xml:space="preserve"> Computing which has developed in depth monitoring capabilities for Condor clusters. c) </w:t>
      </w:r>
      <w:proofErr w:type="spellStart"/>
      <w:proofErr w:type="gramStart"/>
      <w:r>
        <w:t>Cloudera</w:t>
      </w:r>
      <w:proofErr w:type="spellEnd"/>
      <w:r>
        <w:t xml:space="preserve"> which</w:t>
      </w:r>
      <w:proofErr w:type="gramEnd"/>
      <w:r>
        <w:t xml:space="preserve"> markets support for </w:t>
      </w:r>
      <w:proofErr w:type="spellStart"/>
      <w:r>
        <w:t>Hadoop</w:t>
      </w:r>
      <w:proofErr w:type="spellEnd"/>
      <w:r>
        <w:t>.</w:t>
      </w:r>
    </w:p>
    <w:p w14:paraId="6B19578B" w14:textId="77777777" w:rsidR="00EA0729" w:rsidRDefault="00EA0729" w:rsidP="00EA0729">
      <w:r>
        <w:t>Also,</w:t>
      </w:r>
      <w:r w:rsidR="005944BB">
        <w:t xml:space="preserve"> use of commercial </w:t>
      </w:r>
      <w:r>
        <w:t>cloud resources has been shown to be (through ATLAS, CMS and GLOW testing)</w:t>
      </w:r>
      <w:r w:rsidR="005944BB">
        <w:t xml:space="preserve"> </w:t>
      </w:r>
      <w:r>
        <w:t xml:space="preserve">a </w:t>
      </w:r>
      <w:r w:rsidR="005944BB">
        <w:t xml:space="preserve">potentially usable and cost acceptable addition to accessible resources for certain stakeholder needs such as the immediate increase in scale of use. A current example is Amazon EWS. </w:t>
      </w:r>
    </w:p>
    <w:p w14:paraId="464052C7" w14:textId="77777777" w:rsidR="00EA0729" w:rsidRPr="00EA0729" w:rsidRDefault="00EA0729" w:rsidP="00EA0729">
      <w:r>
        <w:t xml:space="preserve">It is deemed prudent, therefore, for the OSG to define and adopt a strategy for which governs such engagement, particularly paying attention to the longer term expected needs. </w:t>
      </w:r>
    </w:p>
    <w:p w14:paraId="2CB480A0" w14:textId="77777777" w:rsidR="005944BB" w:rsidRDefault="005944BB" w:rsidP="00EA0729">
      <w:pPr>
        <w:pStyle w:val="Heading3"/>
      </w:pPr>
      <w:proofErr w:type="gramStart"/>
      <w:r>
        <w:t>Criteria for discussion with Commercial Organizations.</w:t>
      </w:r>
      <w:proofErr w:type="gramEnd"/>
    </w:p>
    <w:p w14:paraId="75BFF6A6" w14:textId="191E540D" w:rsidR="00EA0729" w:rsidRDefault="005944BB" w:rsidP="00EA0729">
      <w:pPr>
        <w:pStyle w:val="Heading2"/>
      </w:pPr>
      <w:bookmarkStart w:id="0" w:name="_GoBack"/>
      <w:bookmarkEnd w:id="0"/>
      <w:r>
        <w:t xml:space="preserve">Recommendation on </w:t>
      </w:r>
      <w:r w:rsidR="00EA0729">
        <w:t>specific</w:t>
      </w:r>
      <w:r w:rsidR="0005008C">
        <w:t xml:space="preserve"> initial</w:t>
      </w:r>
      <w:r w:rsidR="00EA0729">
        <w:t xml:space="preserve"> activities</w:t>
      </w:r>
    </w:p>
    <w:p w14:paraId="73CAB11C" w14:textId="404D01A9" w:rsidR="0005008C" w:rsidRDefault="0005008C" w:rsidP="0005008C">
      <w:r>
        <w:t>a) Based on the current US CMS and US ATLAS testing request an evaluation by the project of extended access to opportunistic resources by a purchase of ~$10K of resources from Amazon and test how the current capabilities provided by OSG can control the policy and priority of use.</w:t>
      </w:r>
    </w:p>
    <w:p w14:paraId="7074270F" w14:textId="662975D5" w:rsidR="005944BB" w:rsidRDefault="0005008C" w:rsidP="0005008C">
      <w:r>
        <w:t xml:space="preserve">b) Identify 1-2 stakeholders and companies who could benefit from SBIR/STTR developments of benefit to OSG and work with them on a submission. Cycle Computing is a candidate here. </w:t>
      </w:r>
    </w:p>
    <w:p w14:paraId="654575C7" w14:textId="2A97B598" w:rsidR="0005008C" w:rsidRDefault="0005008C" w:rsidP="0005008C">
      <w:r>
        <w:t xml:space="preserve">c) Approach 1-2 SBIR/STTR companies </w:t>
      </w:r>
      <w:r>
        <w:t xml:space="preserve">working in </w:t>
      </w:r>
      <w:r>
        <w:t xml:space="preserve">the </w:t>
      </w:r>
      <w:r>
        <w:t>distributed computing domain</w:t>
      </w:r>
      <w:r>
        <w:t xml:space="preserve"> to discuss the usability of OSG </w:t>
      </w:r>
      <w:proofErr w:type="spellStart"/>
      <w:r>
        <w:t>testbed</w:t>
      </w:r>
      <w:proofErr w:type="spellEnd"/>
      <w:r>
        <w:t xml:space="preserve"> and production services. Tech-X is a potential example here.</w:t>
      </w:r>
    </w:p>
    <w:sectPr w:rsidR="0005008C" w:rsidSect="001C2E2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22D50B" w14:textId="77777777" w:rsidR="00EA0729" w:rsidRDefault="00EA0729" w:rsidP="0030142D">
      <w:r>
        <w:separator/>
      </w:r>
    </w:p>
  </w:endnote>
  <w:endnote w:type="continuationSeparator" w:id="0">
    <w:p w14:paraId="28D7BD9D" w14:textId="77777777" w:rsidR="00EA0729" w:rsidRDefault="00EA0729" w:rsidP="00301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4D489" w14:textId="77777777" w:rsidR="00EA0729" w:rsidRDefault="00EA0729" w:rsidP="00EA07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4A6383" w14:textId="77777777" w:rsidR="00EA0729" w:rsidRDefault="00EA0729" w:rsidP="00EA072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2EB6C" w14:textId="77777777" w:rsidR="00EA0729" w:rsidRDefault="00EA0729" w:rsidP="00EA07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008C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3E520C" w14:textId="77777777" w:rsidR="00EA0729" w:rsidRDefault="005624B5" w:rsidP="00EA0729">
    <w:pPr>
      <w:pStyle w:val="Footer"/>
      <w:ind w:right="360"/>
    </w:pPr>
    <w:r>
      <w:t>OSG Engagement with Commercial Activities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B5752" w14:textId="77777777" w:rsidR="00EA0729" w:rsidRDefault="00EA0729" w:rsidP="0030142D">
      <w:r>
        <w:separator/>
      </w:r>
    </w:p>
  </w:footnote>
  <w:footnote w:type="continuationSeparator" w:id="0">
    <w:p w14:paraId="0A2DBD14" w14:textId="77777777" w:rsidR="00EA0729" w:rsidRDefault="00EA0729" w:rsidP="00301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8F23E6E"/>
    <w:multiLevelType w:val="hybridMultilevel"/>
    <w:tmpl w:val="72746A30"/>
    <w:lvl w:ilvl="0" w:tplc="6FA8F9B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F4918"/>
    <w:multiLevelType w:val="hybridMultilevel"/>
    <w:tmpl w:val="05CC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5775E"/>
    <w:multiLevelType w:val="hybridMultilevel"/>
    <w:tmpl w:val="27C87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2A59DF"/>
    <w:multiLevelType w:val="hybridMultilevel"/>
    <w:tmpl w:val="27C87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F81A5C"/>
    <w:multiLevelType w:val="hybridMultilevel"/>
    <w:tmpl w:val="05CC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74"/>
    <w:rsid w:val="00033216"/>
    <w:rsid w:val="0005008C"/>
    <w:rsid w:val="00067D5E"/>
    <w:rsid w:val="000C76EB"/>
    <w:rsid w:val="00132072"/>
    <w:rsid w:val="001600FD"/>
    <w:rsid w:val="001C2E23"/>
    <w:rsid w:val="002C1C9A"/>
    <w:rsid w:val="002F24B8"/>
    <w:rsid w:val="0030142D"/>
    <w:rsid w:val="00355622"/>
    <w:rsid w:val="0037510E"/>
    <w:rsid w:val="003A00AF"/>
    <w:rsid w:val="003D590B"/>
    <w:rsid w:val="003E1826"/>
    <w:rsid w:val="003F61BB"/>
    <w:rsid w:val="004A0CD7"/>
    <w:rsid w:val="004A28A1"/>
    <w:rsid w:val="004C2174"/>
    <w:rsid w:val="004E7F30"/>
    <w:rsid w:val="00542087"/>
    <w:rsid w:val="005624B5"/>
    <w:rsid w:val="005944BB"/>
    <w:rsid w:val="0067262D"/>
    <w:rsid w:val="006A7CE8"/>
    <w:rsid w:val="006D7882"/>
    <w:rsid w:val="00947B05"/>
    <w:rsid w:val="009B4FC1"/>
    <w:rsid w:val="00B076D3"/>
    <w:rsid w:val="00B23D98"/>
    <w:rsid w:val="00B73F75"/>
    <w:rsid w:val="00BB0A1C"/>
    <w:rsid w:val="00BF2998"/>
    <w:rsid w:val="00C154A2"/>
    <w:rsid w:val="00C65B75"/>
    <w:rsid w:val="00D45A4C"/>
    <w:rsid w:val="00E22A84"/>
    <w:rsid w:val="00E236A1"/>
    <w:rsid w:val="00EA0729"/>
    <w:rsid w:val="00EA377C"/>
    <w:rsid w:val="00F82EEE"/>
    <w:rsid w:val="00F9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4F94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729"/>
    <w:pPr>
      <w:spacing w:after="120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7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7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7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217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2174"/>
    <w:rPr>
      <w:rFonts w:ascii="Consolas" w:hAnsi="Consolas" w:cs="Times New Roman"/>
      <w:color w:val="00000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014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42D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014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42D"/>
    <w:rPr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4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42D"/>
    <w:rPr>
      <w:rFonts w:ascii="Tahoma" w:hAnsi="Tahoma" w:cs="Tahoma"/>
      <w:color w:val="00000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A0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07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072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EA07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729"/>
    <w:pPr>
      <w:spacing w:after="120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7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7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7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217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2174"/>
    <w:rPr>
      <w:rFonts w:ascii="Consolas" w:hAnsi="Consolas" w:cs="Times New Roman"/>
      <w:color w:val="00000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014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42D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014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42D"/>
    <w:rPr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4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42D"/>
    <w:rPr>
      <w:rFonts w:ascii="Tahoma" w:hAnsi="Tahoma" w:cs="Tahoma"/>
      <w:color w:val="00000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A0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07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072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EA0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380</Words>
  <Characters>2166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FNAL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Sehgal</dc:creator>
  <cp:keywords/>
  <dc:description/>
  <cp:lastModifiedBy>Ruth Pordes</cp:lastModifiedBy>
  <cp:revision>4</cp:revision>
  <dcterms:created xsi:type="dcterms:W3CDTF">2012-11-15T15:30:00Z</dcterms:created>
  <dcterms:modified xsi:type="dcterms:W3CDTF">2012-11-15T16:10:00Z</dcterms:modified>
</cp:coreProperties>
</file>