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6BCD" w:rsidRDefault="000A2FDB" w:rsidP="00914EE0">
      <w:pPr>
        <w:jc w:val="center"/>
        <w:rPr>
          <w:b/>
          <w:sz w:val="36"/>
          <w:szCs w:val="36"/>
        </w:rPr>
      </w:pPr>
      <w:r w:rsidRPr="00914EE0">
        <w:rPr>
          <w:b/>
          <w:sz w:val="36"/>
          <w:szCs w:val="36"/>
        </w:rPr>
        <w:t xml:space="preserve">OSG HTPC </w:t>
      </w:r>
      <w:proofErr w:type="spellStart"/>
      <w:r w:rsidRPr="00914EE0">
        <w:rPr>
          <w:b/>
          <w:sz w:val="36"/>
          <w:szCs w:val="36"/>
        </w:rPr>
        <w:t>Workplan</w:t>
      </w:r>
      <w:proofErr w:type="spellEnd"/>
    </w:p>
    <w:p w:rsidR="0087391E" w:rsidRPr="003B6BCD" w:rsidRDefault="003B6BCD" w:rsidP="00914EE0">
      <w:pPr>
        <w:jc w:val="center"/>
        <w:rPr>
          <w:szCs w:val="36"/>
        </w:rPr>
      </w:pPr>
      <w:proofErr w:type="gramStart"/>
      <w:r w:rsidRPr="003B6BCD">
        <w:rPr>
          <w:szCs w:val="36"/>
        </w:rPr>
        <w:t>This</w:t>
      </w:r>
      <w:r>
        <w:rPr>
          <w:szCs w:val="36"/>
        </w:rPr>
        <w:t xml:space="preserve"> project is owned by OSG Production</w:t>
      </w:r>
      <w:proofErr w:type="gramEnd"/>
    </w:p>
    <w:p w:rsidR="000A2FDB" w:rsidRDefault="003B6BCD" w:rsidP="00504946">
      <w:pPr>
        <w:jc w:val="center"/>
      </w:pPr>
      <w:r>
        <w:t>Last update: 22</w:t>
      </w:r>
      <w:r w:rsidR="00504946">
        <w:t>-Feb-2012, Gore/Fraser</w:t>
      </w:r>
    </w:p>
    <w:p w:rsidR="00504946" w:rsidRDefault="00504946"/>
    <w:p w:rsidR="003B6BCD" w:rsidRDefault="00B60465">
      <w:r>
        <w:rPr>
          <w:b/>
        </w:rPr>
        <w:t xml:space="preserve">Goal: </w:t>
      </w:r>
      <w:r w:rsidRPr="00B60465">
        <w:t>Make HTPC a Production quality service on the OSG</w:t>
      </w:r>
      <w:r>
        <w:t xml:space="preserve"> in 2012. </w:t>
      </w:r>
    </w:p>
    <w:p w:rsidR="00B60465" w:rsidRPr="00B60465" w:rsidRDefault="00B60465">
      <w:r>
        <w:t>(Success depends largely on adoption by CMS and Atlas sites.)</w:t>
      </w:r>
    </w:p>
    <w:p w:rsidR="00B60465" w:rsidRDefault="00B60465"/>
    <w:p w:rsidR="00B60465" w:rsidRPr="00B60465" w:rsidRDefault="00B60465">
      <w:r w:rsidRPr="009446E1">
        <w:rPr>
          <w:b/>
        </w:rPr>
        <w:t>Objectives</w:t>
      </w:r>
      <w:r>
        <w:t>:</w:t>
      </w:r>
    </w:p>
    <w:p w:rsidR="00B60465" w:rsidRDefault="000A2FDB" w:rsidP="00B60465">
      <w:pPr>
        <w:pStyle w:val="ListParagraph"/>
        <w:numPr>
          <w:ilvl w:val="0"/>
          <w:numId w:val="2"/>
        </w:numPr>
      </w:pPr>
      <w:r>
        <w:t xml:space="preserve">Stabilize existing HTPC capability at </w:t>
      </w:r>
      <w:r w:rsidR="00B60465">
        <w:t>OU, Clemson, and Purdue. (Feb)</w:t>
      </w:r>
    </w:p>
    <w:p w:rsidR="003B6BCD" w:rsidRDefault="00B60465" w:rsidP="00B60465">
      <w:pPr>
        <w:pStyle w:val="ListParagraph"/>
        <w:numPr>
          <w:ilvl w:val="0"/>
          <w:numId w:val="2"/>
        </w:numPr>
      </w:pPr>
      <w:r>
        <w:t>Help CMS try out and use HTPC – Targeted test site is Purdue (Mar</w:t>
      </w:r>
      <w:r w:rsidR="008B6C3B">
        <w:t xml:space="preserve"> - May</w:t>
      </w:r>
      <w:r>
        <w:t>)</w:t>
      </w:r>
    </w:p>
    <w:p w:rsidR="008B6C3B" w:rsidRDefault="00887AD7" w:rsidP="003B6BCD">
      <w:pPr>
        <w:pStyle w:val="ListParagraph"/>
        <w:numPr>
          <w:ilvl w:val="1"/>
          <w:numId w:val="2"/>
        </w:numPr>
      </w:pPr>
      <w:r>
        <w:t>Also start working with Atlas</w:t>
      </w:r>
      <w:r w:rsidR="00783078">
        <w:t xml:space="preserve"> whole node teams</w:t>
      </w:r>
      <w:r w:rsidR="003B6BCD">
        <w:t xml:space="preserve"> </w:t>
      </w:r>
    </w:p>
    <w:p w:rsidR="00B60465" w:rsidRDefault="008B6C3B" w:rsidP="00B60465">
      <w:pPr>
        <w:pStyle w:val="ListParagraph"/>
        <w:numPr>
          <w:ilvl w:val="0"/>
          <w:numId w:val="2"/>
        </w:numPr>
      </w:pPr>
      <w:r>
        <w:t>Introduce an HTPC RSV probe into the OSG to make sure sites that are supporting HTPC are functioning. (Mar)</w:t>
      </w:r>
    </w:p>
    <w:p w:rsidR="00B60465" w:rsidRDefault="00B60465" w:rsidP="00B60465">
      <w:pPr>
        <w:pStyle w:val="ListParagraph"/>
        <w:numPr>
          <w:ilvl w:val="0"/>
          <w:numId w:val="2"/>
        </w:numPr>
      </w:pPr>
      <w:r>
        <w:t xml:space="preserve">Support the deployment of Condor’s improved </w:t>
      </w:r>
      <w:proofErr w:type="spellStart"/>
      <w:r>
        <w:t>Partitionable</w:t>
      </w:r>
      <w:proofErr w:type="spellEnd"/>
      <w:r>
        <w:t xml:space="preserve"> Slot Technology (Apr)</w:t>
      </w:r>
    </w:p>
    <w:p w:rsidR="00B60465" w:rsidRDefault="00B60465" w:rsidP="00B60465">
      <w:pPr>
        <w:pStyle w:val="ListParagraph"/>
        <w:numPr>
          <w:ilvl w:val="0"/>
          <w:numId w:val="2"/>
        </w:numPr>
      </w:pPr>
      <w:r>
        <w:t>Integrate HTPC documentation and best practices into the OSG CE install guide (June)</w:t>
      </w:r>
    </w:p>
    <w:p w:rsidR="00B60465" w:rsidRDefault="00B60465" w:rsidP="00B60465">
      <w:pPr>
        <w:pStyle w:val="ListParagraph"/>
        <w:numPr>
          <w:ilvl w:val="0"/>
          <w:numId w:val="2"/>
        </w:numPr>
      </w:pPr>
      <w:r>
        <w:t>Broaden CMS usage of HTPC as the updated version of Condor is moved to production (July – Sep, depends on CMS timetable)</w:t>
      </w:r>
    </w:p>
    <w:p w:rsidR="003B6BCD" w:rsidRDefault="00B60465" w:rsidP="00B60465">
      <w:pPr>
        <w:pStyle w:val="ListParagraph"/>
        <w:numPr>
          <w:ilvl w:val="0"/>
          <w:numId w:val="2"/>
        </w:numPr>
      </w:pPr>
      <w:r>
        <w:t>Engage interested Atlas sites to use HTPC (July – Sep) depends on Atlas timetable)</w:t>
      </w:r>
    </w:p>
    <w:p w:rsidR="00B60465" w:rsidRDefault="003B6BCD" w:rsidP="00B60465">
      <w:pPr>
        <w:pStyle w:val="ListParagraph"/>
        <w:numPr>
          <w:ilvl w:val="0"/>
          <w:numId w:val="2"/>
        </w:numPr>
      </w:pPr>
      <w:r>
        <w:t xml:space="preserve">Make HTPC sites discoverable via </w:t>
      </w:r>
      <w:proofErr w:type="gramStart"/>
      <w:r>
        <w:t>BDII ?</w:t>
      </w:r>
      <w:proofErr w:type="gramEnd"/>
      <w:r>
        <w:t>? (Sep)</w:t>
      </w:r>
    </w:p>
    <w:p w:rsidR="00B60465" w:rsidRDefault="00B60465"/>
    <w:p w:rsidR="00B60465" w:rsidRDefault="00B60465"/>
    <w:p w:rsidR="00DC178B" w:rsidRPr="009C0C3F" w:rsidRDefault="00DC178B">
      <w:pPr>
        <w:rPr>
          <w:b/>
        </w:rPr>
      </w:pPr>
      <w:r w:rsidRPr="009C0C3F">
        <w:rPr>
          <w:b/>
        </w:rPr>
        <w:t>Project Team:</w:t>
      </w:r>
    </w:p>
    <w:p w:rsidR="009C0C3F" w:rsidRDefault="009C0C3F"/>
    <w:tbl>
      <w:tblPr>
        <w:tblStyle w:val="TableGrid"/>
        <w:tblW w:w="0" w:type="auto"/>
        <w:jc w:val="center"/>
        <w:tblLook w:val="04A0"/>
      </w:tblPr>
      <w:tblGrid>
        <w:gridCol w:w="1908"/>
        <w:gridCol w:w="3420"/>
        <w:gridCol w:w="2160"/>
      </w:tblGrid>
      <w:tr w:rsidR="00F20B2A">
        <w:trPr>
          <w:jc w:val="center"/>
        </w:trPr>
        <w:tc>
          <w:tcPr>
            <w:tcW w:w="1908" w:type="dxa"/>
            <w:vAlign w:val="bottom"/>
          </w:tcPr>
          <w:p w:rsidR="00F20B2A" w:rsidRPr="00C97EE2" w:rsidRDefault="00F20B2A" w:rsidP="00C97EE2">
            <w:pPr>
              <w:jc w:val="center"/>
              <w:rPr>
                <w:b/>
              </w:rPr>
            </w:pPr>
            <w:r w:rsidRPr="00C97EE2">
              <w:rPr>
                <w:b/>
              </w:rPr>
              <w:t>Role</w:t>
            </w:r>
          </w:p>
        </w:tc>
        <w:tc>
          <w:tcPr>
            <w:tcW w:w="3420" w:type="dxa"/>
            <w:vAlign w:val="bottom"/>
          </w:tcPr>
          <w:p w:rsidR="00F20B2A" w:rsidRPr="00C97EE2" w:rsidRDefault="00F20B2A" w:rsidP="00C97EE2">
            <w:pPr>
              <w:jc w:val="center"/>
              <w:rPr>
                <w:b/>
              </w:rPr>
            </w:pPr>
            <w:r w:rsidRPr="00C97EE2">
              <w:rPr>
                <w:b/>
              </w:rPr>
              <w:t>Who</w:t>
            </w:r>
          </w:p>
        </w:tc>
        <w:tc>
          <w:tcPr>
            <w:tcW w:w="2160" w:type="dxa"/>
          </w:tcPr>
          <w:p w:rsidR="00C97EE2" w:rsidRPr="00C97EE2" w:rsidRDefault="00C97EE2" w:rsidP="00C97EE2">
            <w:pPr>
              <w:jc w:val="center"/>
              <w:rPr>
                <w:b/>
              </w:rPr>
            </w:pPr>
            <w:r w:rsidRPr="00C97EE2">
              <w:rPr>
                <w:b/>
              </w:rPr>
              <w:t>% Effort</w:t>
            </w:r>
          </w:p>
          <w:p w:rsidR="00F20B2A" w:rsidRPr="00C97EE2" w:rsidRDefault="00F20B2A" w:rsidP="00C97EE2">
            <w:pPr>
              <w:jc w:val="center"/>
              <w:rPr>
                <w:b/>
              </w:rPr>
            </w:pPr>
            <w:r w:rsidRPr="00C97EE2">
              <w:rPr>
                <w:b/>
              </w:rPr>
              <w:t>(Feb 14 – Sep 30)</w:t>
            </w:r>
          </w:p>
        </w:tc>
      </w:tr>
      <w:tr w:rsidR="00F20B2A">
        <w:trPr>
          <w:jc w:val="center"/>
        </w:trPr>
        <w:tc>
          <w:tcPr>
            <w:tcW w:w="1908" w:type="dxa"/>
          </w:tcPr>
          <w:p w:rsidR="00F20B2A" w:rsidRDefault="00F20B2A">
            <w:r>
              <w:t>Project Lead</w:t>
            </w:r>
          </w:p>
        </w:tc>
        <w:tc>
          <w:tcPr>
            <w:tcW w:w="3420" w:type="dxa"/>
          </w:tcPr>
          <w:p w:rsidR="00F20B2A" w:rsidRDefault="00F20B2A">
            <w:r>
              <w:t>Dan Fraser (OSG</w:t>
            </w:r>
            <w:r w:rsidR="00230BDE">
              <w:t>)</w:t>
            </w:r>
          </w:p>
        </w:tc>
        <w:tc>
          <w:tcPr>
            <w:tcW w:w="2160" w:type="dxa"/>
          </w:tcPr>
          <w:p w:rsidR="00F20B2A" w:rsidRDefault="00817BDA" w:rsidP="00C97EE2">
            <w:pPr>
              <w:jc w:val="center"/>
            </w:pPr>
            <w:r>
              <w:t>2</w:t>
            </w:r>
            <w:r w:rsidR="00F20B2A">
              <w:t>0%</w:t>
            </w:r>
          </w:p>
        </w:tc>
      </w:tr>
      <w:tr w:rsidR="00C97EE2">
        <w:trPr>
          <w:jc w:val="center"/>
        </w:trPr>
        <w:tc>
          <w:tcPr>
            <w:tcW w:w="1908" w:type="dxa"/>
          </w:tcPr>
          <w:p w:rsidR="00C97EE2" w:rsidRDefault="00C97EE2">
            <w:r>
              <w:t>Project Mgr</w:t>
            </w:r>
          </w:p>
        </w:tc>
        <w:tc>
          <w:tcPr>
            <w:tcW w:w="3420" w:type="dxa"/>
          </w:tcPr>
          <w:p w:rsidR="00C97EE2" w:rsidRDefault="00C97EE2">
            <w:proofErr w:type="spellStart"/>
            <w:r>
              <w:t>Brooklin</w:t>
            </w:r>
            <w:proofErr w:type="spellEnd"/>
            <w:r>
              <w:t xml:space="preserve"> Gore (</w:t>
            </w:r>
            <w:proofErr w:type="spellStart"/>
            <w:r>
              <w:t>Morgridge</w:t>
            </w:r>
            <w:proofErr w:type="spellEnd"/>
            <w:r>
              <w:t>)</w:t>
            </w:r>
          </w:p>
        </w:tc>
        <w:tc>
          <w:tcPr>
            <w:tcW w:w="2160" w:type="dxa"/>
          </w:tcPr>
          <w:p w:rsidR="00C97EE2" w:rsidRDefault="00C97EE2" w:rsidP="00C97EE2">
            <w:pPr>
              <w:jc w:val="center"/>
            </w:pPr>
            <w:r>
              <w:t>10%</w:t>
            </w:r>
          </w:p>
        </w:tc>
      </w:tr>
      <w:tr w:rsidR="00262AEB">
        <w:trPr>
          <w:jc w:val="center"/>
        </w:trPr>
        <w:tc>
          <w:tcPr>
            <w:tcW w:w="1908" w:type="dxa"/>
          </w:tcPr>
          <w:p w:rsidR="00262AEB" w:rsidRDefault="00262AEB">
            <w:r>
              <w:t>Worker</w:t>
            </w:r>
          </w:p>
        </w:tc>
        <w:tc>
          <w:tcPr>
            <w:tcW w:w="3420" w:type="dxa"/>
          </w:tcPr>
          <w:p w:rsidR="00262AEB" w:rsidRDefault="00262AEB">
            <w:r>
              <w:t xml:space="preserve">Brian </w:t>
            </w:r>
            <w:proofErr w:type="spellStart"/>
            <w:r>
              <w:t>Bockelman</w:t>
            </w:r>
            <w:proofErr w:type="spellEnd"/>
            <w:r>
              <w:t xml:space="preserve"> (NE)</w:t>
            </w:r>
          </w:p>
        </w:tc>
        <w:tc>
          <w:tcPr>
            <w:tcW w:w="2160" w:type="dxa"/>
          </w:tcPr>
          <w:p w:rsidR="00262AEB" w:rsidRDefault="00262AEB" w:rsidP="00C97EE2">
            <w:pPr>
              <w:jc w:val="center"/>
            </w:pPr>
            <w:r>
              <w:t>0%</w:t>
            </w:r>
            <w:bookmarkStart w:id="0" w:name="_GoBack"/>
            <w:bookmarkEnd w:id="0"/>
          </w:p>
        </w:tc>
      </w:tr>
      <w:tr w:rsidR="00F20B2A">
        <w:trPr>
          <w:jc w:val="center"/>
        </w:trPr>
        <w:tc>
          <w:tcPr>
            <w:tcW w:w="1908" w:type="dxa"/>
          </w:tcPr>
          <w:p w:rsidR="00F20B2A" w:rsidRDefault="00F20B2A">
            <w:r>
              <w:t>Worker</w:t>
            </w:r>
          </w:p>
        </w:tc>
        <w:tc>
          <w:tcPr>
            <w:tcW w:w="3420" w:type="dxa"/>
          </w:tcPr>
          <w:p w:rsidR="00F20B2A" w:rsidRDefault="00F20B2A">
            <w:r>
              <w:t>Dan Bradley</w:t>
            </w:r>
            <w:r w:rsidR="00230BDE">
              <w:t xml:space="preserve"> (UW-Madison)</w:t>
            </w:r>
          </w:p>
        </w:tc>
        <w:tc>
          <w:tcPr>
            <w:tcW w:w="2160" w:type="dxa"/>
          </w:tcPr>
          <w:p w:rsidR="00F20B2A" w:rsidRDefault="00C97EE2" w:rsidP="00C97EE2">
            <w:pPr>
              <w:jc w:val="center"/>
            </w:pPr>
            <w:r>
              <w:t>0%</w:t>
            </w:r>
          </w:p>
        </w:tc>
      </w:tr>
      <w:tr w:rsidR="00F20B2A">
        <w:trPr>
          <w:jc w:val="center"/>
        </w:trPr>
        <w:tc>
          <w:tcPr>
            <w:tcW w:w="1908" w:type="dxa"/>
          </w:tcPr>
          <w:p w:rsidR="00F20B2A" w:rsidRDefault="00F20B2A">
            <w:r>
              <w:t>Worker</w:t>
            </w:r>
          </w:p>
        </w:tc>
        <w:tc>
          <w:tcPr>
            <w:tcW w:w="3420" w:type="dxa"/>
          </w:tcPr>
          <w:p w:rsidR="00F20B2A" w:rsidRDefault="00F20B2A">
            <w:r>
              <w:t xml:space="preserve">Marco </w:t>
            </w:r>
            <w:proofErr w:type="spellStart"/>
            <w:r>
              <w:t>Mambelli</w:t>
            </w:r>
            <w:proofErr w:type="spellEnd"/>
            <w:r>
              <w:t xml:space="preserve"> (OSG)</w:t>
            </w:r>
          </w:p>
        </w:tc>
        <w:tc>
          <w:tcPr>
            <w:tcW w:w="2160" w:type="dxa"/>
          </w:tcPr>
          <w:p w:rsidR="00F20B2A" w:rsidRDefault="00C97EE2" w:rsidP="00C97EE2">
            <w:pPr>
              <w:jc w:val="center"/>
            </w:pPr>
            <w:r>
              <w:t>2</w:t>
            </w:r>
            <w:r w:rsidR="00F20B2A">
              <w:t>0%</w:t>
            </w:r>
          </w:p>
        </w:tc>
      </w:tr>
      <w:tr w:rsidR="00F20B2A">
        <w:trPr>
          <w:jc w:val="center"/>
        </w:trPr>
        <w:tc>
          <w:tcPr>
            <w:tcW w:w="1908" w:type="dxa"/>
          </w:tcPr>
          <w:p w:rsidR="00F20B2A" w:rsidRDefault="00F20B2A">
            <w:r>
              <w:t>Worker</w:t>
            </w:r>
          </w:p>
        </w:tc>
        <w:tc>
          <w:tcPr>
            <w:tcW w:w="3420" w:type="dxa"/>
          </w:tcPr>
          <w:p w:rsidR="00F20B2A" w:rsidRDefault="00F20B2A">
            <w:r>
              <w:t>Rob Quick (OSG)</w:t>
            </w:r>
          </w:p>
        </w:tc>
        <w:tc>
          <w:tcPr>
            <w:tcW w:w="2160" w:type="dxa"/>
          </w:tcPr>
          <w:p w:rsidR="00F20B2A" w:rsidRDefault="00F20B2A" w:rsidP="00C97EE2">
            <w:pPr>
              <w:jc w:val="center"/>
            </w:pPr>
            <w:r>
              <w:t>10%</w:t>
            </w:r>
          </w:p>
        </w:tc>
      </w:tr>
      <w:tr w:rsidR="00F20B2A">
        <w:trPr>
          <w:jc w:val="center"/>
        </w:trPr>
        <w:tc>
          <w:tcPr>
            <w:tcW w:w="1908" w:type="dxa"/>
          </w:tcPr>
          <w:p w:rsidR="00F20B2A" w:rsidRDefault="00F20B2A">
            <w:r>
              <w:t>Worker</w:t>
            </w:r>
          </w:p>
        </w:tc>
        <w:tc>
          <w:tcPr>
            <w:tcW w:w="3420" w:type="dxa"/>
          </w:tcPr>
          <w:p w:rsidR="00F20B2A" w:rsidRDefault="00F20B2A">
            <w:r>
              <w:t xml:space="preserve">Todd </w:t>
            </w:r>
            <w:proofErr w:type="spellStart"/>
            <w:r>
              <w:t>Tannenbaum</w:t>
            </w:r>
            <w:proofErr w:type="spellEnd"/>
            <w:r>
              <w:t xml:space="preserve"> (Condor)</w:t>
            </w:r>
          </w:p>
        </w:tc>
        <w:tc>
          <w:tcPr>
            <w:tcW w:w="2160" w:type="dxa"/>
          </w:tcPr>
          <w:p w:rsidR="00F20B2A" w:rsidRDefault="00C97EE2" w:rsidP="00C97EE2">
            <w:pPr>
              <w:jc w:val="center"/>
            </w:pPr>
            <w:r>
              <w:t>0%</w:t>
            </w:r>
          </w:p>
        </w:tc>
      </w:tr>
      <w:tr w:rsidR="00F20B2A">
        <w:trPr>
          <w:jc w:val="center"/>
        </w:trPr>
        <w:tc>
          <w:tcPr>
            <w:tcW w:w="1908" w:type="dxa"/>
          </w:tcPr>
          <w:p w:rsidR="00F20B2A" w:rsidRDefault="00F20B2A">
            <w:r>
              <w:t>Worker</w:t>
            </w:r>
          </w:p>
        </w:tc>
        <w:tc>
          <w:tcPr>
            <w:tcW w:w="3420" w:type="dxa"/>
          </w:tcPr>
          <w:p w:rsidR="00F20B2A" w:rsidRDefault="00F20B2A">
            <w:r>
              <w:t xml:space="preserve">Greg </w:t>
            </w:r>
            <w:proofErr w:type="spellStart"/>
            <w:r>
              <w:t>Thain</w:t>
            </w:r>
            <w:proofErr w:type="spellEnd"/>
            <w:r w:rsidR="00230BDE">
              <w:t xml:space="preserve"> (Condor)</w:t>
            </w:r>
          </w:p>
        </w:tc>
        <w:tc>
          <w:tcPr>
            <w:tcW w:w="2160" w:type="dxa"/>
          </w:tcPr>
          <w:p w:rsidR="00F20B2A" w:rsidRDefault="00F20B2A" w:rsidP="00C97EE2">
            <w:pPr>
              <w:jc w:val="center"/>
            </w:pPr>
            <w:r>
              <w:t>10%</w:t>
            </w:r>
          </w:p>
        </w:tc>
      </w:tr>
      <w:tr w:rsidR="00F20B2A">
        <w:trPr>
          <w:jc w:val="center"/>
        </w:trPr>
        <w:tc>
          <w:tcPr>
            <w:tcW w:w="1908" w:type="dxa"/>
          </w:tcPr>
          <w:p w:rsidR="00F20B2A" w:rsidRDefault="00F20B2A">
            <w:r>
              <w:t>Worker</w:t>
            </w:r>
          </w:p>
        </w:tc>
        <w:tc>
          <w:tcPr>
            <w:tcW w:w="3420" w:type="dxa"/>
          </w:tcPr>
          <w:p w:rsidR="00F20B2A" w:rsidRDefault="00F20B2A">
            <w:r>
              <w:t xml:space="preserve">Derek </w:t>
            </w:r>
            <w:proofErr w:type="spellStart"/>
            <w:r>
              <w:t>Weitzel</w:t>
            </w:r>
            <w:proofErr w:type="spellEnd"/>
            <w:r w:rsidR="00230BDE">
              <w:t xml:space="preserve"> (OSG)</w:t>
            </w:r>
          </w:p>
        </w:tc>
        <w:tc>
          <w:tcPr>
            <w:tcW w:w="2160" w:type="dxa"/>
          </w:tcPr>
          <w:p w:rsidR="00F20B2A" w:rsidRDefault="00F20B2A" w:rsidP="00C97EE2">
            <w:pPr>
              <w:jc w:val="center"/>
            </w:pPr>
            <w:r>
              <w:t>10%</w:t>
            </w:r>
          </w:p>
        </w:tc>
      </w:tr>
    </w:tbl>
    <w:p w:rsidR="00DC178B" w:rsidRDefault="00DC178B"/>
    <w:p w:rsidR="00914EE0" w:rsidRPr="00914EE0" w:rsidRDefault="000A2FDB">
      <w:pPr>
        <w:rPr>
          <w:b/>
        </w:rPr>
      </w:pPr>
      <w:r w:rsidRPr="00914EE0">
        <w:rPr>
          <w:b/>
        </w:rPr>
        <w:t xml:space="preserve">Milestone 1: </w:t>
      </w:r>
      <w:r w:rsidRPr="00DC178B">
        <w:t xml:space="preserve">Get Clemson, Oklahoma and Purdue fixed using the old approach and deliver test code to the GOC. Ensure CMS can run their “Whole Machine” HTPC apps at Purdue. Greg </w:t>
      </w:r>
      <w:proofErr w:type="spellStart"/>
      <w:r w:rsidRPr="00DC178B">
        <w:t>Thain</w:t>
      </w:r>
      <w:proofErr w:type="spellEnd"/>
      <w:r w:rsidRPr="00DC178B">
        <w:t xml:space="preserve"> to lead</w:t>
      </w:r>
      <w:r w:rsidR="009C0C3F">
        <w:t xml:space="preserve"> this</w:t>
      </w:r>
      <w:r w:rsidR="00914EE0" w:rsidRPr="00DC178B">
        <w:t xml:space="preserve"> effort</w:t>
      </w:r>
      <w:r w:rsidR="00914EE0" w:rsidRPr="00914EE0">
        <w:rPr>
          <w:b/>
        </w:rPr>
        <w:t>.</w:t>
      </w:r>
    </w:p>
    <w:p w:rsidR="00914EE0" w:rsidRDefault="00914EE0"/>
    <w:tbl>
      <w:tblPr>
        <w:tblStyle w:val="TableGrid"/>
        <w:tblW w:w="8550" w:type="dxa"/>
        <w:tblInd w:w="108" w:type="dxa"/>
        <w:tblLook w:val="04A0"/>
      </w:tblPr>
      <w:tblGrid>
        <w:gridCol w:w="990"/>
        <w:gridCol w:w="1080"/>
        <w:gridCol w:w="1530"/>
        <w:gridCol w:w="4950"/>
      </w:tblGrid>
      <w:tr w:rsidR="00F20B2A">
        <w:tc>
          <w:tcPr>
            <w:tcW w:w="990" w:type="dxa"/>
          </w:tcPr>
          <w:p w:rsidR="009C0C3F" w:rsidRPr="00F20B2A" w:rsidRDefault="009C0C3F">
            <w:pPr>
              <w:rPr>
                <w:b/>
              </w:rPr>
            </w:pPr>
            <w:r w:rsidRPr="00F20B2A">
              <w:rPr>
                <w:b/>
              </w:rPr>
              <w:t>Due</w:t>
            </w:r>
          </w:p>
        </w:tc>
        <w:tc>
          <w:tcPr>
            <w:tcW w:w="1080" w:type="dxa"/>
          </w:tcPr>
          <w:p w:rsidR="009C0C3F" w:rsidRPr="00F20B2A" w:rsidRDefault="009C0C3F">
            <w:pPr>
              <w:rPr>
                <w:b/>
              </w:rPr>
            </w:pPr>
            <w:r w:rsidRPr="00F20B2A">
              <w:rPr>
                <w:b/>
              </w:rPr>
              <w:t>Owner</w:t>
            </w:r>
          </w:p>
        </w:tc>
        <w:tc>
          <w:tcPr>
            <w:tcW w:w="1530" w:type="dxa"/>
          </w:tcPr>
          <w:p w:rsidR="009C0C3F" w:rsidRPr="00F20B2A" w:rsidRDefault="009C0C3F">
            <w:pPr>
              <w:rPr>
                <w:b/>
              </w:rPr>
            </w:pPr>
            <w:r w:rsidRPr="00F20B2A">
              <w:rPr>
                <w:b/>
              </w:rPr>
              <w:t>Status</w:t>
            </w:r>
          </w:p>
        </w:tc>
        <w:tc>
          <w:tcPr>
            <w:tcW w:w="4950" w:type="dxa"/>
          </w:tcPr>
          <w:p w:rsidR="009C0C3F" w:rsidRPr="00F20B2A" w:rsidRDefault="009C0C3F">
            <w:pPr>
              <w:rPr>
                <w:b/>
              </w:rPr>
            </w:pPr>
            <w:r w:rsidRPr="00F20B2A">
              <w:rPr>
                <w:b/>
              </w:rPr>
              <w:t>Task</w:t>
            </w:r>
          </w:p>
        </w:tc>
      </w:tr>
      <w:tr w:rsidR="00F20B2A">
        <w:tc>
          <w:tcPr>
            <w:tcW w:w="990" w:type="dxa"/>
          </w:tcPr>
          <w:p w:rsidR="009C0C3F" w:rsidRDefault="009C0C3F">
            <w:r>
              <w:t>Feb 6</w:t>
            </w:r>
          </w:p>
        </w:tc>
        <w:tc>
          <w:tcPr>
            <w:tcW w:w="1080" w:type="dxa"/>
          </w:tcPr>
          <w:p w:rsidR="009C0C3F" w:rsidRDefault="009C0C3F">
            <w:proofErr w:type="spellStart"/>
            <w:r>
              <w:t>Thain</w:t>
            </w:r>
            <w:proofErr w:type="spellEnd"/>
          </w:p>
        </w:tc>
        <w:tc>
          <w:tcPr>
            <w:tcW w:w="1530" w:type="dxa"/>
          </w:tcPr>
          <w:p w:rsidR="009C0C3F" w:rsidRDefault="00736BE4">
            <w:r>
              <w:t>Complete</w:t>
            </w:r>
          </w:p>
        </w:tc>
        <w:tc>
          <w:tcPr>
            <w:tcW w:w="4950" w:type="dxa"/>
          </w:tcPr>
          <w:p w:rsidR="009C0C3F" w:rsidRDefault="009C0C3F">
            <w:r>
              <w:t>Reach out to CMS/Purdue Monday</w:t>
            </w:r>
          </w:p>
        </w:tc>
      </w:tr>
      <w:tr w:rsidR="00F20B2A">
        <w:tc>
          <w:tcPr>
            <w:tcW w:w="990" w:type="dxa"/>
          </w:tcPr>
          <w:p w:rsidR="009C0C3F" w:rsidRDefault="00F20B2A">
            <w:r>
              <w:t>Feb 22</w:t>
            </w:r>
          </w:p>
        </w:tc>
        <w:tc>
          <w:tcPr>
            <w:tcW w:w="1080" w:type="dxa"/>
          </w:tcPr>
          <w:p w:rsidR="009C0C3F" w:rsidRDefault="00F20B2A" w:rsidP="00F20B2A">
            <w:proofErr w:type="spellStart"/>
            <w:r>
              <w:t>Thain</w:t>
            </w:r>
            <w:proofErr w:type="spellEnd"/>
          </w:p>
        </w:tc>
        <w:tc>
          <w:tcPr>
            <w:tcW w:w="1530" w:type="dxa"/>
          </w:tcPr>
          <w:p w:rsidR="009C0C3F" w:rsidRDefault="00F20B2A">
            <w:r>
              <w:t>In Progress</w:t>
            </w:r>
          </w:p>
        </w:tc>
        <w:tc>
          <w:tcPr>
            <w:tcW w:w="4950" w:type="dxa"/>
          </w:tcPr>
          <w:p w:rsidR="009C0C3F" w:rsidRDefault="00F20B2A">
            <w:r>
              <w:t>Sites operational</w:t>
            </w:r>
          </w:p>
        </w:tc>
      </w:tr>
      <w:tr w:rsidR="00F20B2A">
        <w:tc>
          <w:tcPr>
            <w:tcW w:w="990" w:type="dxa"/>
          </w:tcPr>
          <w:p w:rsidR="00F20B2A" w:rsidRDefault="00F20B2A">
            <w:r>
              <w:t>Feb 29</w:t>
            </w:r>
          </w:p>
        </w:tc>
        <w:tc>
          <w:tcPr>
            <w:tcW w:w="1080" w:type="dxa"/>
          </w:tcPr>
          <w:p w:rsidR="00F20B2A" w:rsidRDefault="00F20B2A" w:rsidP="00F20B2A">
            <w:proofErr w:type="spellStart"/>
            <w:r>
              <w:t>Thain</w:t>
            </w:r>
            <w:proofErr w:type="spellEnd"/>
          </w:p>
        </w:tc>
        <w:tc>
          <w:tcPr>
            <w:tcW w:w="1530" w:type="dxa"/>
          </w:tcPr>
          <w:p w:rsidR="00F20B2A" w:rsidRDefault="00C97EE2">
            <w:r>
              <w:t>Not Started</w:t>
            </w:r>
          </w:p>
        </w:tc>
        <w:tc>
          <w:tcPr>
            <w:tcW w:w="4950" w:type="dxa"/>
          </w:tcPr>
          <w:p w:rsidR="00F20B2A" w:rsidRDefault="00F20B2A">
            <w:r>
              <w:t>Transfer Greg’s test code (that ensures HTPC is actually working at a given site) and stand up as a service running from the GOC. This should go through the ITB.</w:t>
            </w:r>
          </w:p>
        </w:tc>
      </w:tr>
    </w:tbl>
    <w:p w:rsidR="00914EE0" w:rsidRDefault="00914EE0"/>
    <w:p w:rsidR="000A2FDB" w:rsidRDefault="000A2FDB">
      <w:r>
        <w:t xml:space="preserve">Greg </w:t>
      </w:r>
      <w:r w:rsidR="005E7AA9">
        <w:t>will</w:t>
      </w:r>
      <w:r>
        <w:t xml:space="preserve"> send weekly progress reports via email to Brooklin and Dan F. every Thursday until complete.</w:t>
      </w:r>
    </w:p>
    <w:p w:rsidR="000A2FDB" w:rsidRDefault="000A2FDB"/>
    <w:p w:rsidR="00C97EE2" w:rsidRDefault="00C97EE2">
      <w:pPr>
        <w:rPr>
          <w:b/>
        </w:rPr>
      </w:pPr>
      <w:r>
        <w:rPr>
          <w:b/>
        </w:rPr>
        <w:br w:type="page"/>
      </w:r>
    </w:p>
    <w:p w:rsidR="000A2FDB" w:rsidRPr="00914EE0" w:rsidRDefault="000A2FDB">
      <w:pPr>
        <w:rPr>
          <w:b/>
        </w:rPr>
      </w:pPr>
      <w:r w:rsidRPr="00914EE0">
        <w:rPr>
          <w:b/>
        </w:rPr>
        <w:t xml:space="preserve">Milestone 2: </w:t>
      </w:r>
      <w:r w:rsidRPr="00DC178B">
        <w:t>Deploy Condor’s new Partitionable Slot technology, along with best practices documentation to the OSG</w:t>
      </w:r>
    </w:p>
    <w:p w:rsidR="000A2FDB" w:rsidRDefault="000A2FDB"/>
    <w:p w:rsidR="00C97EE2" w:rsidRDefault="00C97EE2"/>
    <w:tbl>
      <w:tblPr>
        <w:tblStyle w:val="TableGrid"/>
        <w:tblW w:w="0" w:type="auto"/>
        <w:tblLook w:val="04A0"/>
      </w:tblPr>
      <w:tblGrid>
        <w:gridCol w:w="1178"/>
        <w:gridCol w:w="1625"/>
        <w:gridCol w:w="1926"/>
        <w:gridCol w:w="4127"/>
      </w:tblGrid>
      <w:tr w:rsidR="00C97EE2">
        <w:tc>
          <w:tcPr>
            <w:tcW w:w="1178" w:type="dxa"/>
          </w:tcPr>
          <w:p w:rsidR="00C97EE2" w:rsidRPr="00504946" w:rsidRDefault="00C97EE2">
            <w:pPr>
              <w:rPr>
                <w:b/>
              </w:rPr>
            </w:pPr>
            <w:r w:rsidRPr="00504946">
              <w:rPr>
                <w:b/>
              </w:rPr>
              <w:t>Due</w:t>
            </w:r>
          </w:p>
        </w:tc>
        <w:tc>
          <w:tcPr>
            <w:tcW w:w="1625" w:type="dxa"/>
          </w:tcPr>
          <w:p w:rsidR="00C97EE2" w:rsidRPr="00504946" w:rsidRDefault="00C97EE2">
            <w:pPr>
              <w:rPr>
                <w:b/>
              </w:rPr>
            </w:pPr>
            <w:r w:rsidRPr="00504946">
              <w:rPr>
                <w:b/>
              </w:rPr>
              <w:t>Owner</w:t>
            </w:r>
          </w:p>
        </w:tc>
        <w:tc>
          <w:tcPr>
            <w:tcW w:w="1926" w:type="dxa"/>
          </w:tcPr>
          <w:p w:rsidR="00C97EE2" w:rsidRPr="00504946" w:rsidRDefault="00C97EE2">
            <w:pPr>
              <w:rPr>
                <w:b/>
              </w:rPr>
            </w:pPr>
            <w:r w:rsidRPr="00504946">
              <w:rPr>
                <w:b/>
              </w:rPr>
              <w:t>Status</w:t>
            </w:r>
          </w:p>
        </w:tc>
        <w:tc>
          <w:tcPr>
            <w:tcW w:w="4127" w:type="dxa"/>
          </w:tcPr>
          <w:p w:rsidR="00C97EE2" w:rsidRPr="00504946" w:rsidRDefault="00C97EE2" w:rsidP="00C97EE2">
            <w:pPr>
              <w:ind w:left="-2322" w:firstLine="2340"/>
              <w:rPr>
                <w:b/>
              </w:rPr>
            </w:pPr>
            <w:r w:rsidRPr="00504946">
              <w:rPr>
                <w:b/>
              </w:rPr>
              <w:t>Task</w:t>
            </w:r>
          </w:p>
        </w:tc>
      </w:tr>
      <w:tr w:rsidR="00C97EE2">
        <w:tc>
          <w:tcPr>
            <w:tcW w:w="1178" w:type="dxa"/>
            <w:vAlign w:val="center"/>
          </w:tcPr>
          <w:p w:rsidR="00C97EE2" w:rsidRDefault="00C97EE2" w:rsidP="00504946">
            <w:r>
              <w:t>Feb 29</w:t>
            </w:r>
          </w:p>
        </w:tc>
        <w:tc>
          <w:tcPr>
            <w:tcW w:w="1625" w:type="dxa"/>
            <w:vAlign w:val="center"/>
          </w:tcPr>
          <w:p w:rsidR="00C97EE2" w:rsidRDefault="00C97EE2" w:rsidP="00504946">
            <w:proofErr w:type="spellStart"/>
            <w:r>
              <w:t>Thain</w:t>
            </w:r>
            <w:proofErr w:type="spellEnd"/>
          </w:p>
        </w:tc>
        <w:tc>
          <w:tcPr>
            <w:tcW w:w="1926" w:type="dxa"/>
            <w:vAlign w:val="center"/>
          </w:tcPr>
          <w:p w:rsidR="00736BE4" w:rsidRDefault="00736BE4" w:rsidP="00504946">
            <w:r>
              <w:t>Completed</w:t>
            </w:r>
          </w:p>
          <w:p w:rsidR="00C97EE2" w:rsidRDefault="00736BE4" w:rsidP="00504946">
            <w:r>
              <w:t>(Feb 15)</w:t>
            </w:r>
          </w:p>
        </w:tc>
        <w:tc>
          <w:tcPr>
            <w:tcW w:w="4127" w:type="dxa"/>
            <w:vAlign w:val="center"/>
          </w:tcPr>
          <w:p w:rsidR="00C97EE2" w:rsidRDefault="00C97EE2" w:rsidP="00504946">
            <w:r>
              <w:t>Condor 7.7.5 running on CHTC</w:t>
            </w:r>
          </w:p>
        </w:tc>
      </w:tr>
      <w:tr w:rsidR="00C97EE2">
        <w:tc>
          <w:tcPr>
            <w:tcW w:w="1178" w:type="dxa"/>
            <w:vAlign w:val="center"/>
          </w:tcPr>
          <w:p w:rsidR="00C97EE2" w:rsidRDefault="00C97EE2" w:rsidP="00504946">
            <w:r>
              <w:t>Mar 1</w:t>
            </w:r>
          </w:p>
        </w:tc>
        <w:tc>
          <w:tcPr>
            <w:tcW w:w="1625" w:type="dxa"/>
            <w:vAlign w:val="center"/>
          </w:tcPr>
          <w:p w:rsidR="00C97EE2" w:rsidRDefault="00C97EE2" w:rsidP="00504946">
            <w:r>
              <w:t xml:space="preserve">Gore, </w:t>
            </w:r>
            <w:proofErr w:type="spellStart"/>
            <w:r>
              <w:t>Tannenbaum</w:t>
            </w:r>
            <w:proofErr w:type="spellEnd"/>
            <w:r>
              <w:t xml:space="preserve">, </w:t>
            </w:r>
            <w:proofErr w:type="spellStart"/>
            <w:r>
              <w:t>Bockelman</w:t>
            </w:r>
            <w:proofErr w:type="spellEnd"/>
          </w:p>
        </w:tc>
        <w:tc>
          <w:tcPr>
            <w:tcW w:w="1926" w:type="dxa"/>
            <w:vAlign w:val="center"/>
          </w:tcPr>
          <w:p w:rsidR="00C97EE2" w:rsidRDefault="00C97EE2" w:rsidP="00504946">
            <w:r>
              <w:t>Not Started</w:t>
            </w:r>
          </w:p>
        </w:tc>
        <w:tc>
          <w:tcPr>
            <w:tcW w:w="4127" w:type="dxa"/>
            <w:vAlign w:val="center"/>
          </w:tcPr>
          <w:p w:rsidR="00C97EE2" w:rsidRDefault="00504946" w:rsidP="00504946">
            <w:r>
              <w:t xml:space="preserve">Start configuring </w:t>
            </w:r>
            <w:proofErr w:type="spellStart"/>
            <w:r>
              <w:t>partitionable</w:t>
            </w:r>
            <w:proofErr w:type="spellEnd"/>
            <w:r>
              <w:t xml:space="preserve"> slots in CHTC and developing best practices in collaboration with Nebraska</w:t>
            </w:r>
          </w:p>
        </w:tc>
      </w:tr>
      <w:tr w:rsidR="00C97EE2">
        <w:tc>
          <w:tcPr>
            <w:tcW w:w="1178" w:type="dxa"/>
            <w:vAlign w:val="center"/>
          </w:tcPr>
          <w:p w:rsidR="00C97EE2" w:rsidRDefault="00504946" w:rsidP="00504946">
            <w:r>
              <w:t>Mar 15</w:t>
            </w:r>
          </w:p>
        </w:tc>
        <w:tc>
          <w:tcPr>
            <w:tcW w:w="1625" w:type="dxa"/>
            <w:vAlign w:val="center"/>
          </w:tcPr>
          <w:p w:rsidR="00C97EE2" w:rsidRDefault="00504946" w:rsidP="00504946">
            <w:proofErr w:type="spellStart"/>
            <w:r>
              <w:t>Thain</w:t>
            </w:r>
            <w:proofErr w:type="spellEnd"/>
          </w:p>
        </w:tc>
        <w:tc>
          <w:tcPr>
            <w:tcW w:w="1926" w:type="dxa"/>
            <w:vAlign w:val="center"/>
          </w:tcPr>
          <w:p w:rsidR="00C97EE2" w:rsidRDefault="00504946" w:rsidP="00504946">
            <w:r>
              <w:t>Not Started</w:t>
            </w:r>
          </w:p>
        </w:tc>
        <w:tc>
          <w:tcPr>
            <w:tcW w:w="4127" w:type="dxa"/>
            <w:vAlign w:val="center"/>
          </w:tcPr>
          <w:p w:rsidR="00C97EE2" w:rsidRDefault="00504946" w:rsidP="00504946">
            <w:r>
              <w:t>Condor 7.8.0 available to general public</w:t>
            </w:r>
          </w:p>
        </w:tc>
      </w:tr>
      <w:tr w:rsidR="00C97EE2">
        <w:tc>
          <w:tcPr>
            <w:tcW w:w="1178" w:type="dxa"/>
            <w:vAlign w:val="center"/>
          </w:tcPr>
          <w:p w:rsidR="00C97EE2" w:rsidRDefault="00504946" w:rsidP="00504946">
            <w:r>
              <w:t>Mar 21</w:t>
            </w:r>
          </w:p>
        </w:tc>
        <w:tc>
          <w:tcPr>
            <w:tcW w:w="1625" w:type="dxa"/>
            <w:vAlign w:val="center"/>
          </w:tcPr>
          <w:p w:rsidR="00C97EE2" w:rsidRDefault="00504946" w:rsidP="00504946">
            <w:r>
              <w:t>Fraser</w:t>
            </w:r>
          </w:p>
        </w:tc>
        <w:tc>
          <w:tcPr>
            <w:tcW w:w="1926" w:type="dxa"/>
            <w:vAlign w:val="center"/>
          </w:tcPr>
          <w:p w:rsidR="00C97EE2" w:rsidRDefault="00504946" w:rsidP="00504946">
            <w:r>
              <w:t>Not Started</w:t>
            </w:r>
          </w:p>
        </w:tc>
        <w:tc>
          <w:tcPr>
            <w:tcW w:w="4127" w:type="dxa"/>
            <w:vAlign w:val="center"/>
          </w:tcPr>
          <w:p w:rsidR="00C97EE2" w:rsidRDefault="00504946" w:rsidP="00504946">
            <w:r>
              <w:t>Update provided at OSG All Hands meeting</w:t>
            </w:r>
          </w:p>
        </w:tc>
      </w:tr>
      <w:tr w:rsidR="00504946">
        <w:tc>
          <w:tcPr>
            <w:tcW w:w="1178" w:type="dxa"/>
            <w:vAlign w:val="center"/>
          </w:tcPr>
          <w:p w:rsidR="00504946" w:rsidRDefault="00504946" w:rsidP="00504946">
            <w:r>
              <w:t>Apr 2</w:t>
            </w:r>
          </w:p>
        </w:tc>
        <w:tc>
          <w:tcPr>
            <w:tcW w:w="1625" w:type="dxa"/>
            <w:vAlign w:val="center"/>
          </w:tcPr>
          <w:p w:rsidR="00504946" w:rsidRDefault="00504946" w:rsidP="00504946">
            <w:proofErr w:type="spellStart"/>
            <w:r>
              <w:t>Mambelli</w:t>
            </w:r>
            <w:proofErr w:type="spellEnd"/>
            <w:r>
              <w:t xml:space="preserve">, </w:t>
            </w:r>
            <w:proofErr w:type="spellStart"/>
            <w:r>
              <w:t>Thain</w:t>
            </w:r>
            <w:proofErr w:type="spellEnd"/>
          </w:p>
        </w:tc>
        <w:tc>
          <w:tcPr>
            <w:tcW w:w="1926" w:type="dxa"/>
            <w:vAlign w:val="center"/>
          </w:tcPr>
          <w:p w:rsidR="00504946" w:rsidRDefault="00504946" w:rsidP="00504946">
            <w:r>
              <w:t>Not Started</w:t>
            </w:r>
          </w:p>
        </w:tc>
        <w:tc>
          <w:tcPr>
            <w:tcW w:w="4127" w:type="dxa"/>
            <w:vAlign w:val="center"/>
          </w:tcPr>
          <w:p w:rsidR="00504946" w:rsidRDefault="00504946" w:rsidP="00504946">
            <w:r>
              <w:t>Initial Draft of HTPC user’s guide</w:t>
            </w:r>
          </w:p>
        </w:tc>
      </w:tr>
      <w:tr w:rsidR="00504946">
        <w:tc>
          <w:tcPr>
            <w:tcW w:w="1178" w:type="dxa"/>
            <w:vAlign w:val="center"/>
          </w:tcPr>
          <w:p w:rsidR="00504946" w:rsidRDefault="00504946" w:rsidP="00504946">
            <w:r>
              <w:t>Apr 30</w:t>
            </w:r>
          </w:p>
        </w:tc>
        <w:tc>
          <w:tcPr>
            <w:tcW w:w="1625" w:type="dxa"/>
            <w:vAlign w:val="center"/>
          </w:tcPr>
          <w:p w:rsidR="00504946" w:rsidRDefault="00504946" w:rsidP="00504946">
            <w:proofErr w:type="spellStart"/>
            <w:r>
              <w:t>Mambelli</w:t>
            </w:r>
            <w:proofErr w:type="spellEnd"/>
            <w:r>
              <w:t xml:space="preserve">, </w:t>
            </w:r>
            <w:proofErr w:type="spellStart"/>
            <w:r>
              <w:t>Thain</w:t>
            </w:r>
            <w:proofErr w:type="spellEnd"/>
          </w:p>
        </w:tc>
        <w:tc>
          <w:tcPr>
            <w:tcW w:w="1926" w:type="dxa"/>
            <w:vAlign w:val="center"/>
          </w:tcPr>
          <w:p w:rsidR="00504946" w:rsidRDefault="00504946" w:rsidP="00504946">
            <w:r>
              <w:t>Not Started</w:t>
            </w:r>
          </w:p>
        </w:tc>
        <w:tc>
          <w:tcPr>
            <w:tcW w:w="4127" w:type="dxa"/>
            <w:vAlign w:val="center"/>
          </w:tcPr>
          <w:p w:rsidR="00504946" w:rsidRDefault="00504946" w:rsidP="00504946">
            <w:r>
              <w:t>Reviewed HTPC user’s guide available</w:t>
            </w:r>
          </w:p>
        </w:tc>
      </w:tr>
      <w:tr w:rsidR="00504946">
        <w:tc>
          <w:tcPr>
            <w:tcW w:w="1178" w:type="dxa"/>
            <w:vAlign w:val="center"/>
          </w:tcPr>
          <w:p w:rsidR="00504946" w:rsidRDefault="00504946" w:rsidP="00504946"/>
        </w:tc>
        <w:tc>
          <w:tcPr>
            <w:tcW w:w="1625" w:type="dxa"/>
            <w:vAlign w:val="center"/>
          </w:tcPr>
          <w:p w:rsidR="00504946" w:rsidRDefault="00504946" w:rsidP="00504946">
            <w:r>
              <w:t xml:space="preserve">Gore, </w:t>
            </w:r>
            <w:proofErr w:type="spellStart"/>
            <w:r>
              <w:t>Tannenbaum</w:t>
            </w:r>
            <w:proofErr w:type="spellEnd"/>
          </w:p>
        </w:tc>
        <w:tc>
          <w:tcPr>
            <w:tcW w:w="1926" w:type="dxa"/>
            <w:vAlign w:val="center"/>
          </w:tcPr>
          <w:p w:rsidR="00504946" w:rsidRDefault="00504946" w:rsidP="00504946">
            <w:r>
              <w:t>Not Started</w:t>
            </w:r>
          </w:p>
        </w:tc>
        <w:tc>
          <w:tcPr>
            <w:tcW w:w="4127" w:type="dxa"/>
            <w:vAlign w:val="center"/>
          </w:tcPr>
          <w:p w:rsidR="00504946" w:rsidRDefault="00504946" w:rsidP="00504946">
            <w:r>
              <w:t>Partitionable slots in production in CHTC and best practices are understood and documented</w:t>
            </w:r>
          </w:p>
        </w:tc>
      </w:tr>
      <w:tr w:rsidR="00504946">
        <w:tc>
          <w:tcPr>
            <w:tcW w:w="1178" w:type="dxa"/>
            <w:vAlign w:val="center"/>
          </w:tcPr>
          <w:p w:rsidR="00504946" w:rsidRDefault="00504946" w:rsidP="00504946">
            <w:r>
              <w:t>Mar 1</w:t>
            </w:r>
          </w:p>
        </w:tc>
        <w:tc>
          <w:tcPr>
            <w:tcW w:w="1625" w:type="dxa"/>
            <w:vAlign w:val="center"/>
          </w:tcPr>
          <w:p w:rsidR="00504946" w:rsidRDefault="00504946" w:rsidP="00504946">
            <w:r>
              <w:t>Bradley</w:t>
            </w:r>
          </w:p>
        </w:tc>
        <w:tc>
          <w:tcPr>
            <w:tcW w:w="1926" w:type="dxa"/>
            <w:vAlign w:val="center"/>
          </w:tcPr>
          <w:p w:rsidR="00504946" w:rsidRDefault="00504946" w:rsidP="00504946">
            <w:r>
              <w:t>Not Started</w:t>
            </w:r>
          </w:p>
        </w:tc>
        <w:tc>
          <w:tcPr>
            <w:tcW w:w="4127" w:type="dxa"/>
            <w:vAlign w:val="center"/>
          </w:tcPr>
          <w:p w:rsidR="00504946" w:rsidRDefault="00504946" w:rsidP="00504946">
            <w:r>
              <w:t>Start developing HTPC best practices for OSG</w:t>
            </w:r>
          </w:p>
        </w:tc>
      </w:tr>
      <w:tr w:rsidR="00504946">
        <w:tc>
          <w:tcPr>
            <w:tcW w:w="1178" w:type="dxa"/>
            <w:vAlign w:val="center"/>
          </w:tcPr>
          <w:p w:rsidR="00504946" w:rsidRDefault="00504946" w:rsidP="00504946">
            <w:r>
              <w:t>May 30</w:t>
            </w:r>
          </w:p>
        </w:tc>
        <w:tc>
          <w:tcPr>
            <w:tcW w:w="1625" w:type="dxa"/>
            <w:vAlign w:val="center"/>
          </w:tcPr>
          <w:p w:rsidR="00504946" w:rsidRDefault="00504946" w:rsidP="00504946"/>
        </w:tc>
        <w:tc>
          <w:tcPr>
            <w:tcW w:w="1926" w:type="dxa"/>
            <w:vAlign w:val="center"/>
          </w:tcPr>
          <w:p w:rsidR="00504946" w:rsidRDefault="00504946" w:rsidP="00504946">
            <w:r>
              <w:t>Not Started</w:t>
            </w:r>
          </w:p>
        </w:tc>
        <w:tc>
          <w:tcPr>
            <w:tcW w:w="4127" w:type="dxa"/>
            <w:vAlign w:val="center"/>
          </w:tcPr>
          <w:p w:rsidR="00504946" w:rsidRDefault="00504946" w:rsidP="00504946">
            <w:r>
              <w:t>Deliver HTPC best practices to OSG – add section to OSG CE install/admin guide</w:t>
            </w:r>
          </w:p>
        </w:tc>
      </w:tr>
      <w:tr w:rsidR="00504946">
        <w:tc>
          <w:tcPr>
            <w:tcW w:w="1178" w:type="dxa"/>
            <w:vAlign w:val="center"/>
          </w:tcPr>
          <w:p w:rsidR="00504946" w:rsidRDefault="00504946" w:rsidP="00504946">
            <w:r>
              <w:t>Jun 30</w:t>
            </w:r>
          </w:p>
        </w:tc>
        <w:tc>
          <w:tcPr>
            <w:tcW w:w="1625" w:type="dxa"/>
            <w:vAlign w:val="center"/>
          </w:tcPr>
          <w:p w:rsidR="00504946" w:rsidRDefault="00504946" w:rsidP="00504946">
            <w:proofErr w:type="spellStart"/>
            <w:r>
              <w:t>Mambelli</w:t>
            </w:r>
            <w:proofErr w:type="spellEnd"/>
            <w:r>
              <w:t xml:space="preserve">, </w:t>
            </w:r>
            <w:proofErr w:type="spellStart"/>
            <w:r>
              <w:t>Thain</w:t>
            </w:r>
            <w:proofErr w:type="spellEnd"/>
          </w:p>
        </w:tc>
        <w:tc>
          <w:tcPr>
            <w:tcW w:w="1926" w:type="dxa"/>
            <w:vAlign w:val="center"/>
          </w:tcPr>
          <w:p w:rsidR="00504946" w:rsidRDefault="00504946" w:rsidP="00504946">
            <w:r>
              <w:t>Not Started</w:t>
            </w:r>
          </w:p>
        </w:tc>
        <w:tc>
          <w:tcPr>
            <w:tcW w:w="4127" w:type="dxa"/>
            <w:vAlign w:val="center"/>
          </w:tcPr>
          <w:p w:rsidR="00504946" w:rsidRDefault="00504946" w:rsidP="00504946">
            <w:r>
              <w:t>Deliver HTPC user guides</w:t>
            </w:r>
          </w:p>
        </w:tc>
      </w:tr>
      <w:tr w:rsidR="00504946">
        <w:tc>
          <w:tcPr>
            <w:tcW w:w="1178" w:type="dxa"/>
            <w:vAlign w:val="center"/>
          </w:tcPr>
          <w:p w:rsidR="00504946" w:rsidRDefault="00504946" w:rsidP="00504946"/>
        </w:tc>
        <w:tc>
          <w:tcPr>
            <w:tcW w:w="1625" w:type="dxa"/>
            <w:vAlign w:val="center"/>
          </w:tcPr>
          <w:p w:rsidR="00504946" w:rsidRDefault="00504946" w:rsidP="00504946">
            <w:r>
              <w:t>Bradley</w:t>
            </w:r>
          </w:p>
        </w:tc>
        <w:tc>
          <w:tcPr>
            <w:tcW w:w="1926" w:type="dxa"/>
            <w:vAlign w:val="center"/>
          </w:tcPr>
          <w:p w:rsidR="00504946" w:rsidRDefault="00504946" w:rsidP="00504946">
            <w:r>
              <w:t>Not Started</w:t>
            </w:r>
          </w:p>
        </w:tc>
        <w:tc>
          <w:tcPr>
            <w:tcW w:w="4127" w:type="dxa"/>
            <w:vAlign w:val="center"/>
          </w:tcPr>
          <w:p w:rsidR="00504946" w:rsidRDefault="00504946" w:rsidP="00504946">
            <w:r>
              <w:t>Test jobs from GOC running on HTPC nodes in CHTC</w:t>
            </w:r>
          </w:p>
        </w:tc>
      </w:tr>
    </w:tbl>
    <w:p w:rsidR="00FC35E6" w:rsidRDefault="00FC35E6"/>
    <w:p w:rsidR="00FC35E6" w:rsidRDefault="00FC35E6">
      <w:r w:rsidRPr="005E7AA9">
        <w:rPr>
          <w:b/>
        </w:rPr>
        <w:t>Caveats</w:t>
      </w:r>
      <w:r>
        <w:t>:</w:t>
      </w:r>
    </w:p>
    <w:p w:rsidR="00FC35E6" w:rsidRDefault="00FC35E6"/>
    <w:p w:rsidR="00FC35E6" w:rsidRDefault="00FC35E6">
      <w:r>
        <w:t xml:space="preserve">We know that the improved Partitionable Slots technology is NOT compatible with Parallel Universe jobs </w:t>
      </w:r>
      <w:proofErr w:type="gramStart"/>
      <w:r>
        <w:t>nor</w:t>
      </w:r>
      <w:proofErr w:type="gramEnd"/>
      <w:r>
        <w:t xml:space="preserve"> Work-Fetch jobs. We may encounter use cases or best practices during the testing with CHTC that required significant code changes that may not be available in the 7.8 Condor stable series.</w:t>
      </w:r>
    </w:p>
    <w:p w:rsidR="00FC35E6" w:rsidRDefault="00FC35E6"/>
    <w:p w:rsidR="00914EE0" w:rsidRDefault="00914EE0">
      <w:r>
        <w:t>Brooklin will</w:t>
      </w:r>
      <w:r w:rsidR="005E7AA9">
        <w:t xml:space="preserve"> send weekly status reports to Dan, Ruth and </w:t>
      </w:r>
      <w:proofErr w:type="spellStart"/>
      <w:r w:rsidR="005E7AA9">
        <w:t>Miron</w:t>
      </w:r>
      <w:proofErr w:type="spellEnd"/>
      <w:r>
        <w:t xml:space="preserve"> until complete.</w:t>
      </w:r>
    </w:p>
    <w:sectPr w:rsidR="00914EE0" w:rsidSect="00FE7658">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E636FA7"/>
    <w:multiLevelType w:val="hybridMultilevel"/>
    <w:tmpl w:val="3564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5150F"/>
    <w:multiLevelType w:val="hybridMultilevel"/>
    <w:tmpl w:val="371A4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savePreviewPicture/>
  <w:compat>
    <w:useFELayout/>
  </w:compat>
  <w:rsids>
    <w:rsidRoot w:val="000A2FDB"/>
    <w:rsid w:val="000A2FDB"/>
    <w:rsid w:val="00230BDE"/>
    <w:rsid w:val="00262AEB"/>
    <w:rsid w:val="003B6BCD"/>
    <w:rsid w:val="00504946"/>
    <w:rsid w:val="005E7AA9"/>
    <w:rsid w:val="00731FCB"/>
    <w:rsid w:val="00736BE4"/>
    <w:rsid w:val="00783078"/>
    <w:rsid w:val="00817BDA"/>
    <w:rsid w:val="0087391E"/>
    <w:rsid w:val="00887AD7"/>
    <w:rsid w:val="008B6C3B"/>
    <w:rsid w:val="00914EE0"/>
    <w:rsid w:val="009446E1"/>
    <w:rsid w:val="009C0C3F"/>
    <w:rsid w:val="009F778D"/>
    <w:rsid w:val="00AB0BC9"/>
    <w:rsid w:val="00B60465"/>
    <w:rsid w:val="00C97EE2"/>
    <w:rsid w:val="00DC178B"/>
    <w:rsid w:val="00EE5B6C"/>
    <w:rsid w:val="00F20B2A"/>
    <w:rsid w:val="00FC35E6"/>
    <w:rsid w:val="00FE7658"/>
  </w:rsids>
  <m:mathPr>
    <m:mathFont m:val="Academy Engraved LE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EE5B6C"/>
    <w:rPr>
      <w:sz w:val="18"/>
      <w:szCs w:val="18"/>
    </w:rPr>
  </w:style>
  <w:style w:type="paragraph" w:styleId="CommentText">
    <w:name w:val="annotation text"/>
    <w:basedOn w:val="Normal"/>
    <w:link w:val="CommentTextChar"/>
    <w:uiPriority w:val="99"/>
    <w:semiHidden/>
    <w:unhideWhenUsed/>
    <w:rsid w:val="00EE5B6C"/>
  </w:style>
  <w:style w:type="character" w:customStyle="1" w:styleId="CommentTextChar">
    <w:name w:val="Comment Text Char"/>
    <w:basedOn w:val="DefaultParagraphFont"/>
    <w:link w:val="CommentText"/>
    <w:uiPriority w:val="99"/>
    <w:semiHidden/>
    <w:rsid w:val="00EE5B6C"/>
  </w:style>
  <w:style w:type="paragraph" w:styleId="CommentSubject">
    <w:name w:val="annotation subject"/>
    <w:basedOn w:val="CommentText"/>
    <w:next w:val="CommentText"/>
    <w:link w:val="CommentSubjectChar"/>
    <w:uiPriority w:val="99"/>
    <w:semiHidden/>
    <w:unhideWhenUsed/>
    <w:rsid w:val="00EE5B6C"/>
    <w:rPr>
      <w:b/>
      <w:bCs/>
      <w:sz w:val="20"/>
      <w:szCs w:val="20"/>
    </w:rPr>
  </w:style>
  <w:style w:type="character" w:customStyle="1" w:styleId="CommentSubjectChar">
    <w:name w:val="Comment Subject Char"/>
    <w:basedOn w:val="CommentTextChar"/>
    <w:link w:val="CommentSubject"/>
    <w:uiPriority w:val="99"/>
    <w:semiHidden/>
    <w:rsid w:val="00EE5B6C"/>
    <w:rPr>
      <w:b/>
      <w:bCs/>
      <w:sz w:val="20"/>
      <w:szCs w:val="20"/>
    </w:rPr>
  </w:style>
  <w:style w:type="paragraph" w:styleId="BalloonText">
    <w:name w:val="Balloon Text"/>
    <w:basedOn w:val="Normal"/>
    <w:link w:val="BalloonTextChar"/>
    <w:uiPriority w:val="99"/>
    <w:semiHidden/>
    <w:unhideWhenUsed/>
    <w:rsid w:val="00EE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B6C"/>
    <w:rPr>
      <w:rFonts w:ascii="Lucida Grande" w:hAnsi="Lucida Grande" w:cs="Lucida Grande"/>
      <w:sz w:val="18"/>
      <w:szCs w:val="18"/>
    </w:rPr>
  </w:style>
  <w:style w:type="paragraph" w:styleId="ListParagraph">
    <w:name w:val="List Paragraph"/>
    <w:basedOn w:val="Normal"/>
    <w:uiPriority w:val="34"/>
    <w:qFormat/>
    <w:rsid w:val="009C0C3F"/>
    <w:pPr>
      <w:ind w:left="720"/>
      <w:contextualSpacing/>
    </w:pPr>
  </w:style>
  <w:style w:type="table" w:styleId="TableGrid">
    <w:name w:val="Table Grid"/>
    <w:basedOn w:val="TableNormal"/>
    <w:uiPriority w:val="59"/>
    <w:rsid w:val="009C0C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5B6C"/>
    <w:rPr>
      <w:sz w:val="18"/>
      <w:szCs w:val="18"/>
    </w:rPr>
  </w:style>
  <w:style w:type="paragraph" w:styleId="CommentText">
    <w:name w:val="annotation text"/>
    <w:basedOn w:val="Normal"/>
    <w:link w:val="CommentTextChar"/>
    <w:uiPriority w:val="99"/>
    <w:semiHidden/>
    <w:unhideWhenUsed/>
    <w:rsid w:val="00EE5B6C"/>
  </w:style>
  <w:style w:type="character" w:customStyle="1" w:styleId="CommentTextChar">
    <w:name w:val="Comment Text Char"/>
    <w:basedOn w:val="DefaultParagraphFont"/>
    <w:link w:val="CommentText"/>
    <w:uiPriority w:val="99"/>
    <w:semiHidden/>
    <w:rsid w:val="00EE5B6C"/>
  </w:style>
  <w:style w:type="paragraph" w:styleId="CommentSubject">
    <w:name w:val="annotation subject"/>
    <w:basedOn w:val="CommentText"/>
    <w:next w:val="CommentText"/>
    <w:link w:val="CommentSubjectChar"/>
    <w:uiPriority w:val="99"/>
    <w:semiHidden/>
    <w:unhideWhenUsed/>
    <w:rsid w:val="00EE5B6C"/>
    <w:rPr>
      <w:b/>
      <w:bCs/>
      <w:sz w:val="20"/>
      <w:szCs w:val="20"/>
    </w:rPr>
  </w:style>
  <w:style w:type="character" w:customStyle="1" w:styleId="CommentSubjectChar">
    <w:name w:val="Comment Subject Char"/>
    <w:basedOn w:val="CommentTextChar"/>
    <w:link w:val="CommentSubject"/>
    <w:uiPriority w:val="99"/>
    <w:semiHidden/>
    <w:rsid w:val="00EE5B6C"/>
    <w:rPr>
      <w:b/>
      <w:bCs/>
      <w:sz w:val="20"/>
      <w:szCs w:val="20"/>
    </w:rPr>
  </w:style>
  <w:style w:type="paragraph" w:styleId="BalloonText">
    <w:name w:val="Balloon Text"/>
    <w:basedOn w:val="Normal"/>
    <w:link w:val="BalloonTextChar"/>
    <w:uiPriority w:val="99"/>
    <w:semiHidden/>
    <w:unhideWhenUsed/>
    <w:rsid w:val="00EE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B6C"/>
    <w:rPr>
      <w:rFonts w:ascii="Lucida Grande" w:hAnsi="Lucida Grande" w:cs="Lucida Grande"/>
      <w:sz w:val="18"/>
      <w:szCs w:val="18"/>
    </w:rPr>
  </w:style>
  <w:style w:type="paragraph" w:styleId="ListParagraph">
    <w:name w:val="List Paragraph"/>
    <w:basedOn w:val="Normal"/>
    <w:uiPriority w:val="34"/>
    <w:qFormat/>
    <w:rsid w:val="009C0C3F"/>
    <w:pPr>
      <w:ind w:left="720"/>
      <w:contextualSpacing/>
    </w:pPr>
  </w:style>
  <w:style w:type="table" w:styleId="TableGrid">
    <w:name w:val="Table Grid"/>
    <w:basedOn w:val="TableNormal"/>
    <w:uiPriority w:val="59"/>
    <w:rsid w:val="009C0C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452</Words>
  <Characters>2581</Characters>
  <Application>Microsoft Word 12.1.0</Application>
  <DocSecurity>0</DocSecurity>
  <Lines>21</Lines>
  <Paragraphs>5</Paragraphs>
  <ScaleCrop>false</ScaleCrop>
  <Company/>
  <LinksUpToDate>false</LinksUpToDate>
  <CharactersWithSpaces>3169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Brooklin Gore</dc:creator>
  <cp:keywords/>
  <dc:description/>
  <cp:lastModifiedBy>Dan</cp:lastModifiedBy>
  <cp:revision>9</cp:revision>
  <dcterms:created xsi:type="dcterms:W3CDTF">2012-02-15T16:41:00Z</dcterms:created>
  <dcterms:modified xsi:type="dcterms:W3CDTF">2012-02-22T17:58:00Z</dcterms:modified>
</cp:coreProperties>
</file>