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C7744" w14:textId="77777777" w:rsidR="00136F82" w:rsidRDefault="00136F82"/>
    <w:p w14:paraId="07C85B20" w14:textId="77777777" w:rsidR="00616943" w:rsidRDefault="00616943"/>
    <w:p w14:paraId="2C5C91EC" w14:textId="77777777" w:rsidR="00616943" w:rsidRDefault="00616943"/>
    <w:p w14:paraId="7656E685" w14:textId="77777777" w:rsidR="00616943" w:rsidRDefault="00616943"/>
    <w:p w14:paraId="7ED669B5" w14:textId="3E105AB2" w:rsidR="00616943" w:rsidRPr="00812D38" w:rsidRDefault="000E3A68" w:rsidP="00616943">
      <w:pPr>
        <w:jc w:val="center"/>
        <w:rPr>
          <w:rFonts w:asciiTheme="majorHAnsi" w:hAnsiTheme="majorHAnsi"/>
          <w:sz w:val="48"/>
          <w:szCs w:val="48"/>
        </w:rPr>
      </w:pPr>
      <w:r>
        <w:rPr>
          <w:rFonts w:asciiTheme="majorHAnsi" w:hAnsiTheme="majorHAnsi"/>
          <w:sz w:val="48"/>
          <w:szCs w:val="48"/>
        </w:rPr>
        <w:t>CRL Lifetime: Analysis of Credential Theft Mitigation and Risk to Operational Availability</w:t>
      </w:r>
    </w:p>
    <w:p w14:paraId="02A24C74" w14:textId="77777777" w:rsidR="00616943" w:rsidRDefault="00616943">
      <w:r>
        <w:br w:type="page"/>
      </w:r>
    </w:p>
    <w:p w14:paraId="275BAFD2" w14:textId="77777777" w:rsidR="00616943" w:rsidRPr="00812D38" w:rsidRDefault="00616943" w:rsidP="00616943">
      <w:pPr>
        <w:jc w:val="center"/>
        <w:rPr>
          <w:rFonts w:asciiTheme="majorHAnsi" w:hAnsiTheme="majorHAnsi"/>
          <w:sz w:val="32"/>
          <w:szCs w:val="32"/>
        </w:rPr>
      </w:pPr>
      <w:r w:rsidRPr="00812D38">
        <w:rPr>
          <w:rFonts w:asciiTheme="majorHAnsi" w:hAnsiTheme="majorHAnsi"/>
          <w:sz w:val="32"/>
          <w:szCs w:val="32"/>
        </w:rPr>
        <w:lastRenderedPageBreak/>
        <w:t>Executive Summary</w:t>
      </w:r>
    </w:p>
    <w:p w14:paraId="0374CF2E" w14:textId="77777777" w:rsidR="00616943" w:rsidRDefault="00616943" w:rsidP="00616943">
      <w:pPr>
        <w:jc w:val="center"/>
      </w:pPr>
    </w:p>
    <w:p w14:paraId="333CD18F" w14:textId="77777777" w:rsidR="00616943" w:rsidRDefault="00616943" w:rsidP="00616943">
      <w:pPr>
        <w:jc w:val="center"/>
      </w:pPr>
      <w:r>
        <w:t>XXX</w:t>
      </w:r>
    </w:p>
    <w:p w14:paraId="3F40171E" w14:textId="77777777" w:rsidR="00616943" w:rsidRDefault="00616943" w:rsidP="00616943">
      <w:pPr>
        <w:jc w:val="center"/>
        <w:sectPr w:rsidR="00616943" w:rsidSect="00136F82">
          <w:footerReference w:type="even" r:id="rId8"/>
          <w:pgSz w:w="12240" w:h="15840"/>
          <w:pgMar w:top="1440" w:right="1800" w:bottom="1440" w:left="1800" w:header="720" w:footer="720" w:gutter="0"/>
          <w:cols w:space="720"/>
          <w:docGrid w:linePitch="360"/>
        </w:sectPr>
      </w:pPr>
    </w:p>
    <w:p w14:paraId="04AAEF38" w14:textId="77777777" w:rsidR="00BC738F" w:rsidRDefault="004B6532" w:rsidP="004B6532">
      <w:pPr>
        <w:jc w:val="center"/>
        <w:rPr>
          <w:noProof/>
        </w:rPr>
      </w:pPr>
      <w:r w:rsidRPr="00812D38">
        <w:rPr>
          <w:rFonts w:asciiTheme="majorHAnsi" w:hAnsiTheme="majorHAnsi"/>
          <w:sz w:val="32"/>
          <w:szCs w:val="32"/>
        </w:rPr>
        <w:t>Table of Contents</w:t>
      </w:r>
      <w:r w:rsidR="00D57868">
        <w:rPr>
          <w:rFonts w:asciiTheme="majorHAnsi" w:hAnsiTheme="majorHAnsi"/>
          <w:sz w:val="32"/>
          <w:szCs w:val="32"/>
        </w:rPr>
        <w:fldChar w:fldCharType="begin"/>
      </w:r>
      <w:r w:rsidR="00D57868" w:rsidRPr="00812D38">
        <w:rPr>
          <w:rFonts w:asciiTheme="majorHAnsi" w:hAnsiTheme="majorHAnsi"/>
          <w:sz w:val="32"/>
          <w:szCs w:val="32"/>
        </w:rPr>
        <w:instrText xml:space="preserve"> TOC \o "1-2" \t "Heading 7,1" </w:instrText>
      </w:r>
      <w:r w:rsidR="00D57868">
        <w:rPr>
          <w:rFonts w:asciiTheme="majorHAnsi" w:hAnsiTheme="majorHAnsi"/>
          <w:sz w:val="32"/>
          <w:szCs w:val="32"/>
        </w:rPr>
        <w:fldChar w:fldCharType="separate"/>
      </w:r>
    </w:p>
    <w:p w14:paraId="2CA7E50D" w14:textId="77777777" w:rsidR="00BC738F" w:rsidRDefault="00BC738F">
      <w:pPr>
        <w:pStyle w:val="TOC1"/>
        <w:tabs>
          <w:tab w:val="left" w:pos="370"/>
          <w:tab w:val="right" w:leader="dot" w:pos="8630"/>
        </w:tabs>
        <w:rPr>
          <w:b w:val="0"/>
          <w:caps w:val="0"/>
          <w:noProof/>
          <w:sz w:val="24"/>
          <w:szCs w:val="24"/>
          <w:u w:val="none"/>
          <w:lang w:eastAsia="ja-JP"/>
        </w:rPr>
      </w:pPr>
      <w:r>
        <w:rPr>
          <w:noProof/>
        </w:rPr>
        <w:t>1</w:t>
      </w:r>
      <w:r>
        <w:rPr>
          <w:b w:val="0"/>
          <w:caps w:val="0"/>
          <w:noProof/>
          <w:sz w:val="24"/>
          <w:szCs w:val="24"/>
          <w:u w:val="none"/>
          <w:lang w:eastAsia="ja-JP"/>
        </w:rPr>
        <w:tab/>
      </w:r>
      <w:r>
        <w:rPr>
          <w:noProof/>
        </w:rPr>
        <w:t>Introduction</w:t>
      </w:r>
      <w:r>
        <w:rPr>
          <w:noProof/>
        </w:rPr>
        <w:tab/>
      </w:r>
      <w:r>
        <w:rPr>
          <w:noProof/>
        </w:rPr>
        <w:fldChar w:fldCharType="begin"/>
      </w:r>
      <w:r>
        <w:rPr>
          <w:noProof/>
        </w:rPr>
        <w:instrText xml:space="preserve"> PAGEREF _Toc192748391 \h </w:instrText>
      </w:r>
      <w:r>
        <w:rPr>
          <w:noProof/>
        </w:rPr>
      </w:r>
      <w:r>
        <w:rPr>
          <w:noProof/>
        </w:rPr>
        <w:fldChar w:fldCharType="separate"/>
      </w:r>
      <w:r w:rsidR="00380099">
        <w:rPr>
          <w:noProof/>
        </w:rPr>
        <w:t>1</w:t>
      </w:r>
      <w:r>
        <w:rPr>
          <w:noProof/>
        </w:rPr>
        <w:fldChar w:fldCharType="end"/>
      </w:r>
    </w:p>
    <w:p w14:paraId="400AF5EB" w14:textId="77777777" w:rsidR="00BC738F" w:rsidRDefault="00BC738F">
      <w:pPr>
        <w:pStyle w:val="TOC1"/>
        <w:tabs>
          <w:tab w:val="left" w:pos="370"/>
          <w:tab w:val="right" w:leader="dot" w:pos="8630"/>
        </w:tabs>
        <w:rPr>
          <w:b w:val="0"/>
          <w:caps w:val="0"/>
          <w:noProof/>
          <w:sz w:val="24"/>
          <w:szCs w:val="24"/>
          <w:u w:val="none"/>
          <w:lang w:eastAsia="ja-JP"/>
        </w:rPr>
      </w:pPr>
      <w:r>
        <w:rPr>
          <w:noProof/>
        </w:rPr>
        <w:t>2</w:t>
      </w:r>
      <w:r>
        <w:rPr>
          <w:b w:val="0"/>
          <w:caps w:val="0"/>
          <w:noProof/>
          <w:sz w:val="24"/>
          <w:szCs w:val="24"/>
          <w:u w:val="none"/>
          <w:lang w:eastAsia="ja-JP"/>
        </w:rPr>
        <w:tab/>
      </w:r>
      <w:r>
        <w:rPr>
          <w:noProof/>
        </w:rPr>
        <w:t>Terminology and Background</w:t>
      </w:r>
      <w:r>
        <w:rPr>
          <w:noProof/>
        </w:rPr>
        <w:tab/>
      </w:r>
      <w:r>
        <w:rPr>
          <w:noProof/>
        </w:rPr>
        <w:fldChar w:fldCharType="begin"/>
      </w:r>
      <w:r>
        <w:rPr>
          <w:noProof/>
        </w:rPr>
        <w:instrText xml:space="preserve"> PAGEREF _Toc192748392 \h </w:instrText>
      </w:r>
      <w:r>
        <w:rPr>
          <w:noProof/>
        </w:rPr>
        <w:fldChar w:fldCharType="separate"/>
      </w:r>
      <w:r w:rsidR="00380099">
        <w:rPr>
          <w:b w:val="0"/>
          <w:noProof/>
        </w:rPr>
        <w:t>Error! Bookmark not defined.</w:t>
      </w:r>
      <w:r>
        <w:rPr>
          <w:noProof/>
        </w:rPr>
        <w:fldChar w:fldCharType="end"/>
      </w:r>
    </w:p>
    <w:p w14:paraId="7F891C2C" w14:textId="77777777" w:rsidR="00BC738F" w:rsidRDefault="00BC738F">
      <w:pPr>
        <w:pStyle w:val="TOC1"/>
        <w:tabs>
          <w:tab w:val="left" w:pos="370"/>
          <w:tab w:val="right" w:leader="dot" w:pos="8630"/>
        </w:tabs>
        <w:rPr>
          <w:b w:val="0"/>
          <w:caps w:val="0"/>
          <w:noProof/>
          <w:sz w:val="24"/>
          <w:szCs w:val="24"/>
          <w:u w:val="none"/>
          <w:lang w:eastAsia="ja-JP"/>
        </w:rPr>
      </w:pPr>
      <w:r>
        <w:rPr>
          <w:noProof/>
        </w:rPr>
        <w:t>3</w:t>
      </w:r>
      <w:r>
        <w:rPr>
          <w:b w:val="0"/>
          <w:caps w:val="0"/>
          <w:noProof/>
          <w:sz w:val="24"/>
          <w:szCs w:val="24"/>
          <w:u w:val="none"/>
          <w:lang w:eastAsia="ja-JP"/>
        </w:rPr>
        <w:tab/>
      </w:r>
      <w:r>
        <w:rPr>
          <w:noProof/>
        </w:rPr>
        <w:t>CRLs and “Expiration”</w:t>
      </w:r>
      <w:r>
        <w:rPr>
          <w:noProof/>
        </w:rPr>
        <w:tab/>
      </w:r>
      <w:r>
        <w:rPr>
          <w:noProof/>
        </w:rPr>
        <w:fldChar w:fldCharType="begin"/>
      </w:r>
      <w:r>
        <w:rPr>
          <w:noProof/>
        </w:rPr>
        <w:instrText xml:space="preserve"> PAGEREF _Toc192748393 \h </w:instrText>
      </w:r>
      <w:r>
        <w:rPr>
          <w:noProof/>
        </w:rPr>
      </w:r>
      <w:r>
        <w:rPr>
          <w:noProof/>
        </w:rPr>
        <w:fldChar w:fldCharType="separate"/>
      </w:r>
      <w:r w:rsidR="00380099">
        <w:rPr>
          <w:noProof/>
        </w:rPr>
        <w:t>1</w:t>
      </w:r>
      <w:r>
        <w:rPr>
          <w:noProof/>
        </w:rPr>
        <w:fldChar w:fldCharType="end"/>
      </w:r>
    </w:p>
    <w:p w14:paraId="4A0AC217" w14:textId="77777777" w:rsidR="00BC738F" w:rsidRDefault="00BC738F">
      <w:pPr>
        <w:pStyle w:val="TOC1"/>
        <w:tabs>
          <w:tab w:val="left" w:pos="370"/>
          <w:tab w:val="right" w:leader="dot" w:pos="8630"/>
        </w:tabs>
        <w:rPr>
          <w:b w:val="0"/>
          <w:caps w:val="0"/>
          <w:noProof/>
          <w:sz w:val="24"/>
          <w:szCs w:val="24"/>
          <w:u w:val="none"/>
          <w:lang w:eastAsia="ja-JP"/>
        </w:rPr>
      </w:pPr>
      <w:r>
        <w:rPr>
          <w:noProof/>
        </w:rPr>
        <w:t>4</w:t>
      </w:r>
      <w:r>
        <w:rPr>
          <w:b w:val="0"/>
          <w:caps w:val="0"/>
          <w:noProof/>
          <w:sz w:val="24"/>
          <w:szCs w:val="24"/>
          <w:u w:val="none"/>
          <w:lang w:eastAsia="ja-JP"/>
        </w:rPr>
        <w:tab/>
      </w:r>
      <w:r>
        <w:rPr>
          <w:noProof/>
        </w:rPr>
        <w:t>Analysis of CRL Lifetime Choice</w:t>
      </w:r>
      <w:r>
        <w:rPr>
          <w:noProof/>
        </w:rPr>
        <w:tab/>
      </w:r>
      <w:r>
        <w:rPr>
          <w:noProof/>
        </w:rPr>
        <w:fldChar w:fldCharType="begin"/>
      </w:r>
      <w:r>
        <w:rPr>
          <w:noProof/>
        </w:rPr>
        <w:instrText xml:space="preserve"> PAGEREF _Toc192748394 \h </w:instrText>
      </w:r>
      <w:r>
        <w:rPr>
          <w:noProof/>
        </w:rPr>
      </w:r>
      <w:r>
        <w:rPr>
          <w:noProof/>
        </w:rPr>
        <w:fldChar w:fldCharType="separate"/>
      </w:r>
      <w:r w:rsidR="00380099">
        <w:rPr>
          <w:noProof/>
        </w:rPr>
        <w:t>3</w:t>
      </w:r>
      <w:r>
        <w:rPr>
          <w:noProof/>
        </w:rPr>
        <w:fldChar w:fldCharType="end"/>
      </w:r>
    </w:p>
    <w:p w14:paraId="19C4BACF" w14:textId="77777777" w:rsidR="00BC738F" w:rsidRDefault="00BC738F">
      <w:pPr>
        <w:pStyle w:val="TOC1"/>
        <w:tabs>
          <w:tab w:val="left" w:pos="370"/>
          <w:tab w:val="right" w:leader="dot" w:pos="8630"/>
        </w:tabs>
        <w:rPr>
          <w:b w:val="0"/>
          <w:caps w:val="0"/>
          <w:noProof/>
          <w:sz w:val="24"/>
          <w:szCs w:val="24"/>
          <w:u w:val="none"/>
          <w:lang w:eastAsia="ja-JP"/>
        </w:rPr>
      </w:pPr>
      <w:r>
        <w:rPr>
          <w:noProof/>
        </w:rPr>
        <w:t>5</w:t>
      </w:r>
      <w:r>
        <w:rPr>
          <w:b w:val="0"/>
          <w:caps w:val="0"/>
          <w:noProof/>
          <w:sz w:val="24"/>
          <w:szCs w:val="24"/>
          <w:u w:val="none"/>
          <w:lang w:eastAsia="ja-JP"/>
        </w:rPr>
        <w:tab/>
      </w:r>
      <w:r>
        <w:rPr>
          <w:noProof/>
        </w:rPr>
        <w:t>A Possible “Soft Failure” Mode</w:t>
      </w:r>
      <w:r>
        <w:rPr>
          <w:noProof/>
        </w:rPr>
        <w:tab/>
      </w:r>
      <w:r>
        <w:rPr>
          <w:noProof/>
        </w:rPr>
        <w:fldChar w:fldCharType="begin"/>
      </w:r>
      <w:r>
        <w:rPr>
          <w:noProof/>
        </w:rPr>
        <w:instrText xml:space="preserve"> PAGEREF _Toc192748395 \h </w:instrText>
      </w:r>
      <w:r>
        <w:rPr>
          <w:noProof/>
        </w:rPr>
      </w:r>
      <w:r>
        <w:rPr>
          <w:noProof/>
        </w:rPr>
        <w:fldChar w:fldCharType="separate"/>
      </w:r>
      <w:r w:rsidR="00380099">
        <w:rPr>
          <w:noProof/>
        </w:rPr>
        <w:t>3</w:t>
      </w:r>
      <w:r>
        <w:rPr>
          <w:noProof/>
        </w:rPr>
        <w:fldChar w:fldCharType="end"/>
      </w:r>
    </w:p>
    <w:p w14:paraId="2B3F517F" w14:textId="77777777" w:rsidR="00BC738F" w:rsidRDefault="00BC738F">
      <w:pPr>
        <w:pStyle w:val="TOC1"/>
        <w:tabs>
          <w:tab w:val="left" w:pos="370"/>
          <w:tab w:val="right" w:leader="dot" w:pos="8630"/>
        </w:tabs>
        <w:rPr>
          <w:b w:val="0"/>
          <w:caps w:val="0"/>
          <w:noProof/>
          <w:sz w:val="24"/>
          <w:szCs w:val="24"/>
          <w:u w:val="none"/>
          <w:lang w:eastAsia="ja-JP"/>
        </w:rPr>
      </w:pPr>
      <w:r>
        <w:rPr>
          <w:noProof/>
        </w:rPr>
        <w:t>6</w:t>
      </w:r>
      <w:r>
        <w:rPr>
          <w:b w:val="0"/>
          <w:caps w:val="0"/>
          <w:noProof/>
          <w:sz w:val="24"/>
          <w:szCs w:val="24"/>
          <w:u w:val="none"/>
          <w:lang w:eastAsia="ja-JP"/>
        </w:rPr>
        <w:tab/>
      </w:r>
      <w:r>
        <w:rPr>
          <w:noProof/>
        </w:rPr>
        <w:t>Conclusions and Recommendations</w:t>
      </w:r>
      <w:r>
        <w:rPr>
          <w:noProof/>
        </w:rPr>
        <w:tab/>
      </w:r>
      <w:r>
        <w:rPr>
          <w:noProof/>
        </w:rPr>
        <w:fldChar w:fldCharType="begin"/>
      </w:r>
      <w:r>
        <w:rPr>
          <w:noProof/>
        </w:rPr>
        <w:instrText xml:space="preserve"> PAGEREF _Toc192748396 \h </w:instrText>
      </w:r>
      <w:r>
        <w:rPr>
          <w:noProof/>
        </w:rPr>
      </w:r>
      <w:r>
        <w:rPr>
          <w:noProof/>
        </w:rPr>
        <w:fldChar w:fldCharType="separate"/>
      </w:r>
      <w:r w:rsidR="00380099">
        <w:rPr>
          <w:noProof/>
        </w:rPr>
        <w:t>3</w:t>
      </w:r>
      <w:r>
        <w:rPr>
          <w:noProof/>
        </w:rPr>
        <w:fldChar w:fldCharType="end"/>
      </w:r>
    </w:p>
    <w:p w14:paraId="372634C0" w14:textId="77777777" w:rsidR="00BC738F" w:rsidRDefault="00BC738F">
      <w:pPr>
        <w:pStyle w:val="TOC1"/>
        <w:tabs>
          <w:tab w:val="left" w:pos="370"/>
          <w:tab w:val="right" w:leader="dot" w:pos="8630"/>
        </w:tabs>
        <w:rPr>
          <w:b w:val="0"/>
          <w:caps w:val="0"/>
          <w:noProof/>
          <w:sz w:val="24"/>
          <w:szCs w:val="24"/>
          <w:u w:val="none"/>
          <w:lang w:eastAsia="ja-JP"/>
        </w:rPr>
      </w:pPr>
      <w:r>
        <w:rPr>
          <w:noProof/>
        </w:rPr>
        <w:t>7</w:t>
      </w:r>
      <w:r>
        <w:rPr>
          <w:b w:val="0"/>
          <w:caps w:val="0"/>
          <w:noProof/>
          <w:sz w:val="24"/>
          <w:szCs w:val="24"/>
          <w:u w:val="none"/>
          <w:lang w:eastAsia="ja-JP"/>
        </w:rPr>
        <w:tab/>
      </w:r>
      <w:r>
        <w:rPr>
          <w:noProof/>
        </w:rPr>
        <w:t>References</w:t>
      </w:r>
      <w:r>
        <w:rPr>
          <w:noProof/>
        </w:rPr>
        <w:tab/>
      </w:r>
      <w:r>
        <w:rPr>
          <w:noProof/>
        </w:rPr>
        <w:fldChar w:fldCharType="begin"/>
      </w:r>
      <w:r>
        <w:rPr>
          <w:noProof/>
        </w:rPr>
        <w:instrText xml:space="preserve"> PAGEREF _Toc192748397 \h </w:instrText>
      </w:r>
      <w:r>
        <w:rPr>
          <w:noProof/>
        </w:rPr>
      </w:r>
      <w:r>
        <w:rPr>
          <w:noProof/>
        </w:rPr>
        <w:fldChar w:fldCharType="separate"/>
      </w:r>
      <w:r w:rsidR="00380099">
        <w:rPr>
          <w:noProof/>
        </w:rPr>
        <w:t>4</w:t>
      </w:r>
      <w:r>
        <w:rPr>
          <w:noProof/>
        </w:rPr>
        <w:fldChar w:fldCharType="end"/>
      </w:r>
    </w:p>
    <w:p w14:paraId="4FC28BC1" w14:textId="77777777" w:rsidR="00BC738F" w:rsidRDefault="00BC738F">
      <w:pPr>
        <w:pStyle w:val="TOC1"/>
        <w:tabs>
          <w:tab w:val="left" w:pos="1490"/>
          <w:tab w:val="right" w:leader="dot" w:pos="8630"/>
        </w:tabs>
        <w:rPr>
          <w:b w:val="0"/>
          <w:caps w:val="0"/>
          <w:noProof/>
          <w:sz w:val="24"/>
          <w:szCs w:val="24"/>
          <w:u w:val="none"/>
          <w:lang w:eastAsia="ja-JP"/>
        </w:rPr>
      </w:pPr>
      <w:r>
        <w:rPr>
          <w:noProof/>
        </w:rPr>
        <w:t>Appendix A</w:t>
      </w:r>
      <w:r>
        <w:rPr>
          <w:b w:val="0"/>
          <w:caps w:val="0"/>
          <w:noProof/>
          <w:sz w:val="24"/>
          <w:szCs w:val="24"/>
          <w:u w:val="none"/>
          <w:lang w:eastAsia="ja-JP"/>
        </w:rPr>
        <w:tab/>
      </w:r>
      <w:r>
        <w:rPr>
          <w:noProof/>
        </w:rPr>
        <w:t>CRL Alternatives</w:t>
      </w:r>
      <w:r>
        <w:rPr>
          <w:noProof/>
        </w:rPr>
        <w:tab/>
      </w:r>
      <w:r>
        <w:rPr>
          <w:noProof/>
        </w:rPr>
        <w:fldChar w:fldCharType="begin"/>
      </w:r>
      <w:r>
        <w:rPr>
          <w:noProof/>
        </w:rPr>
        <w:instrText xml:space="preserve"> PAGEREF _Toc192748398 \h </w:instrText>
      </w:r>
      <w:r>
        <w:rPr>
          <w:noProof/>
        </w:rPr>
      </w:r>
      <w:r>
        <w:rPr>
          <w:noProof/>
        </w:rPr>
        <w:fldChar w:fldCharType="separate"/>
      </w:r>
      <w:r w:rsidR="00380099">
        <w:rPr>
          <w:noProof/>
        </w:rPr>
        <w:t>5</w:t>
      </w:r>
      <w:r>
        <w:rPr>
          <w:noProof/>
        </w:rPr>
        <w:fldChar w:fldCharType="end"/>
      </w:r>
    </w:p>
    <w:p w14:paraId="75785B6E" w14:textId="77777777" w:rsidR="00BC738F" w:rsidRDefault="00BC738F">
      <w:pPr>
        <w:pStyle w:val="TOC1"/>
        <w:tabs>
          <w:tab w:val="left" w:pos="1490"/>
          <w:tab w:val="right" w:leader="dot" w:pos="8630"/>
        </w:tabs>
        <w:rPr>
          <w:b w:val="0"/>
          <w:caps w:val="0"/>
          <w:noProof/>
          <w:sz w:val="24"/>
          <w:szCs w:val="24"/>
          <w:u w:val="none"/>
          <w:lang w:eastAsia="ja-JP"/>
        </w:rPr>
      </w:pPr>
      <w:r>
        <w:rPr>
          <w:noProof/>
        </w:rPr>
        <w:t>Appendix B</w:t>
      </w:r>
      <w:r>
        <w:rPr>
          <w:b w:val="0"/>
          <w:caps w:val="0"/>
          <w:noProof/>
          <w:sz w:val="24"/>
          <w:szCs w:val="24"/>
          <w:u w:val="none"/>
          <w:lang w:eastAsia="ja-JP"/>
        </w:rPr>
        <w:tab/>
      </w:r>
      <w:r>
        <w:rPr>
          <w:noProof/>
        </w:rPr>
        <w:t>Some detailed text…</w:t>
      </w:r>
      <w:r>
        <w:rPr>
          <w:noProof/>
        </w:rPr>
        <w:tab/>
      </w:r>
      <w:r>
        <w:rPr>
          <w:noProof/>
        </w:rPr>
        <w:fldChar w:fldCharType="begin"/>
      </w:r>
      <w:r>
        <w:rPr>
          <w:noProof/>
        </w:rPr>
        <w:instrText xml:space="preserve"> PAGEREF _Toc192748399 \h </w:instrText>
      </w:r>
      <w:r>
        <w:rPr>
          <w:noProof/>
        </w:rPr>
      </w:r>
      <w:r>
        <w:rPr>
          <w:noProof/>
        </w:rPr>
        <w:fldChar w:fldCharType="separate"/>
      </w:r>
      <w:r w:rsidR="00380099">
        <w:rPr>
          <w:noProof/>
        </w:rPr>
        <w:t>6</w:t>
      </w:r>
      <w:r>
        <w:rPr>
          <w:noProof/>
        </w:rPr>
        <w:fldChar w:fldCharType="end"/>
      </w:r>
    </w:p>
    <w:p w14:paraId="18C3AE45" w14:textId="475246A6" w:rsidR="00616943" w:rsidRDefault="00D57868" w:rsidP="00616943">
      <w:pPr>
        <w:jc w:val="center"/>
      </w:pPr>
      <w:r>
        <w:fldChar w:fldCharType="end"/>
      </w:r>
    </w:p>
    <w:p w14:paraId="260154C6" w14:textId="77777777" w:rsidR="00616943" w:rsidRDefault="00616943" w:rsidP="00616943">
      <w:pPr>
        <w:jc w:val="center"/>
      </w:pPr>
    </w:p>
    <w:p w14:paraId="2370354E" w14:textId="77777777" w:rsidR="00812D38" w:rsidRDefault="00812D38" w:rsidP="00D06086">
      <w:pPr>
        <w:pStyle w:val="Heading1"/>
        <w:sectPr w:rsidR="00812D38" w:rsidSect="00136F82">
          <w:headerReference w:type="default" r:id="rId9"/>
          <w:footerReference w:type="default" r:id="rId10"/>
          <w:pgSz w:w="12240" w:h="15840"/>
          <w:pgMar w:top="1440" w:right="1800" w:bottom="1440" w:left="1800" w:header="720" w:footer="720" w:gutter="0"/>
          <w:cols w:space="720"/>
          <w:docGrid w:linePitch="360"/>
        </w:sectPr>
      </w:pPr>
    </w:p>
    <w:p w14:paraId="04A26B29" w14:textId="20A676B2" w:rsidR="00CF7656" w:rsidRDefault="00616943" w:rsidP="007636ED">
      <w:pPr>
        <w:pStyle w:val="Heading1"/>
      </w:pPr>
      <w:bookmarkStart w:id="0" w:name="_Toc192748391"/>
      <w:r>
        <w:t>Introduction</w:t>
      </w:r>
      <w:bookmarkEnd w:id="0"/>
      <w:r w:rsidR="007636ED">
        <w:t xml:space="preserve"> and Background</w:t>
      </w:r>
    </w:p>
    <w:p w14:paraId="52C131DA" w14:textId="69F209BF" w:rsidR="00D3617C" w:rsidRDefault="00D3617C" w:rsidP="00D3617C">
      <w:pPr>
        <w:pStyle w:val="Heading2"/>
      </w:pPr>
      <w:r>
        <w:t>Certificate Revocation Lists (CRLs)</w:t>
      </w:r>
    </w:p>
    <w:p w14:paraId="1E6E5CBA" w14:textId="4B71454E" w:rsidR="006B63F6" w:rsidRDefault="006B63F6" w:rsidP="009408EA">
      <w:r>
        <w:t>Certificate authorities</w:t>
      </w:r>
      <w:r w:rsidR="006D6FC9">
        <w:t xml:space="preserve"> (CAs)</w:t>
      </w:r>
      <w:r>
        <w:t xml:space="preserve"> issues X.509 certificates </w:t>
      </w:r>
      <w:r w:rsidR="009408EA">
        <w:t xml:space="preserve">(Section 4 of </w:t>
      </w:r>
      <w:r>
        <w:t>[</w:t>
      </w:r>
      <w:r w:rsidR="009408EA">
        <w:fldChar w:fldCharType="begin"/>
      </w:r>
      <w:r w:rsidR="009408EA">
        <w:instrText xml:space="preserve"> REF _Ref192732831 \r \h </w:instrText>
      </w:r>
      <w:r w:rsidR="009408EA">
        <w:fldChar w:fldCharType="separate"/>
      </w:r>
      <w:r w:rsidR="00380099">
        <w:t>1</w:t>
      </w:r>
      <w:r w:rsidR="009408EA">
        <w:fldChar w:fldCharType="end"/>
      </w:r>
      <w:r w:rsidR="009408EA">
        <w:t>])</w:t>
      </w:r>
      <w:r>
        <w:t xml:space="preserve"> (in this document, simply “certificates”) that serve to </w:t>
      </w:r>
      <w:r w:rsidR="00651D66">
        <w:t>authenticate</w:t>
      </w:r>
      <w:r>
        <w:t xml:space="preserve"> (provide and prove a </w:t>
      </w:r>
      <w:r w:rsidR="00651D66">
        <w:t>identity</w:t>
      </w:r>
      <w:r>
        <w:t xml:space="preserve">) entities to other entities. In this document, we will refer to entities using a certificate to authenticate as </w:t>
      </w:r>
      <w:r>
        <w:rPr>
          <w:i/>
        </w:rPr>
        <w:t xml:space="preserve">end </w:t>
      </w:r>
      <w:r w:rsidRPr="006B63F6">
        <w:t>entities</w:t>
      </w:r>
      <w:r>
        <w:t xml:space="preserve"> and e</w:t>
      </w:r>
      <w:r w:rsidRPr="006B63F6">
        <w:t>ntities</w:t>
      </w:r>
      <w:r>
        <w:t xml:space="preserve"> accepting certificates for authentication are know as </w:t>
      </w:r>
      <w:r>
        <w:rPr>
          <w:i/>
        </w:rPr>
        <w:t>relying parties</w:t>
      </w:r>
      <w:r>
        <w:t xml:space="preserve">. </w:t>
      </w:r>
    </w:p>
    <w:p w14:paraId="73AC5C31" w14:textId="1F75CDFE" w:rsidR="006B63F6" w:rsidRDefault="006D6FC9" w:rsidP="006B63F6">
      <w:r>
        <w:t xml:space="preserve">CAs, during the course of operation, </w:t>
      </w:r>
      <w:proofErr w:type="gramStart"/>
      <w:r w:rsidRPr="006D6FC9">
        <w:rPr>
          <w:i/>
        </w:rPr>
        <w:t>revoke</w:t>
      </w:r>
      <w:proofErr w:type="gramEnd"/>
      <w:r>
        <w:t xml:space="preserve"> certificate</w:t>
      </w:r>
      <w:r w:rsidR="005F37CA">
        <w:t>s</w:t>
      </w:r>
      <w:r>
        <w:t xml:space="preserve"> from time-to-time, that is, indicate to relying parties that a particular certificate is no longer valid and not to be trusted. Revocations can come about from normal management processes (e.g., since certi</w:t>
      </w:r>
      <w:r w:rsidR="005F37CA">
        <w:t>ficate are immutable once issued</w:t>
      </w:r>
      <w:r>
        <w:t>, a change in entity contact information typically results in a new certificate being issued and the old one being revoked)</w:t>
      </w:r>
      <w:r w:rsidR="005F37CA">
        <w:t>, but can also occur in the event of a cybersecurity incident (e.g., a the cryptographic private key associated with a certificate is revealed to a party besides its legitimate owner), in which case revocation occurs to prevent misuse of the certificate.</w:t>
      </w:r>
    </w:p>
    <w:p w14:paraId="056C4585" w14:textId="49EDAC8E" w:rsidR="005F37CA" w:rsidRDefault="00E019A5" w:rsidP="006B63F6">
      <w:r>
        <w:t>The process of revocation can take several forms. This document focuses o</w:t>
      </w:r>
      <w:r w:rsidR="00C43521">
        <w:t xml:space="preserve">n certificate revocation lists (CRLs) (see </w:t>
      </w:r>
      <w:r>
        <w:t xml:space="preserve">Section 5 of </w:t>
      </w:r>
      <w:r w:rsidR="00C43521">
        <w:t>[</w:t>
      </w:r>
      <w:r>
        <w:fldChar w:fldCharType="begin"/>
      </w:r>
      <w:r>
        <w:instrText xml:space="preserve"> REF _Ref192732831 \r \h </w:instrText>
      </w:r>
      <w:r>
        <w:fldChar w:fldCharType="separate"/>
      </w:r>
      <w:r w:rsidR="00380099">
        <w:t>1</w:t>
      </w:r>
      <w:r>
        <w:fldChar w:fldCharType="end"/>
      </w:r>
      <w:r>
        <w:t>])</w:t>
      </w:r>
      <w:r w:rsidR="00C43521">
        <w:t xml:space="preserve"> with some alternatives described in</w:t>
      </w:r>
      <w:r w:rsidR="00347EA7">
        <w:t xml:space="preserve"> </w:t>
      </w:r>
      <w:r w:rsidR="00347EA7">
        <w:fldChar w:fldCharType="begin"/>
      </w:r>
      <w:r w:rsidR="00347EA7">
        <w:instrText xml:space="preserve"> REF _Ref192748023 \r \h </w:instrText>
      </w:r>
      <w:r w:rsidR="00347EA7">
        <w:fldChar w:fldCharType="separate"/>
      </w:r>
      <w:r w:rsidR="00380099">
        <w:t>5Appendix A</w:t>
      </w:r>
      <w:r w:rsidR="00347EA7">
        <w:fldChar w:fldCharType="end"/>
      </w:r>
      <w:r w:rsidR="00C43521">
        <w:t>.</w:t>
      </w:r>
    </w:p>
    <w:p w14:paraId="60D73CF3" w14:textId="6E6F5102" w:rsidR="00C43521" w:rsidRDefault="00C43521" w:rsidP="006B63F6">
      <w:r>
        <w:t>CRLs are created and published by CA</w:t>
      </w:r>
      <w:r w:rsidR="0072254D">
        <w:t>s</w:t>
      </w:r>
      <w:r w:rsidR="0018089E">
        <w:rPr>
          <w:rStyle w:val="FootnoteReference"/>
        </w:rPr>
        <w:footnoteReference w:id="1"/>
      </w:r>
      <w:r>
        <w:t xml:space="preserve"> on a regular basis. Put simply, a CRL lists all the certificates that should be considered revoked. Relying parties regularly obtain the latest CRL</w:t>
      </w:r>
      <w:r w:rsidR="004B1BE8">
        <w:t>s from CAs they trust to issue certificates.</w:t>
      </w:r>
      <w:r>
        <w:t xml:space="preserve"> </w:t>
      </w:r>
      <w:r w:rsidR="004B1BE8">
        <w:t>W</w:t>
      </w:r>
      <w:r>
        <w:t xml:space="preserve">hen </w:t>
      </w:r>
      <w:r w:rsidR="004B1BE8">
        <w:t>a relying party validates</w:t>
      </w:r>
      <w:r>
        <w:t xml:space="preserve"> a certificate, </w:t>
      </w:r>
      <w:r w:rsidR="004B1BE8">
        <w:t>it verifies</w:t>
      </w:r>
      <w:r>
        <w:t xml:space="preserve"> </w:t>
      </w:r>
      <w:r w:rsidR="004B1BE8">
        <w:t>the certificate</w:t>
      </w:r>
      <w:r>
        <w:t xml:space="preserve"> does not appear in the </w:t>
      </w:r>
      <w:r w:rsidR="004B1BE8">
        <w:t xml:space="preserve">appropriate </w:t>
      </w:r>
      <w:r>
        <w:t>CRL</w:t>
      </w:r>
      <w:r w:rsidR="00004AD1">
        <w:t>;</w:t>
      </w:r>
      <w:r>
        <w:t xml:space="preserve"> if </w:t>
      </w:r>
      <w:r w:rsidR="00004AD1">
        <w:t xml:space="preserve">a certificate </w:t>
      </w:r>
      <w:r w:rsidR="004B1BE8">
        <w:t>does appears in the</w:t>
      </w:r>
      <w:r w:rsidR="00004AD1">
        <w:t xml:space="preserve"> CRL</w:t>
      </w:r>
      <w:r>
        <w:t xml:space="preserve">, </w:t>
      </w:r>
      <w:r w:rsidR="0018089E">
        <w:t>a re</w:t>
      </w:r>
      <w:r w:rsidR="004B1BE8">
        <w:t>lying party should not accept the certificate</w:t>
      </w:r>
      <w:r w:rsidR="00004AD1">
        <w:t>.</w:t>
      </w:r>
    </w:p>
    <w:p w14:paraId="4A29C65C" w14:textId="2069CE17" w:rsidR="0072254D" w:rsidRDefault="0072254D" w:rsidP="00D3617C">
      <w:pPr>
        <w:pStyle w:val="Heading2"/>
      </w:pPr>
      <w:bookmarkStart w:id="1" w:name="_Toc192748393"/>
      <w:r>
        <w:t xml:space="preserve">CRLs </w:t>
      </w:r>
      <w:r w:rsidR="00D3617C">
        <w:t xml:space="preserve">Lifetime and </w:t>
      </w:r>
      <w:r>
        <w:t>Expiration</w:t>
      </w:r>
      <w:bookmarkEnd w:id="1"/>
    </w:p>
    <w:p w14:paraId="174C8C61" w14:textId="00603B38" w:rsidR="0072254D" w:rsidRPr="00442094" w:rsidRDefault="0072254D" w:rsidP="006B63F6">
      <w:r>
        <w:t xml:space="preserve">CRLs have a </w:t>
      </w:r>
      <w:r>
        <w:rPr>
          <w:i/>
        </w:rPr>
        <w:t>nextUpdate</w:t>
      </w:r>
      <w:r>
        <w:t xml:space="preserve"> field that indicates the time by which the </w:t>
      </w:r>
      <w:r w:rsidR="007752BF">
        <w:t>subsequent</w:t>
      </w:r>
      <w:r>
        <w:t xml:space="preserve"> CRL should be </w:t>
      </w:r>
      <w:r w:rsidR="007752BF">
        <w:t>published</w:t>
      </w:r>
      <w:r>
        <w:t xml:space="preserve">. </w:t>
      </w:r>
      <w:r w:rsidR="00442094">
        <w:t>T</w:t>
      </w:r>
      <w:r>
        <w:t xml:space="preserve">he semantics of this field are not well defined, </w:t>
      </w:r>
      <w:r w:rsidR="00505EAC">
        <w:t xml:space="preserve">but </w:t>
      </w:r>
      <w:r w:rsidR="00442094">
        <w:t>this document</w:t>
      </w:r>
      <w:r w:rsidR="00505EAC">
        <w:t xml:space="preserve"> will refer to a CRL whose </w:t>
      </w:r>
      <w:r>
        <w:t>nextUpdate time</w:t>
      </w:r>
      <w:r w:rsidR="00505EAC">
        <w:t xml:space="preserve"> has past as </w:t>
      </w:r>
      <w:r>
        <w:t xml:space="preserve">being </w:t>
      </w:r>
      <w:r>
        <w:rPr>
          <w:i/>
        </w:rPr>
        <w:t>expire</w:t>
      </w:r>
      <w:r w:rsidR="00442094">
        <w:rPr>
          <w:i/>
        </w:rPr>
        <w:t>d</w:t>
      </w:r>
      <w:r w:rsidR="00442094">
        <w:t xml:space="preserve">. The document will refer to the timespan from the issuance of a CRL until the nextUpdate time as the </w:t>
      </w:r>
      <w:r w:rsidR="00442094">
        <w:rPr>
          <w:i/>
        </w:rPr>
        <w:t>CRL lifetime</w:t>
      </w:r>
      <w:r w:rsidR="00442094">
        <w:t>.</w:t>
      </w:r>
    </w:p>
    <w:p w14:paraId="59BD9BBD" w14:textId="6F08F522" w:rsidR="00505EAC" w:rsidRDefault="00505EAC" w:rsidP="006B63F6">
      <w:r>
        <w:t xml:space="preserve">When a relying party has, due to some failure in </w:t>
      </w:r>
      <w:r w:rsidR="00762A28">
        <w:t>the</w:t>
      </w:r>
      <w:r>
        <w:t xml:space="preserve"> </w:t>
      </w:r>
      <w:r w:rsidR="00762A28">
        <w:t>CRL distribution process</w:t>
      </w:r>
      <w:r>
        <w:t>, an expired CRL, it faces a choice in how to behave: it can continuing business as normal using the expired CRL</w:t>
      </w:r>
      <w:r w:rsidR="000F6D46">
        <w:t>, accepting the risk there may be revoked certificates of which it is unaware</w:t>
      </w:r>
      <w:r>
        <w:t xml:space="preserve">, or it can enter a failure state, with all authentication failing, which </w:t>
      </w:r>
      <w:r w:rsidR="00B6621D">
        <w:t>often</w:t>
      </w:r>
      <w:r>
        <w:t xml:space="preserve"> means ceasi</w:t>
      </w:r>
      <w:r w:rsidR="00B6621D">
        <w:t>ng operations for all practical purposes</w:t>
      </w:r>
      <w:r>
        <w:t xml:space="preserve">. Most software in the computational grid domain currently chooses the latter behavior, failing when </w:t>
      </w:r>
      <w:r w:rsidR="000F6D46">
        <w:t>an expired CRL is encountered</w:t>
      </w:r>
      <w:r>
        <w:t xml:space="preserve">. </w:t>
      </w:r>
    </w:p>
    <w:p w14:paraId="0CCEA848" w14:textId="4E454E52" w:rsidR="00505EAC" w:rsidRDefault="00505EAC" w:rsidP="006B63F6">
      <w:r>
        <w:t xml:space="preserve">The choice to continue operation would seem to </w:t>
      </w:r>
      <w:r w:rsidR="0001791C">
        <w:t>reduce risk to availability</w:t>
      </w:r>
      <w:r>
        <w:t xml:space="preserve">, since </w:t>
      </w:r>
      <w:r w:rsidR="00F541F1">
        <w:t>a failure in the distribution of a CRL will not cause a problem for all the unrevoked certificates that should not be impacted.</w:t>
      </w:r>
    </w:p>
    <w:p w14:paraId="0CCEA848" w14:textId="4E454E52" w:rsidR="00F541F1" w:rsidRDefault="00F541F1" w:rsidP="006B63F6">
      <w:r>
        <w:t xml:space="preserve">The </w:t>
      </w:r>
      <w:r w:rsidR="0001791C">
        <w:t>risk</w:t>
      </w:r>
      <w:r>
        <w:t xml:space="preserve"> the failure mode addresses is as follows:</w:t>
      </w:r>
    </w:p>
    <w:p w14:paraId="673034D1" w14:textId="25131800" w:rsidR="00F541F1" w:rsidRDefault="00F541F1" w:rsidP="00F541F1">
      <w:pPr>
        <w:pStyle w:val="ListParagraph"/>
        <w:numPr>
          <w:ilvl w:val="0"/>
          <w:numId w:val="13"/>
        </w:numPr>
      </w:pPr>
      <w:r>
        <w:t>An attacker has obtained a certificate</w:t>
      </w:r>
      <w:r w:rsidR="006E4210">
        <w:t xml:space="preserve"> (and associated private key material)</w:t>
      </w:r>
      <w:r>
        <w:t xml:space="preserve"> through some </w:t>
      </w:r>
      <w:r w:rsidR="00591E4A">
        <w:t xml:space="preserve">unauthorized </w:t>
      </w:r>
      <w:r>
        <w:t>means.</w:t>
      </w:r>
    </w:p>
    <w:p w14:paraId="3E591DC0" w14:textId="71373422" w:rsidR="00F541F1" w:rsidRDefault="00F541F1" w:rsidP="00F541F1">
      <w:pPr>
        <w:pStyle w:val="ListParagraph"/>
        <w:numPr>
          <w:ilvl w:val="0"/>
          <w:numId w:val="13"/>
        </w:numPr>
      </w:pPr>
      <w:r>
        <w:t>The fact that the attacker has obtained the certificate has been detecte</w:t>
      </w:r>
      <w:r w:rsidR="006E4210">
        <w:t>d and the appropriate CA revokes</w:t>
      </w:r>
      <w:r>
        <w:t xml:space="preserve"> the certificate by issuing a CRL containing the certificate.</w:t>
      </w:r>
    </w:p>
    <w:p w14:paraId="623B09CC" w14:textId="778BA747" w:rsidR="00F541F1" w:rsidRDefault="00F541F1" w:rsidP="00F541F1">
      <w:pPr>
        <w:pStyle w:val="ListParagraph"/>
        <w:numPr>
          <w:ilvl w:val="0"/>
          <w:numId w:val="13"/>
        </w:numPr>
      </w:pPr>
      <w:r>
        <w:t xml:space="preserve">However, the attacker, to keep using the certificate somehow blocks the </w:t>
      </w:r>
      <w:r w:rsidR="006E4210">
        <w:t xml:space="preserve">CRL distribution </w:t>
      </w:r>
      <w:r>
        <w:t xml:space="preserve">process (either globally or just to a subset of relying parties, perhaps just one), so that relying parties will still be using an old CRL that doesn’t contain the </w:t>
      </w:r>
      <w:r w:rsidR="006E4210">
        <w:t xml:space="preserve">revoked </w:t>
      </w:r>
      <w:r>
        <w:t>certificate.</w:t>
      </w:r>
    </w:p>
    <w:p w14:paraId="0186C65A" w14:textId="439D3CF0" w:rsidR="00F541F1" w:rsidRDefault="00F541F1" w:rsidP="00F541F1">
      <w:pPr>
        <w:pStyle w:val="ListParagraph"/>
        <w:numPr>
          <w:ilvl w:val="0"/>
          <w:numId w:val="13"/>
        </w:numPr>
      </w:pPr>
      <w:r>
        <w:t xml:space="preserve">The attacker can use the certificate until either the distribution of the CRL to relying parties </w:t>
      </w:r>
      <w:r w:rsidR="00591E4A">
        <w:t>is restored</w:t>
      </w:r>
      <w:r w:rsidR="006E4210">
        <w:t>,</w:t>
      </w:r>
      <w:r>
        <w:t xml:space="preserve"> or the certificate expires through its normal expiration mechanism.</w:t>
      </w:r>
    </w:p>
    <w:p w14:paraId="15E477FA" w14:textId="08A43D6B" w:rsidR="00E57E99" w:rsidRDefault="00E57E99" w:rsidP="006B63F6">
      <w:r>
        <w:t xml:space="preserve">By having CRLs expire and cause a failure mode, this </w:t>
      </w:r>
      <w:r w:rsidR="00D82F17">
        <w:t>mitigates the risk from a compromised certificate by bounding</w:t>
      </w:r>
      <w:r>
        <w:t xml:space="preserve"> the amount of time an attacker can use a certificate when the CRL distribution fails</w:t>
      </w:r>
      <w:r>
        <w:rPr>
          <w:rStyle w:val="FootnoteReference"/>
        </w:rPr>
        <w:footnoteReference w:id="2"/>
      </w:r>
      <w:r>
        <w:t>.</w:t>
      </w:r>
    </w:p>
    <w:p w14:paraId="7A473EB2" w14:textId="5FDB9F1D" w:rsidR="0072254D" w:rsidRDefault="00E57E99" w:rsidP="006B63F6">
      <w:r>
        <w:t>The trade-off for this mitigation is that any failure in CRL distribution due to non-malicious means</w:t>
      </w:r>
      <w:r w:rsidR="00442094">
        <w:t xml:space="preserve"> causes an operational failure if not addressed before the CRL expires.</w:t>
      </w:r>
    </w:p>
    <w:p w14:paraId="2CF17560" w14:textId="5527A6F5" w:rsidR="00380099" w:rsidRDefault="00380099" w:rsidP="00380099">
      <w:pPr>
        <w:pStyle w:val="Heading2"/>
      </w:pPr>
      <w:r>
        <w:t>Other CRL Attributes</w:t>
      </w:r>
    </w:p>
    <w:p w14:paraId="5F85F35F" w14:textId="3CCED2DB" w:rsidR="004B1BE8" w:rsidRDefault="004B1BE8" w:rsidP="006B63F6">
      <w:r>
        <w:t xml:space="preserve">Two </w:t>
      </w:r>
      <w:r w:rsidR="00380099">
        <w:t xml:space="preserve">other </w:t>
      </w:r>
      <w:r>
        <w:t xml:space="preserve">technical points </w:t>
      </w:r>
      <w:r w:rsidR="00380099">
        <w:t>regarding CRLs that are germane to this document:</w:t>
      </w:r>
      <w:bookmarkStart w:id="2" w:name="_GoBack"/>
      <w:bookmarkEnd w:id="2"/>
    </w:p>
    <w:p w14:paraId="5243AC06" w14:textId="77777777" w:rsidR="0090017D" w:rsidRDefault="004B1BE8" w:rsidP="0090017D">
      <w:pPr>
        <w:pStyle w:val="ListParagraph"/>
        <w:numPr>
          <w:ilvl w:val="0"/>
          <w:numId w:val="22"/>
        </w:numPr>
      </w:pPr>
      <w:r>
        <w:t>T</w:t>
      </w:r>
      <w:r w:rsidR="002405D9">
        <w:t xml:space="preserve">he absence of a CRL is not treated as a failure, but as an administrative decision not to do revocation (at least in the computational grid domain). Hence, the absence of a CRL does not cause the same failure mode as an expired CRL, so a typical remediation for failing to have a non-expired CRL is for an administrator to remove the expired CRL, essentially changing </w:t>
      </w:r>
      <w:r w:rsidR="00C96963">
        <w:t xml:space="preserve">a service </w:t>
      </w:r>
      <w:r w:rsidR="002405D9">
        <w:t>to the non-failure mode.</w:t>
      </w:r>
    </w:p>
    <w:p w14:paraId="2AF06106" w14:textId="2D288668" w:rsidR="004B1BE8" w:rsidRPr="0072254D" w:rsidRDefault="004B1BE8" w:rsidP="006B63F6">
      <w:pPr>
        <w:pStyle w:val="ListParagraph"/>
        <w:numPr>
          <w:ilvl w:val="0"/>
          <w:numId w:val="22"/>
        </w:numPr>
      </w:pPr>
      <w:r>
        <w:t xml:space="preserve">CAs digitally CRLs when they create them. When a relying party checks a CRL, it verifies this signature. In practice this means a CRL cannot be created </w:t>
      </w:r>
      <w:r w:rsidR="0090017D">
        <w:t xml:space="preserve">or modified </w:t>
      </w:r>
      <w:r>
        <w:t>by any other party and must be obtained from the CA</w:t>
      </w:r>
      <w:r w:rsidR="00FB7F50">
        <w:t>.</w:t>
      </w:r>
    </w:p>
    <w:p w14:paraId="17FF1D81" w14:textId="306FA596" w:rsidR="00CF7656" w:rsidRDefault="00105267" w:rsidP="00C2340B">
      <w:pPr>
        <w:pStyle w:val="Heading1"/>
      </w:pPr>
      <w:bookmarkStart w:id="3" w:name="_Toc192748394"/>
      <w:r>
        <w:t>Analysis of CRL Lifetime Choice</w:t>
      </w:r>
      <w:bookmarkEnd w:id="3"/>
      <w:r w:rsidR="00DA5C57">
        <w:t xml:space="preserve"> in Failure Mode</w:t>
      </w:r>
    </w:p>
    <w:p w14:paraId="00371CA0" w14:textId="4AF8B006" w:rsidR="00105267" w:rsidRDefault="00105267" w:rsidP="00105267">
      <w:r>
        <w:t xml:space="preserve">We turn now to an analysis of the choice of CRL lifetime </w:t>
      </w:r>
      <w:r w:rsidR="00CF0A0F">
        <w:t xml:space="preserve">(made by the CA), </w:t>
      </w:r>
      <w:r>
        <w:t>assuming relying parties are using CRLs and operating in a mode where they fail if only an expired CRL is available.</w:t>
      </w:r>
    </w:p>
    <w:p w14:paraId="6A3494CC" w14:textId="66E47F97" w:rsidR="000A2FA4" w:rsidRDefault="000A2FA4" w:rsidP="00105267">
      <w:r>
        <w:t>At high level, the CRL lifetime represents a trade-off in mitigating the threat of a stolen credential in combination with failed CRL distribution</w:t>
      </w:r>
      <w:r w:rsidR="00D55F40">
        <w:t xml:space="preserve"> by bounding the time that credential can be used</w:t>
      </w:r>
      <w:r>
        <w:t xml:space="preserve">, versus a risk to operational availability in that errors in CRL distribution </w:t>
      </w:r>
      <w:r w:rsidR="00324009">
        <w:t>can</w:t>
      </w:r>
      <w:r>
        <w:t xml:space="preserve"> cause services to effectively fail.</w:t>
      </w:r>
    </w:p>
    <w:p w14:paraId="6A34883B" w14:textId="1EB5CADE" w:rsidR="000A2FA4" w:rsidRDefault="000A2FA4" w:rsidP="00105267">
      <w:r>
        <w:t>At one extreme, the CRL exceeds the lifetime of issued certificates, it adds no benefit, since a certificate acquired by an attack will expire before the CRL does. For standard certificates with lifetimes measured in years, it also seems to add little risk since the risk of CRL distribution being broken for so long seems unlikely.</w:t>
      </w:r>
    </w:p>
    <w:p w14:paraId="3F3460B8" w14:textId="05795700" w:rsidR="000A2FA4" w:rsidRDefault="000A2FA4" w:rsidP="00105267">
      <w:r>
        <w:t xml:space="preserve">At the other extreme, as CRL lifetime approaches zero, we have in effect OCSP (described in </w:t>
      </w:r>
      <w:r w:rsidR="00C02107">
        <w:fldChar w:fldCharType="begin"/>
      </w:r>
      <w:r w:rsidR="00C02107">
        <w:instrText xml:space="preserve"> REF _Ref192748023 \r \h </w:instrText>
      </w:r>
      <w:r w:rsidR="00C02107">
        <w:fldChar w:fldCharType="separate"/>
      </w:r>
      <w:r w:rsidR="00380099">
        <w:t>5Appendix A</w:t>
      </w:r>
      <w:r w:rsidR="00C02107">
        <w:fldChar w:fldCharType="end"/>
      </w:r>
      <w:r>
        <w:t>) where the relying party makes a network query for every end entity it authenticates and any lack of availability of the CA causes a failure, but the window of misuse of certificate by an attacker is reduced to the minimum possible considering revocation.</w:t>
      </w:r>
    </w:p>
    <w:p w14:paraId="123F1EBF" w14:textId="6AA86BF4" w:rsidR="000A2FA4" w:rsidRPr="00B90CEB" w:rsidRDefault="00B90CEB" w:rsidP="00105267">
      <w:r>
        <w:t>Another data point is 1x10</w:t>
      </w:r>
      <w:r w:rsidRPr="00B90CEB">
        <w:rPr>
          <w:vertAlign w:val="superscript"/>
        </w:rPr>
        <w:t>6</w:t>
      </w:r>
      <w:r w:rsidR="00E24887">
        <w:t xml:space="preserve"> seconds (</w:t>
      </w:r>
      <w:r>
        <w:t>approximately 11.5 days), which is the maximum lifetime of a short-lived certificate as defined by the International Grid Trust Federation [</w:t>
      </w:r>
      <w:r>
        <w:fldChar w:fldCharType="begin"/>
      </w:r>
      <w:r>
        <w:instrText xml:space="preserve"> REF _Ref192746858 \r \h </w:instrText>
      </w:r>
      <w:r>
        <w:fldChar w:fldCharType="separate"/>
      </w:r>
      <w:r w:rsidR="00380099">
        <w:t>2</w:t>
      </w:r>
      <w:r>
        <w:fldChar w:fldCharType="end"/>
      </w:r>
      <w:r>
        <w:t xml:space="preserve">]. This time is significant because much of the community using such certificates consider this maximum to be sufficient to mitigate risk such that </w:t>
      </w:r>
      <w:r w:rsidR="00E24887">
        <w:t>revocation checking</w:t>
      </w:r>
      <w:r>
        <w:t xml:space="preserve"> is not required. </w:t>
      </w:r>
    </w:p>
    <w:p w14:paraId="3E7C692A" w14:textId="0F0983CB" w:rsidR="00E24887" w:rsidRDefault="000E3A68" w:rsidP="00E24887">
      <w:pPr>
        <w:pStyle w:val="Heading1"/>
      </w:pPr>
      <w:bookmarkStart w:id="4" w:name="_Toc192748395"/>
      <w:bookmarkStart w:id="5" w:name="_Ref192751616"/>
      <w:r>
        <w:t>A Possible “Soft</w:t>
      </w:r>
      <w:r w:rsidR="00E24887">
        <w:t xml:space="preserve"> Failure</w:t>
      </w:r>
      <w:r>
        <w:t>”</w:t>
      </w:r>
      <w:r w:rsidR="00E24887">
        <w:t xml:space="preserve"> Mode</w:t>
      </w:r>
      <w:bookmarkEnd w:id="4"/>
      <w:bookmarkEnd w:id="5"/>
    </w:p>
    <w:p w14:paraId="527E73D7" w14:textId="39565AB0" w:rsidR="000A2FA4" w:rsidRDefault="008F07AE" w:rsidP="00105267">
      <w:r>
        <w:t>Currently software stacks “hard fail” when they encounter an expired CRL. An alternative</w:t>
      </w:r>
      <w:r w:rsidR="00E24887">
        <w:t xml:space="preserve"> would be </w:t>
      </w:r>
      <w:r>
        <w:t>a</w:t>
      </w:r>
      <w:r w:rsidR="00E24887">
        <w:t xml:space="preserve"> failure mode</w:t>
      </w:r>
      <w:r w:rsidR="00C02107">
        <w:t xml:space="preserve"> </w:t>
      </w:r>
      <w:r>
        <w:t>where an</w:t>
      </w:r>
      <w:r w:rsidR="00C02107">
        <w:t xml:space="preserve"> expired CRL is not a hard failure, but continued operation with strong logging as to alert an administrator who can take action as desired (e.g., based on other context, such as being in the middle of a science run).</w:t>
      </w:r>
      <w:r w:rsidR="000E3A68">
        <w:t xml:space="preserve"> </w:t>
      </w:r>
      <w:r w:rsidR="00C02107">
        <w:t>This would seem to be a desirable option at least for administrators to configure. At this time, the author knows of no software that allows for this administrative configuration.</w:t>
      </w:r>
    </w:p>
    <w:p w14:paraId="57127DD6" w14:textId="02B315D1" w:rsidR="00645DBD" w:rsidRDefault="00645DBD" w:rsidP="00D14856">
      <w:pPr>
        <w:pStyle w:val="Heading1"/>
      </w:pPr>
      <w:bookmarkStart w:id="6" w:name="_Ref192735776"/>
      <w:bookmarkStart w:id="7" w:name="_Toc192748396"/>
      <w:r>
        <w:t>Conclusions</w:t>
      </w:r>
      <w:r w:rsidR="00C02107">
        <w:t xml:space="preserve"> and Recommendations</w:t>
      </w:r>
      <w:bookmarkEnd w:id="7"/>
    </w:p>
    <w:p w14:paraId="544CBD33" w14:textId="77777777" w:rsidR="004E4E53" w:rsidRDefault="004E4E53" w:rsidP="00C02107"/>
    <w:p w14:paraId="2B58B11E" w14:textId="63E99E65" w:rsidR="00C02107" w:rsidRPr="00C02107" w:rsidRDefault="004E4E53" w:rsidP="00C02107">
      <w:r>
        <w:t>One recommendation is that software developers should offer a c</w:t>
      </w:r>
      <w:r w:rsidR="00C02107">
        <w:t xml:space="preserve">onfiguration option </w:t>
      </w:r>
      <w:r>
        <w:t xml:space="preserve">that allows a administrator to make an expired CRL a </w:t>
      </w:r>
      <w:r w:rsidR="00C02107">
        <w:t>“soft fail”</w:t>
      </w:r>
      <w:r>
        <w:t xml:space="preserve"> as described in Section </w:t>
      </w:r>
      <w:r>
        <w:fldChar w:fldCharType="begin"/>
      </w:r>
      <w:r>
        <w:instrText xml:space="preserve"> REF _Ref192751616 \r \h </w:instrText>
      </w:r>
      <w:r>
        <w:fldChar w:fldCharType="separate"/>
      </w:r>
      <w:r w:rsidR="00380099">
        <w:t>3</w:t>
      </w:r>
      <w:r>
        <w:fldChar w:fldCharType="end"/>
      </w:r>
      <w:r>
        <w:t>, where the service continues to function but alerts the administrator via logging or other mechanisms. This would allow administrators to take off a lower risk to availability for an increased risk of misused credentials if the alert is not acted on in a timely fashion. If use of this option were found to be popular, it could become the default.</w:t>
      </w:r>
    </w:p>
    <w:bookmarkEnd w:id="6"/>
    <w:p w14:paraId="59C79E14" w14:textId="77777777" w:rsidR="006B63F6" w:rsidRDefault="006B63F6" w:rsidP="006B63F6"/>
    <w:p w14:paraId="0D2F9508" w14:textId="250DD342" w:rsidR="006B63F6" w:rsidRDefault="006B63F6" w:rsidP="006B63F6">
      <w:pPr>
        <w:pStyle w:val="Heading1"/>
      </w:pPr>
      <w:bookmarkStart w:id="8" w:name="_Toc192748397"/>
      <w:r>
        <w:t>References</w:t>
      </w:r>
      <w:bookmarkEnd w:id="8"/>
    </w:p>
    <w:p w14:paraId="7AC5008D" w14:textId="5C200301" w:rsidR="006B63F6" w:rsidRDefault="004E6C85" w:rsidP="004E6C85">
      <w:pPr>
        <w:pStyle w:val="ListParagraph"/>
        <w:numPr>
          <w:ilvl w:val="0"/>
          <w:numId w:val="12"/>
        </w:numPr>
      </w:pPr>
      <w:bookmarkStart w:id="9" w:name="_Ref192732831"/>
      <w:r>
        <w:t xml:space="preserve">D. Cooper, </w:t>
      </w:r>
      <w:r w:rsidR="00025A9A">
        <w:t>S.</w:t>
      </w:r>
      <w:r>
        <w:t xml:space="preserve"> </w:t>
      </w:r>
      <w:proofErr w:type="spellStart"/>
      <w:r>
        <w:t>Santesson</w:t>
      </w:r>
      <w:proofErr w:type="spellEnd"/>
      <w:r w:rsidR="00025A9A">
        <w:t xml:space="preserve"> S.</w:t>
      </w:r>
      <w:r>
        <w:t xml:space="preserve"> Farrell</w:t>
      </w:r>
      <w:r w:rsidR="00025A9A">
        <w:t xml:space="preserve"> S.</w:t>
      </w:r>
      <w:r>
        <w:t xml:space="preserve"> </w:t>
      </w:r>
      <w:proofErr w:type="spellStart"/>
      <w:r>
        <w:t>Boeyen</w:t>
      </w:r>
      <w:proofErr w:type="spellEnd"/>
      <w:r>
        <w:t xml:space="preserve">, R. </w:t>
      </w:r>
      <w:proofErr w:type="spellStart"/>
      <w:r>
        <w:t>Housley</w:t>
      </w:r>
      <w:proofErr w:type="spellEnd"/>
      <w:r>
        <w:t xml:space="preserve">, </w:t>
      </w:r>
      <w:r w:rsidR="006A341C">
        <w:t xml:space="preserve">and </w:t>
      </w:r>
      <w:r>
        <w:t xml:space="preserve">W. Polk. </w:t>
      </w:r>
      <w:r w:rsidR="009408EA">
        <w:t>RFC 5</w:t>
      </w:r>
      <w:r w:rsidR="006B63F6">
        <w:t>820</w:t>
      </w:r>
      <w:bookmarkEnd w:id="9"/>
      <w:r>
        <w:t xml:space="preserve">: Internet X.509 Public Key Infrastructure Certificate and Certificate Revocation List (CRL) Profile. May 2008. </w:t>
      </w:r>
      <w:r w:rsidRPr="004E6C85">
        <w:t>https://www.ietf.org/rfc/rfc5280.txt</w:t>
      </w:r>
    </w:p>
    <w:p w14:paraId="457E44FD" w14:textId="51763A0F" w:rsidR="00540D20" w:rsidRDefault="00540D20" w:rsidP="00540D20">
      <w:pPr>
        <w:pStyle w:val="ListParagraph"/>
        <w:numPr>
          <w:ilvl w:val="0"/>
          <w:numId w:val="12"/>
        </w:numPr>
      </w:pPr>
      <w:bookmarkStart w:id="10" w:name="_Ref192746858"/>
      <w:r>
        <w:t xml:space="preserve">Profile for SLCS X.509 Public Key Certification Authorities with Secured Infrastructure Version 2.1b. February 3, 2009. </w:t>
      </w:r>
      <w:hyperlink r:id="rId11" w:history="1">
        <w:r w:rsidR="00F404CB" w:rsidRPr="00463C56">
          <w:rPr>
            <w:rStyle w:val="Hyperlink"/>
          </w:rPr>
          <w:t>http://www.tagpma.org/files/SLCS-2.1b.pdf</w:t>
        </w:r>
      </w:hyperlink>
      <w:bookmarkEnd w:id="10"/>
    </w:p>
    <w:p w14:paraId="2595E808" w14:textId="34803A6D" w:rsidR="00F404CB" w:rsidRDefault="00F404CB" w:rsidP="00F404CB">
      <w:pPr>
        <w:pStyle w:val="ListParagraph"/>
        <w:numPr>
          <w:ilvl w:val="0"/>
          <w:numId w:val="12"/>
        </w:numPr>
      </w:pPr>
      <w:bookmarkStart w:id="11" w:name="_Ref192748581"/>
      <w:r>
        <w:t xml:space="preserve">M. Myers, R. </w:t>
      </w:r>
      <w:proofErr w:type="spellStart"/>
      <w:r>
        <w:t>Ankney</w:t>
      </w:r>
      <w:proofErr w:type="spellEnd"/>
      <w:r>
        <w:t xml:space="preserve">, A. </w:t>
      </w:r>
      <w:proofErr w:type="spellStart"/>
      <w:r>
        <w:t>Malpani</w:t>
      </w:r>
      <w:proofErr w:type="spellEnd"/>
      <w:r>
        <w:t xml:space="preserve">, S. </w:t>
      </w:r>
      <w:proofErr w:type="spellStart"/>
      <w:r>
        <w:t>Galperin</w:t>
      </w:r>
      <w:proofErr w:type="spellEnd"/>
      <w:r>
        <w:t>, and C. Adams. RFC 2560: X.509 Internet Public Key Infrastructure Online Certificate Status Protocol – OCSP</w:t>
      </w:r>
      <w:bookmarkEnd w:id="11"/>
      <w:r>
        <w:t xml:space="preserve">. June 1999. </w:t>
      </w:r>
      <w:hyperlink r:id="rId12" w:history="1">
        <w:r w:rsidR="00E94ACF" w:rsidRPr="00463C56">
          <w:rPr>
            <w:rStyle w:val="Hyperlink"/>
          </w:rPr>
          <w:t>https://www.ietf.org/rfc/rfc2560.txt</w:t>
        </w:r>
      </w:hyperlink>
    </w:p>
    <w:p w14:paraId="19F1C169" w14:textId="4F9B31AC" w:rsidR="00E94ACF" w:rsidRPr="006B63F6" w:rsidRDefault="00E94ACF" w:rsidP="00F404CB">
      <w:pPr>
        <w:pStyle w:val="ListParagraph"/>
        <w:numPr>
          <w:ilvl w:val="0"/>
          <w:numId w:val="12"/>
        </w:numPr>
      </w:pPr>
      <w:bookmarkStart w:id="12" w:name="_Ref192749569"/>
      <w:r w:rsidRPr="00E94ACF">
        <w:t>Revocation checking and Chrome's CRL</w:t>
      </w:r>
      <w:r>
        <w:t xml:space="preserve">. February 5, 2012. </w:t>
      </w:r>
      <w:r w:rsidRPr="00E94ACF">
        <w:t>http://www.imperialviolet.org/2012/02/05/crlsets.html</w:t>
      </w:r>
      <w:bookmarkEnd w:id="12"/>
    </w:p>
    <w:p w14:paraId="5A085847" w14:textId="77777777" w:rsidR="006B63F6" w:rsidRPr="006B63F6" w:rsidRDefault="006B63F6" w:rsidP="006B63F6"/>
    <w:p w14:paraId="04D512D0" w14:textId="77777777" w:rsidR="00616943" w:rsidRDefault="00616943" w:rsidP="00616943"/>
    <w:p w14:paraId="7D3F5A6C" w14:textId="77777777" w:rsidR="00616943" w:rsidRDefault="00616943" w:rsidP="00616943">
      <w:pPr>
        <w:sectPr w:rsidR="00616943" w:rsidSect="00812D38">
          <w:headerReference w:type="default" r:id="rId13"/>
          <w:footerReference w:type="default" r:id="rId14"/>
          <w:pgSz w:w="12240" w:h="15840"/>
          <w:pgMar w:top="1440" w:right="1800" w:bottom="1440" w:left="1800" w:header="720" w:footer="720" w:gutter="0"/>
          <w:pgNumType w:start="1"/>
          <w:cols w:space="720"/>
          <w:docGrid w:linePitch="360"/>
        </w:sectPr>
      </w:pPr>
    </w:p>
    <w:p w14:paraId="5C71A081" w14:textId="4CDF86DE" w:rsidR="00C02107" w:rsidRDefault="00C02107" w:rsidP="00C2340B">
      <w:pPr>
        <w:pStyle w:val="Heading7"/>
      </w:pPr>
      <w:bookmarkStart w:id="13" w:name="_Ref192748023"/>
      <w:bookmarkStart w:id="14" w:name="_Toc192748398"/>
      <w:r>
        <w:t>CRL Alternatives</w:t>
      </w:r>
      <w:bookmarkEnd w:id="13"/>
      <w:bookmarkEnd w:id="14"/>
    </w:p>
    <w:p w14:paraId="209E033C" w14:textId="2F404C2B" w:rsidR="00F404CB" w:rsidRDefault="00F404CB" w:rsidP="00F404CB">
      <w:r>
        <w:t>We briefly describe some alternatives to CRLs and discuss how they relate to the analysis in this document.</w:t>
      </w:r>
    </w:p>
    <w:p w14:paraId="68EEE126" w14:textId="4FE5CD91" w:rsidR="00F404CB" w:rsidRDefault="00F404CB" w:rsidP="00F404CB">
      <w:pPr>
        <w:pStyle w:val="ListParagraph"/>
        <w:numPr>
          <w:ilvl w:val="0"/>
          <w:numId w:val="21"/>
        </w:numPr>
      </w:pPr>
      <w:r w:rsidRPr="00E94ACF">
        <w:rPr>
          <w:u w:val="single"/>
        </w:rPr>
        <w:t>Online Certificate Status Protocol (OCSP)</w:t>
      </w:r>
      <w:r>
        <w:t xml:space="preserve"> [</w:t>
      </w:r>
      <w:r>
        <w:fldChar w:fldCharType="begin"/>
      </w:r>
      <w:r>
        <w:instrText xml:space="preserve"> REF _Ref192748581 \r \h </w:instrText>
      </w:r>
      <w:r>
        <w:fldChar w:fldCharType="separate"/>
      </w:r>
      <w:r w:rsidR="00380099">
        <w:t>3</w:t>
      </w:r>
      <w:r>
        <w:fldChar w:fldCharType="end"/>
      </w:r>
      <w:r>
        <w:t>]: OCSP is, rather simply put, a query protocol that allows a relying party to ask a CA in real time whether a certificate is valid or not. At a high level, it is equivalent to CRLs as their lifetimes approach zero.</w:t>
      </w:r>
    </w:p>
    <w:p w14:paraId="54E30160" w14:textId="77777777" w:rsidR="00331773" w:rsidRDefault="00331773" w:rsidP="00F404CB">
      <w:pPr>
        <w:pStyle w:val="ListParagraph"/>
        <w:numPr>
          <w:ilvl w:val="0"/>
          <w:numId w:val="21"/>
        </w:numPr>
      </w:pPr>
      <w:r w:rsidRPr="00E94ACF">
        <w:rPr>
          <w:u w:val="single"/>
        </w:rPr>
        <w:t>Delta CRLs</w:t>
      </w:r>
      <w:r>
        <w:t xml:space="preserve"> (also defined in Section 5 of [</w:t>
      </w:r>
      <w:r>
        <w:fldChar w:fldCharType="begin"/>
      </w:r>
      <w:r>
        <w:instrText xml:space="preserve"> REF _Ref192732831 \r \h </w:instrText>
      </w:r>
      <w:r>
        <w:fldChar w:fldCharType="separate"/>
      </w:r>
      <w:r w:rsidR="00380099">
        <w:t>1</w:t>
      </w:r>
      <w:r>
        <w:fldChar w:fldCharType="end"/>
      </w:r>
      <w:r>
        <w:t>]) allows for incremental CRLs that serve to reduce resource consumption when CRLs grow very large. For the analysis in this document, the use of delta CRLs is the same as normal CRLs.</w:t>
      </w:r>
    </w:p>
    <w:p w14:paraId="7A3149B6" w14:textId="078C59F3" w:rsidR="00F404CB" w:rsidRDefault="00E94ACF" w:rsidP="00F404CB">
      <w:pPr>
        <w:pStyle w:val="ListParagraph"/>
        <w:numPr>
          <w:ilvl w:val="0"/>
          <w:numId w:val="21"/>
        </w:numPr>
      </w:pPr>
      <w:r w:rsidRPr="00E94ACF">
        <w:rPr>
          <w:u w:val="single"/>
        </w:rPr>
        <w:t xml:space="preserve">Use </w:t>
      </w:r>
      <w:r>
        <w:rPr>
          <w:u w:val="single"/>
        </w:rPr>
        <w:t>de-</w:t>
      </w:r>
      <w:r w:rsidRPr="00E94ACF">
        <w:rPr>
          <w:u w:val="single"/>
        </w:rPr>
        <w:t>authorization instead</w:t>
      </w:r>
      <w:r>
        <w:t>: One option is to use an authorization mechanism instead of revocation to deny access to a user whose credential has been compromised. The challenge with this approach is that authorization typically works on a user’s identity, while revocation works on a specific certificate. This means that if a new certificate is issued to a user whose certificate was compromised, it wouldn’t work until the user is re-authorized, which entails being certain that the compromised certificate has been removed from the attackers control, which is difficult.</w:t>
      </w:r>
    </w:p>
    <w:p w14:paraId="69053342" w14:textId="081E035F" w:rsidR="00E94ACF" w:rsidRPr="00F404CB" w:rsidRDefault="00E94ACF" w:rsidP="00F404CB">
      <w:pPr>
        <w:pStyle w:val="ListParagraph"/>
        <w:numPr>
          <w:ilvl w:val="0"/>
          <w:numId w:val="21"/>
        </w:numPr>
      </w:pPr>
      <w:r>
        <w:rPr>
          <w:u w:val="single"/>
        </w:rPr>
        <w:t>Use software updates</w:t>
      </w:r>
      <w:r w:rsidRPr="00E94ACF">
        <w:t>:</w:t>
      </w:r>
      <w:r>
        <w:t xml:space="preserve"> Google and other browsers have moved to using software updated to push CRLs to end entities</w:t>
      </w:r>
      <w:r w:rsidR="002E7334">
        <w:t xml:space="preserve"> [</w:t>
      </w:r>
      <w:r w:rsidR="002E7334">
        <w:fldChar w:fldCharType="begin"/>
      </w:r>
      <w:r w:rsidR="002E7334">
        <w:instrText xml:space="preserve"> REF _Ref192749569 \r \h </w:instrText>
      </w:r>
      <w:r w:rsidR="002E7334">
        <w:fldChar w:fldCharType="separate"/>
      </w:r>
      <w:r w:rsidR="00380099">
        <w:t>4</w:t>
      </w:r>
      <w:r w:rsidR="002E7334">
        <w:fldChar w:fldCharType="end"/>
      </w:r>
      <w:r w:rsidR="002E7334">
        <w:t>]. This presumably requires an efficient software update mechanism.</w:t>
      </w:r>
    </w:p>
    <w:p w14:paraId="4878244F" w14:textId="77777777" w:rsidR="00C02107" w:rsidRPr="00C02107" w:rsidRDefault="00C02107" w:rsidP="00C02107"/>
    <w:p w14:paraId="2ECB48B2" w14:textId="77777777" w:rsidR="00C02107" w:rsidRDefault="00C02107">
      <w:pPr>
        <w:spacing w:after="0"/>
        <w:rPr>
          <w:rFonts w:asciiTheme="majorHAnsi" w:eastAsiaTheme="majorEastAsia" w:hAnsiTheme="majorHAnsi" w:cstheme="majorBidi"/>
          <w:b/>
          <w:iCs/>
          <w:color w:val="1F497D" w:themeColor="text2"/>
          <w:sz w:val="32"/>
        </w:rPr>
      </w:pPr>
      <w:r>
        <w:br w:type="page"/>
      </w:r>
    </w:p>
    <w:p w14:paraId="027CEF87" w14:textId="3645CCB7" w:rsidR="00616943" w:rsidRDefault="00E1767D" w:rsidP="00C2340B">
      <w:pPr>
        <w:pStyle w:val="Heading7"/>
      </w:pPr>
      <w:bookmarkStart w:id="15" w:name="_Toc192748399"/>
      <w:r>
        <w:t>Some detailed text…</w:t>
      </w:r>
      <w:bookmarkEnd w:id="15"/>
    </w:p>
    <w:p w14:paraId="47B0A1B1" w14:textId="78F8D0EA" w:rsidR="00C02107" w:rsidRPr="00C02107" w:rsidRDefault="00C02107" w:rsidP="00C02107">
      <w:r>
        <w:t xml:space="preserve">XXX Don’t </w:t>
      </w:r>
      <w:proofErr w:type="gramStart"/>
      <w:r>
        <w:t>know</w:t>
      </w:r>
      <w:proofErr w:type="gramEnd"/>
      <w:r>
        <w:t xml:space="preserve"> if I want this or not.</w:t>
      </w:r>
    </w:p>
    <w:p w14:paraId="5201CD8D" w14:textId="77777777" w:rsidR="00E1767D" w:rsidRDefault="00E1767D" w:rsidP="00E1767D">
      <w:r>
        <w:t>We consider a simple scenario with a single CA, relying party and end entity using a certificate to authenticate to that relying party. Following a typical process, the CA is publishing CRLs on a regular schedule</w:t>
      </w:r>
      <w:r>
        <w:rPr>
          <w:rStyle w:val="FootnoteReference"/>
        </w:rPr>
        <w:footnoteReference w:id="3"/>
      </w:r>
      <w:r>
        <w:t>, and the relying party is regularly obtaining and using those CRLs. There are a set of time intervals in this process that interact to impact cybersecurity and operations:</w:t>
      </w:r>
    </w:p>
    <w:p w14:paraId="2A377304" w14:textId="77777777" w:rsidR="00E1767D" w:rsidRDefault="00E1767D" w:rsidP="00E1767D">
      <w:pPr>
        <w:pStyle w:val="ListParagraph"/>
        <w:numPr>
          <w:ilvl w:val="0"/>
          <w:numId w:val="14"/>
        </w:numPr>
      </w:pPr>
      <w:r>
        <w:t xml:space="preserve">We define the interval between acts of the CA publishes a new CRL as </w:t>
      </w:r>
      <w:r w:rsidRPr="00AE3E91">
        <w:t>t</w:t>
      </w:r>
      <w:r w:rsidRPr="00AE3E91">
        <w:rPr>
          <w:vertAlign w:val="subscript"/>
        </w:rPr>
        <w:t>publish</w:t>
      </w:r>
      <w:r>
        <w:t>.</w:t>
      </w:r>
    </w:p>
    <w:p w14:paraId="2C441D4C" w14:textId="77777777" w:rsidR="00E1767D" w:rsidRDefault="00E1767D" w:rsidP="00E1767D">
      <w:pPr>
        <w:pStyle w:val="ListParagraph"/>
        <w:numPr>
          <w:ilvl w:val="0"/>
          <w:numId w:val="14"/>
        </w:numPr>
      </w:pPr>
      <w:r>
        <w:t>We define the time between the publication of a CRL and the time it expires (i.e., the time indicated by its nextUpdate field) as t</w:t>
      </w:r>
      <w:r w:rsidRPr="00AE3E91">
        <w:rPr>
          <w:vertAlign w:val="subscript"/>
        </w:rPr>
        <w:t>lifetime</w:t>
      </w:r>
      <w:r>
        <w:t>.</w:t>
      </w:r>
    </w:p>
    <w:p w14:paraId="4C24B2F7" w14:textId="77777777" w:rsidR="00E1767D" w:rsidRDefault="00E1767D" w:rsidP="00E1767D">
      <w:pPr>
        <w:pStyle w:val="ListParagraph"/>
        <w:numPr>
          <w:ilvl w:val="0"/>
          <w:numId w:val="14"/>
        </w:numPr>
      </w:pPr>
      <w:r>
        <w:t>We define the interval between acts of the relying party obtaining the latest CRL as t</w:t>
      </w:r>
      <w:r w:rsidRPr="00C119BE">
        <w:rPr>
          <w:vertAlign w:val="subscript"/>
        </w:rPr>
        <w:t>download</w:t>
      </w:r>
      <w:r>
        <w:t>.</w:t>
      </w:r>
    </w:p>
    <w:p w14:paraId="36F29D13" w14:textId="77777777" w:rsidR="00E1767D" w:rsidRDefault="00E1767D" w:rsidP="00E1767D">
      <w:r>
        <w:t>A few observations about requirements on the relationship of these times for the distribution system to function properly:</w:t>
      </w:r>
    </w:p>
    <w:p w14:paraId="1480B899" w14:textId="77777777" w:rsidR="00E1767D" w:rsidRDefault="00E1767D" w:rsidP="00E1767D">
      <w:pPr>
        <w:pStyle w:val="ListParagraph"/>
        <w:numPr>
          <w:ilvl w:val="0"/>
          <w:numId w:val="15"/>
        </w:numPr>
      </w:pPr>
      <w:r>
        <w:t xml:space="preserve">Minimally, </w:t>
      </w:r>
      <w:r w:rsidRPr="00AE3E91">
        <w:t>t</w:t>
      </w:r>
      <w:r w:rsidRPr="00AE3E91">
        <w:rPr>
          <w:vertAlign w:val="subscript"/>
        </w:rPr>
        <w:t>publish</w:t>
      </w:r>
      <w:r>
        <w:t xml:space="preserve"> must be less than or equal to t</w:t>
      </w:r>
      <w:r w:rsidRPr="00AE3E91">
        <w:rPr>
          <w:vertAlign w:val="subscript"/>
        </w:rPr>
        <w:t>lifetime</w:t>
      </w:r>
      <w:r>
        <w:t xml:space="preserve">, otherwise there will exist periods when only </w:t>
      </w:r>
      <w:proofErr w:type="gramStart"/>
      <w:r>
        <w:t>a</w:t>
      </w:r>
      <w:proofErr w:type="gramEnd"/>
      <w:r>
        <w:t xml:space="preserve"> expired CRL is published.</w:t>
      </w:r>
    </w:p>
    <w:p w14:paraId="29367F21" w14:textId="77777777" w:rsidR="00E1767D" w:rsidRDefault="00E1767D" w:rsidP="00E1767D">
      <w:pPr>
        <w:pStyle w:val="ListParagraph"/>
        <w:numPr>
          <w:ilvl w:val="0"/>
          <w:numId w:val="15"/>
        </w:numPr>
      </w:pPr>
      <w:r>
        <w:t>Minimally, t</w:t>
      </w:r>
      <w:r w:rsidRPr="00C119BE">
        <w:rPr>
          <w:vertAlign w:val="subscript"/>
        </w:rPr>
        <w:t>download</w:t>
      </w:r>
      <w:r>
        <w:t xml:space="preserve"> must be less than or equal to t</w:t>
      </w:r>
      <w:r w:rsidRPr="00AE3E91">
        <w:rPr>
          <w:vertAlign w:val="subscript"/>
        </w:rPr>
        <w:t>lifetime</w:t>
      </w:r>
      <w:r>
        <w:t>, otherwise there will exist periods when the relying party has an expired certificate.</w:t>
      </w:r>
    </w:p>
    <w:p w14:paraId="2AB7DBA6" w14:textId="77777777" w:rsidR="00E1767D" w:rsidRDefault="00E1767D" w:rsidP="00E1767D">
      <w:r>
        <w:t xml:space="preserve">For resilience, </w:t>
      </w:r>
      <w:r w:rsidRPr="00AE3E91">
        <w:t>t</w:t>
      </w:r>
      <w:r w:rsidRPr="0012532C">
        <w:rPr>
          <w:vertAlign w:val="subscript"/>
        </w:rPr>
        <w:t>publish</w:t>
      </w:r>
      <w:r>
        <w:t xml:space="preserve"> and t</w:t>
      </w:r>
      <w:r w:rsidRPr="0012532C">
        <w:rPr>
          <w:vertAlign w:val="subscript"/>
        </w:rPr>
        <w:t>download</w:t>
      </w:r>
      <w:r>
        <w:t>, should be much less than t</w:t>
      </w:r>
      <w:r w:rsidRPr="0012532C">
        <w:rPr>
          <w:vertAlign w:val="subscript"/>
        </w:rPr>
        <w:t>lifetime</w:t>
      </w:r>
      <w:r>
        <w:t xml:space="preserve"> such that t</w:t>
      </w:r>
      <w:r w:rsidRPr="0012532C">
        <w:rPr>
          <w:vertAlign w:val="subscript"/>
        </w:rPr>
        <w:t>lifetime</w:t>
      </w:r>
      <w:r>
        <w:t xml:space="preserve"> is several times the length of </w:t>
      </w:r>
      <w:proofErr w:type="gramStart"/>
      <w:r w:rsidRPr="00AE3E91">
        <w:t>t</w:t>
      </w:r>
      <w:r w:rsidRPr="0012532C">
        <w:rPr>
          <w:vertAlign w:val="subscript"/>
        </w:rPr>
        <w:t>publish</w:t>
      </w:r>
      <w:r>
        <w:t xml:space="preserve">  and</w:t>
      </w:r>
      <w:proofErr w:type="gramEnd"/>
      <w:r>
        <w:t xml:space="preserve"> t</w:t>
      </w:r>
      <w:r w:rsidRPr="0012532C">
        <w:rPr>
          <w:vertAlign w:val="subscript"/>
        </w:rPr>
        <w:t>download</w:t>
      </w:r>
      <w:r>
        <w:t xml:space="preserve">. This provides for resilience since </w:t>
      </w:r>
      <w:proofErr w:type="gramStart"/>
      <w:r>
        <w:t>there</w:t>
      </w:r>
      <w:proofErr w:type="gramEnd"/>
      <w:r>
        <w:t xml:space="preserve"> needs to be not just one CRL publication or download failure, but multiple failures over t</w:t>
      </w:r>
      <w:r w:rsidRPr="0012532C">
        <w:rPr>
          <w:vertAlign w:val="subscript"/>
        </w:rPr>
        <w:t>lifetime</w:t>
      </w:r>
      <w:r>
        <w:t xml:space="preserve"> to cause an operational service failure.</w:t>
      </w:r>
    </w:p>
    <w:p w14:paraId="5057C3DD" w14:textId="77777777" w:rsidR="00E1767D" w:rsidRPr="00E1767D" w:rsidRDefault="00E1767D" w:rsidP="00E1767D"/>
    <w:sectPr w:rsidR="00E1767D" w:rsidRPr="00E1767D" w:rsidSect="00136F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B918D" w14:textId="77777777" w:rsidR="00762A28" w:rsidRDefault="00762A28" w:rsidP="00812D38">
      <w:r>
        <w:separator/>
      </w:r>
    </w:p>
  </w:endnote>
  <w:endnote w:type="continuationSeparator" w:id="0">
    <w:p w14:paraId="3BF30DB9" w14:textId="77777777" w:rsidR="00762A28" w:rsidRDefault="00762A28" w:rsidP="0081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E3A26" w14:textId="77777777" w:rsidR="00762A28" w:rsidRDefault="00762A28" w:rsidP="006B63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21316A" w14:textId="77777777" w:rsidR="00762A28" w:rsidRDefault="00762A2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80E10" w14:textId="77777777" w:rsidR="00762A28" w:rsidRDefault="00762A2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9787B" w14:textId="77777777" w:rsidR="00762A28" w:rsidRDefault="00762A28" w:rsidP="006B63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099">
      <w:rPr>
        <w:rStyle w:val="PageNumber"/>
        <w:noProof/>
      </w:rPr>
      <w:t>2</w:t>
    </w:r>
    <w:r>
      <w:rPr>
        <w:rStyle w:val="PageNumber"/>
      </w:rPr>
      <w:fldChar w:fldCharType="end"/>
    </w:r>
  </w:p>
  <w:p w14:paraId="1E7CCC32" w14:textId="77777777" w:rsidR="00762A28" w:rsidRDefault="00762A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DA01B" w14:textId="77777777" w:rsidR="00762A28" w:rsidRDefault="00762A28" w:rsidP="00812D38">
      <w:r>
        <w:separator/>
      </w:r>
    </w:p>
  </w:footnote>
  <w:footnote w:type="continuationSeparator" w:id="0">
    <w:p w14:paraId="386EC82D" w14:textId="77777777" w:rsidR="00762A28" w:rsidRDefault="00762A28" w:rsidP="00812D38">
      <w:r>
        <w:continuationSeparator/>
      </w:r>
    </w:p>
  </w:footnote>
  <w:footnote w:id="1">
    <w:p w14:paraId="0088F9F3" w14:textId="740C6A9C" w:rsidR="00762A28" w:rsidRDefault="00762A28">
      <w:pPr>
        <w:pStyle w:val="FootnoteText"/>
      </w:pPr>
      <w:r>
        <w:rPr>
          <w:rStyle w:val="FootnoteReference"/>
        </w:rPr>
        <w:footnoteRef/>
      </w:r>
      <w:r>
        <w:t xml:space="preserve"> CAs may delegate CRL creation to another entity, but for the purposes of this document, we consider that entity to be part of the CA and don’t distinguish the two.</w:t>
      </w:r>
    </w:p>
  </w:footnote>
  <w:footnote w:id="2">
    <w:p w14:paraId="5BA4D186" w14:textId="0B6EAC61" w:rsidR="00762A28" w:rsidRDefault="00762A28">
      <w:pPr>
        <w:pStyle w:val="FootnoteText"/>
      </w:pPr>
      <w:r>
        <w:rPr>
          <w:rStyle w:val="FootnoteReference"/>
        </w:rPr>
        <w:footnoteRef/>
      </w:r>
      <w:r>
        <w:t xml:space="preserve"> An assumption is the lifetime of the CRL is less than the lifetime of the certificate.</w:t>
      </w:r>
    </w:p>
  </w:footnote>
  <w:footnote w:id="3">
    <w:p w14:paraId="6A722DCB" w14:textId="77777777" w:rsidR="00762A28" w:rsidRDefault="00762A28" w:rsidP="00E1767D">
      <w:pPr>
        <w:pStyle w:val="FootnoteText"/>
      </w:pPr>
      <w:r>
        <w:rPr>
          <w:rStyle w:val="FootnoteReference"/>
        </w:rPr>
        <w:footnoteRef/>
      </w:r>
      <w:r>
        <w:t xml:space="preserve"> As discussed subsequently, a CA may issue a CRL ad hoc in response to a cybersecurity incident that causes a certificate to be revoked.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D039A" w14:textId="77777777" w:rsidR="00762A28" w:rsidRDefault="00762A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3908F" w14:textId="77777777" w:rsidR="00762A28" w:rsidRDefault="00762A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3EDC"/>
    <w:multiLevelType w:val="multilevel"/>
    <w:tmpl w:val="53C8B8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22715C"/>
    <w:multiLevelType w:val="multilevel"/>
    <w:tmpl w:val="F978FB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8663C33"/>
    <w:multiLevelType w:val="multilevel"/>
    <w:tmpl w:val="378A26CC"/>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E9D31C9"/>
    <w:multiLevelType w:val="multilevel"/>
    <w:tmpl w:val="64F8E37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EE204FC"/>
    <w:multiLevelType w:val="multilevel"/>
    <w:tmpl w:val="6C044B4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21AA1DFF"/>
    <w:multiLevelType w:val="multilevel"/>
    <w:tmpl w:val="93FA7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E2DD9"/>
    <w:multiLevelType w:val="hybridMultilevel"/>
    <w:tmpl w:val="16FA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EF2A69"/>
    <w:multiLevelType w:val="hybridMultilevel"/>
    <w:tmpl w:val="53C8B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E97170"/>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3DDA1276"/>
    <w:multiLevelType w:val="multilevel"/>
    <w:tmpl w:val="4C62E5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0B60FF7"/>
    <w:multiLevelType w:val="hybridMultilevel"/>
    <w:tmpl w:val="6460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C72266"/>
    <w:multiLevelType w:val="multilevel"/>
    <w:tmpl w:val="6C044B4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549D4708"/>
    <w:multiLevelType w:val="hybridMultilevel"/>
    <w:tmpl w:val="D7F6A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5F010A9"/>
    <w:multiLevelType w:val="hybridMultilevel"/>
    <w:tmpl w:val="CF0C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663E11"/>
    <w:multiLevelType w:val="hybridMultilevel"/>
    <w:tmpl w:val="C8364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04451E"/>
    <w:multiLevelType w:val="hybridMultilevel"/>
    <w:tmpl w:val="52A63826"/>
    <w:lvl w:ilvl="0" w:tplc="0409000F">
      <w:start w:val="1"/>
      <w:numFmt w:val="decimal"/>
      <w:lvlText w:val="%1."/>
      <w:lvlJc w:val="left"/>
      <w:pPr>
        <w:ind w:left="360" w:hanging="360"/>
      </w:pPr>
    </w:lvl>
    <w:lvl w:ilvl="1" w:tplc="8746ECDC">
      <w:start w:val="1"/>
      <w:numFmt w:val="lowerLetter"/>
      <w:pStyle w:val="numberedlist"/>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AA32EC9"/>
    <w:multiLevelType w:val="multilevel"/>
    <w:tmpl w:val="6C044B4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74D56A4B"/>
    <w:multiLevelType w:val="hybridMultilevel"/>
    <w:tmpl w:val="0A02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9E5589"/>
    <w:multiLevelType w:val="hybridMultilevel"/>
    <w:tmpl w:val="64F8E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B971BFD"/>
    <w:multiLevelType w:val="hybridMultilevel"/>
    <w:tmpl w:val="E0EA0C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D9D3EC3"/>
    <w:multiLevelType w:val="multilevel"/>
    <w:tmpl w:val="6C044B4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5"/>
  </w:num>
  <w:num w:numId="3">
    <w:abstractNumId w:val="1"/>
  </w:num>
  <w:num w:numId="4">
    <w:abstractNumId w:val="4"/>
  </w:num>
  <w:num w:numId="5">
    <w:abstractNumId w:val="18"/>
  </w:num>
  <w:num w:numId="6">
    <w:abstractNumId w:val="3"/>
  </w:num>
  <w:num w:numId="7">
    <w:abstractNumId w:val="7"/>
  </w:num>
  <w:num w:numId="8">
    <w:abstractNumId w:val="11"/>
  </w:num>
  <w:num w:numId="9">
    <w:abstractNumId w:val="15"/>
  </w:num>
  <w:num w:numId="10">
    <w:abstractNumId w:val="20"/>
  </w:num>
  <w:num w:numId="11">
    <w:abstractNumId w:val="19"/>
  </w:num>
  <w:num w:numId="12">
    <w:abstractNumId w:val="6"/>
  </w:num>
  <w:num w:numId="13">
    <w:abstractNumId w:val="17"/>
  </w:num>
  <w:num w:numId="14">
    <w:abstractNumId w:val="14"/>
  </w:num>
  <w:num w:numId="15">
    <w:abstractNumId w:val="13"/>
  </w:num>
  <w:num w:numId="16">
    <w:abstractNumId w:val="0"/>
  </w:num>
  <w:num w:numId="17">
    <w:abstractNumId w:val="16"/>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8"/>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82"/>
    <w:rsid w:val="00004AD1"/>
    <w:rsid w:val="0001791C"/>
    <w:rsid w:val="00025A9A"/>
    <w:rsid w:val="000A2FA4"/>
    <w:rsid w:val="000A5ABB"/>
    <w:rsid w:val="000E3A68"/>
    <w:rsid w:val="000F6D46"/>
    <w:rsid w:val="00105267"/>
    <w:rsid w:val="0012532C"/>
    <w:rsid w:val="00136F82"/>
    <w:rsid w:val="0018089E"/>
    <w:rsid w:val="001846DC"/>
    <w:rsid w:val="002405D9"/>
    <w:rsid w:val="00247E22"/>
    <w:rsid w:val="00267526"/>
    <w:rsid w:val="002E7334"/>
    <w:rsid w:val="002F7261"/>
    <w:rsid w:val="00324009"/>
    <w:rsid w:val="00331773"/>
    <w:rsid w:val="00347EA7"/>
    <w:rsid w:val="00380099"/>
    <w:rsid w:val="003800DA"/>
    <w:rsid w:val="00412457"/>
    <w:rsid w:val="0042088C"/>
    <w:rsid w:val="00442094"/>
    <w:rsid w:val="0048494E"/>
    <w:rsid w:val="004B1BE8"/>
    <w:rsid w:val="004B6532"/>
    <w:rsid w:val="004E0FB8"/>
    <w:rsid w:val="004E4E53"/>
    <w:rsid w:val="004E6C85"/>
    <w:rsid w:val="004F7F8C"/>
    <w:rsid w:val="00505EAC"/>
    <w:rsid w:val="00540D20"/>
    <w:rsid w:val="00591E4A"/>
    <w:rsid w:val="005F37CA"/>
    <w:rsid w:val="00616943"/>
    <w:rsid w:val="0063123F"/>
    <w:rsid w:val="00645DBD"/>
    <w:rsid w:val="00651D66"/>
    <w:rsid w:val="00664DFC"/>
    <w:rsid w:val="006A341C"/>
    <w:rsid w:val="006B63F6"/>
    <w:rsid w:val="006D6FC9"/>
    <w:rsid w:val="006E4210"/>
    <w:rsid w:val="0072254D"/>
    <w:rsid w:val="007379A2"/>
    <w:rsid w:val="00762A28"/>
    <w:rsid w:val="007636ED"/>
    <w:rsid w:val="007752BF"/>
    <w:rsid w:val="00812D38"/>
    <w:rsid w:val="008F07AE"/>
    <w:rsid w:val="0090017D"/>
    <w:rsid w:val="009408EA"/>
    <w:rsid w:val="00A74AF2"/>
    <w:rsid w:val="00AE3E91"/>
    <w:rsid w:val="00AF4DFF"/>
    <w:rsid w:val="00B03470"/>
    <w:rsid w:val="00B6621D"/>
    <w:rsid w:val="00B90CEB"/>
    <w:rsid w:val="00BC738F"/>
    <w:rsid w:val="00C02107"/>
    <w:rsid w:val="00C119BE"/>
    <w:rsid w:val="00C2340B"/>
    <w:rsid w:val="00C43521"/>
    <w:rsid w:val="00C96963"/>
    <w:rsid w:val="00CD5482"/>
    <w:rsid w:val="00CE4201"/>
    <w:rsid w:val="00CF0A0F"/>
    <w:rsid w:val="00CF7656"/>
    <w:rsid w:val="00D0501D"/>
    <w:rsid w:val="00D06086"/>
    <w:rsid w:val="00D14856"/>
    <w:rsid w:val="00D3617C"/>
    <w:rsid w:val="00D55F40"/>
    <w:rsid w:val="00D57868"/>
    <w:rsid w:val="00D82F17"/>
    <w:rsid w:val="00DA5C57"/>
    <w:rsid w:val="00E019A5"/>
    <w:rsid w:val="00E14E44"/>
    <w:rsid w:val="00E1767D"/>
    <w:rsid w:val="00E24887"/>
    <w:rsid w:val="00E57E99"/>
    <w:rsid w:val="00E94ACF"/>
    <w:rsid w:val="00EA4DC9"/>
    <w:rsid w:val="00EB2021"/>
    <w:rsid w:val="00F31DAC"/>
    <w:rsid w:val="00F404CB"/>
    <w:rsid w:val="00F541F1"/>
    <w:rsid w:val="00FB7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99E1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8EA"/>
    <w:pPr>
      <w:spacing w:after="120"/>
    </w:pPr>
  </w:style>
  <w:style w:type="paragraph" w:styleId="Heading1">
    <w:name w:val="heading 1"/>
    <w:basedOn w:val="Normal"/>
    <w:next w:val="Normal"/>
    <w:link w:val="Heading1Char"/>
    <w:uiPriority w:val="9"/>
    <w:qFormat/>
    <w:rsid w:val="00C2340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340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340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340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340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2340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C2340B"/>
    <w:pPr>
      <w:keepNext/>
      <w:keepLines/>
      <w:numPr>
        <w:ilvl w:val="6"/>
        <w:numId w:val="1"/>
      </w:numPr>
      <w:spacing w:before="200"/>
      <w:outlineLvl w:val="6"/>
    </w:pPr>
    <w:rPr>
      <w:rFonts w:asciiTheme="majorHAnsi" w:eastAsiaTheme="majorEastAsia" w:hAnsiTheme="majorHAnsi" w:cstheme="majorBidi"/>
      <w:b/>
      <w:iCs/>
      <w:color w:val="1F497D" w:themeColor="text2"/>
      <w:sz w:val="32"/>
    </w:rPr>
  </w:style>
  <w:style w:type="paragraph" w:styleId="Heading8">
    <w:name w:val="heading 8"/>
    <w:basedOn w:val="Normal"/>
    <w:next w:val="Normal"/>
    <w:link w:val="Heading8Char"/>
    <w:uiPriority w:val="9"/>
    <w:semiHidden/>
    <w:unhideWhenUsed/>
    <w:qFormat/>
    <w:rsid w:val="00C2340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340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C234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340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C234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34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234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2340B"/>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C2340B"/>
    <w:rPr>
      <w:rFonts w:asciiTheme="majorHAnsi" w:eastAsiaTheme="majorEastAsia" w:hAnsiTheme="majorHAnsi" w:cstheme="majorBidi"/>
      <w:b/>
      <w:iCs/>
      <w:color w:val="1F497D" w:themeColor="text2"/>
      <w:sz w:val="32"/>
    </w:rPr>
  </w:style>
  <w:style w:type="character" w:customStyle="1" w:styleId="Heading8Char">
    <w:name w:val="Heading 8 Char"/>
    <w:basedOn w:val="DefaultParagraphFont"/>
    <w:link w:val="Heading8"/>
    <w:uiPriority w:val="9"/>
    <w:semiHidden/>
    <w:rsid w:val="00C234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340B"/>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90017D"/>
    <w:pPr>
      <w:ind w:left="720"/>
    </w:pPr>
  </w:style>
  <w:style w:type="paragraph" w:customStyle="1" w:styleId="numberedlist">
    <w:name w:val="numbered list"/>
    <w:basedOn w:val="Heading2"/>
    <w:rsid w:val="006B63F6"/>
    <w:pPr>
      <w:numPr>
        <w:numId w:val="9"/>
      </w:numPr>
    </w:pPr>
  </w:style>
  <w:style w:type="paragraph" w:styleId="FootnoteText">
    <w:name w:val="footnote text"/>
    <w:basedOn w:val="Normal"/>
    <w:link w:val="FootnoteTextChar"/>
    <w:uiPriority w:val="99"/>
    <w:unhideWhenUsed/>
    <w:rsid w:val="0018089E"/>
    <w:pPr>
      <w:spacing w:after="0"/>
    </w:pPr>
  </w:style>
  <w:style w:type="character" w:customStyle="1" w:styleId="FootnoteTextChar">
    <w:name w:val="Footnote Text Char"/>
    <w:basedOn w:val="DefaultParagraphFont"/>
    <w:link w:val="FootnoteText"/>
    <w:uiPriority w:val="99"/>
    <w:rsid w:val="0018089E"/>
  </w:style>
  <w:style w:type="character" w:styleId="FootnoteReference">
    <w:name w:val="footnote reference"/>
    <w:basedOn w:val="DefaultParagraphFont"/>
    <w:uiPriority w:val="99"/>
    <w:unhideWhenUsed/>
    <w:rsid w:val="0018089E"/>
    <w:rPr>
      <w:vertAlign w:val="superscript"/>
    </w:rPr>
  </w:style>
  <w:style w:type="character" w:styleId="PlaceholderText">
    <w:name w:val="Placeholder Text"/>
    <w:basedOn w:val="DefaultParagraphFont"/>
    <w:uiPriority w:val="99"/>
    <w:semiHidden/>
    <w:rsid w:val="002F7261"/>
    <w:rPr>
      <w:color w:val="808080"/>
    </w:rPr>
  </w:style>
  <w:style w:type="paragraph" w:styleId="BalloonText">
    <w:name w:val="Balloon Text"/>
    <w:basedOn w:val="Normal"/>
    <w:link w:val="BalloonTextChar"/>
    <w:uiPriority w:val="99"/>
    <w:semiHidden/>
    <w:unhideWhenUsed/>
    <w:rsid w:val="002F726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7261"/>
    <w:rPr>
      <w:rFonts w:ascii="Lucida Grande" w:hAnsi="Lucida Grande" w:cs="Lucida Grande"/>
      <w:sz w:val="18"/>
      <w:szCs w:val="18"/>
    </w:rPr>
  </w:style>
  <w:style w:type="character" w:styleId="Hyperlink">
    <w:name w:val="Hyperlink"/>
    <w:basedOn w:val="DefaultParagraphFont"/>
    <w:uiPriority w:val="99"/>
    <w:unhideWhenUsed/>
    <w:rsid w:val="00F404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8EA"/>
    <w:pPr>
      <w:spacing w:after="120"/>
    </w:pPr>
  </w:style>
  <w:style w:type="paragraph" w:styleId="Heading1">
    <w:name w:val="heading 1"/>
    <w:basedOn w:val="Normal"/>
    <w:next w:val="Normal"/>
    <w:link w:val="Heading1Char"/>
    <w:uiPriority w:val="9"/>
    <w:qFormat/>
    <w:rsid w:val="00C2340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340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340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340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340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2340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C2340B"/>
    <w:pPr>
      <w:keepNext/>
      <w:keepLines/>
      <w:numPr>
        <w:ilvl w:val="6"/>
        <w:numId w:val="1"/>
      </w:numPr>
      <w:spacing w:before="200"/>
      <w:outlineLvl w:val="6"/>
    </w:pPr>
    <w:rPr>
      <w:rFonts w:asciiTheme="majorHAnsi" w:eastAsiaTheme="majorEastAsia" w:hAnsiTheme="majorHAnsi" w:cstheme="majorBidi"/>
      <w:b/>
      <w:iCs/>
      <w:color w:val="1F497D" w:themeColor="text2"/>
      <w:sz w:val="32"/>
    </w:rPr>
  </w:style>
  <w:style w:type="paragraph" w:styleId="Heading8">
    <w:name w:val="heading 8"/>
    <w:basedOn w:val="Normal"/>
    <w:next w:val="Normal"/>
    <w:link w:val="Heading8Char"/>
    <w:uiPriority w:val="9"/>
    <w:semiHidden/>
    <w:unhideWhenUsed/>
    <w:qFormat/>
    <w:rsid w:val="00C2340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340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C234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340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C234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34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234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2340B"/>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C2340B"/>
    <w:rPr>
      <w:rFonts w:asciiTheme="majorHAnsi" w:eastAsiaTheme="majorEastAsia" w:hAnsiTheme="majorHAnsi" w:cstheme="majorBidi"/>
      <w:b/>
      <w:iCs/>
      <w:color w:val="1F497D" w:themeColor="text2"/>
      <w:sz w:val="32"/>
    </w:rPr>
  </w:style>
  <w:style w:type="character" w:customStyle="1" w:styleId="Heading8Char">
    <w:name w:val="Heading 8 Char"/>
    <w:basedOn w:val="DefaultParagraphFont"/>
    <w:link w:val="Heading8"/>
    <w:uiPriority w:val="9"/>
    <w:semiHidden/>
    <w:rsid w:val="00C234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340B"/>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90017D"/>
    <w:pPr>
      <w:ind w:left="720"/>
    </w:pPr>
  </w:style>
  <w:style w:type="paragraph" w:customStyle="1" w:styleId="numberedlist">
    <w:name w:val="numbered list"/>
    <w:basedOn w:val="Heading2"/>
    <w:rsid w:val="006B63F6"/>
    <w:pPr>
      <w:numPr>
        <w:numId w:val="9"/>
      </w:numPr>
    </w:pPr>
  </w:style>
  <w:style w:type="paragraph" w:styleId="FootnoteText">
    <w:name w:val="footnote text"/>
    <w:basedOn w:val="Normal"/>
    <w:link w:val="FootnoteTextChar"/>
    <w:uiPriority w:val="99"/>
    <w:unhideWhenUsed/>
    <w:rsid w:val="0018089E"/>
    <w:pPr>
      <w:spacing w:after="0"/>
    </w:pPr>
  </w:style>
  <w:style w:type="character" w:customStyle="1" w:styleId="FootnoteTextChar">
    <w:name w:val="Footnote Text Char"/>
    <w:basedOn w:val="DefaultParagraphFont"/>
    <w:link w:val="FootnoteText"/>
    <w:uiPriority w:val="99"/>
    <w:rsid w:val="0018089E"/>
  </w:style>
  <w:style w:type="character" w:styleId="FootnoteReference">
    <w:name w:val="footnote reference"/>
    <w:basedOn w:val="DefaultParagraphFont"/>
    <w:uiPriority w:val="99"/>
    <w:unhideWhenUsed/>
    <w:rsid w:val="0018089E"/>
    <w:rPr>
      <w:vertAlign w:val="superscript"/>
    </w:rPr>
  </w:style>
  <w:style w:type="character" w:styleId="PlaceholderText">
    <w:name w:val="Placeholder Text"/>
    <w:basedOn w:val="DefaultParagraphFont"/>
    <w:uiPriority w:val="99"/>
    <w:semiHidden/>
    <w:rsid w:val="002F7261"/>
    <w:rPr>
      <w:color w:val="808080"/>
    </w:rPr>
  </w:style>
  <w:style w:type="paragraph" w:styleId="BalloonText">
    <w:name w:val="Balloon Text"/>
    <w:basedOn w:val="Normal"/>
    <w:link w:val="BalloonTextChar"/>
    <w:uiPriority w:val="99"/>
    <w:semiHidden/>
    <w:unhideWhenUsed/>
    <w:rsid w:val="002F726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7261"/>
    <w:rPr>
      <w:rFonts w:ascii="Lucida Grande" w:hAnsi="Lucida Grande" w:cs="Lucida Grande"/>
      <w:sz w:val="18"/>
      <w:szCs w:val="18"/>
    </w:rPr>
  </w:style>
  <w:style w:type="character" w:styleId="Hyperlink">
    <w:name w:val="Hyperlink"/>
    <w:basedOn w:val="DefaultParagraphFont"/>
    <w:uiPriority w:val="99"/>
    <w:unhideWhenUsed/>
    <w:rsid w:val="00F404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205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gpma.org/files/SLCS-2.1b.pdf" TargetMode="External"/><Relationship Id="rId12" Type="http://schemas.openxmlformats.org/officeDocument/2006/relationships/hyperlink" Target="https://www.ietf.org/rfc/rfc2560.txt"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1812</Words>
  <Characters>10333</Characters>
  <Application>Microsoft Macintosh Word</Application>
  <DocSecurity>0</DocSecurity>
  <Lines>86</Lines>
  <Paragraphs>24</Paragraphs>
  <ScaleCrop>false</ScaleCrop>
  <Company>Indiana University</Company>
  <LinksUpToDate>false</LinksUpToDate>
  <CharactersWithSpaces>12121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Welch</dc:creator>
  <cp:keywords/>
  <dc:description/>
  <cp:lastModifiedBy>Von Welch</cp:lastModifiedBy>
  <cp:revision>67</cp:revision>
  <dcterms:created xsi:type="dcterms:W3CDTF">2012-03-07T14:24:00Z</dcterms:created>
  <dcterms:modified xsi:type="dcterms:W3CDTF">2012-03-07T20:09:00Z</dcterms:modified>
</cp:coreProperties>
</file>