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D4214" w:rsidRPr="004D4214" w:rsidRDefault="004D4214">
      <w:pPr>
        <w:rPr>
          <w:b/>
        </w:rPr>
      </w:pPr>
      <w:r w:rsidRPr="004D4214">
        <w:rPr>
          <w:b/>
        </w:rPr>
        <w:t>Work Items for Purdue University Deliverables to the Fermilab Open Science Grid program of work</w:t>
      </w:r>
    </w:p>
    <w:p w:rsidR="004D4214" w:rsidRDefault="004D4214">
      <w:pPr>
        <w:rPr>
          <w:b/>
        </w:rPr>
      </w:pPr>
      <w:r w:rsidRPr="004D4214">
        <w:rPr>
          <w:b/>
        </w:rPr>
        <w:t xml:space="preserve">CD105859 </w:t>
      </w:r>
    </w:p>
    <w:p w:rsidR="001261DE" w:rsidRDefault="001261DE">
      <w:pPr>
        <w:rPr>
          <w:b/>
        </w:rPr>
      </w:pPr>
    </w:p>
    <w:p w:rsidR="001261DE" w:rsidRPr="001261DE" w:rsidRDefault="001261DE">
      <w:r w:rsidRPr="001261DE">
        <w:t>Management/Oversight at Purdue: Preston Smith</w:t>
      </w:r>
    </w:p>
    <w:p w:rsidR="001261DE" w:rsidRPr="001261DE" w:rsidRDefault="001261DE">
      <w:r w:rsidRPr="001261DE">
        <w:t>Technical Effort at Purdue: Andrew Howard, 20 hours/week</w:t>
      </w:r>
    </w:p>
    <w:p w:rsidR="001261DE" w:rsidRPr="001261DE" w:rsidRDefault="001261DE">
      <w:r w:rsidRPr="001261DE">
        <w:t xml:space="preserve">Management/Oversight at Fermilab: Ruth Pordes, </w:t>
      </w:r>
      <w:proofErr w:type="spellStart"/>
      <w:r w:rsidRPr="001261DE">
        <w:t>Chander</w:t>
      </w:r>
      <w:proofErr w:type="spellEnd"/>
      <w:r w:rsidRPr="001261DE">
        <w:t xml:space="preserve"> </w:t>
      </w:r>
      <w:proofErr w:type="spellStart"/>
      <w:r w:rsidRPr="001261DE">
        <w:t>Sehgal</w:t>
      </w:r>
      <w:proofErr w:type="spellEnd"/>
    </w:p>
    <w:p w:rsidR="004D4214" w:rsidRPr="001261DE" w:rsidRDefault="001261DE">
      <w:r w:rsidRPr="001261DE">
        <w:t xml:space="preserve">OSG Engagement Contacts: John McGee, Mats </w:t>
      </w:r>
      <w:proofErr w:type="spellStart"/>
      <w:r w:rsidRPr="001261DE">
        <w:t>Rynge</w:t>
      </w:r>
      <w:proofErr w:type="spellEnd"/>
      <w:r w:rsidRPr="001261DE">
        <w:t>, RENCI</w:t>
      </w:r>
    </w:p>
    <w:p w:rsidR="004D4214" w:rsidRPr="004D4214" w:rsidRDefault="004D4214" w:rsidP="004D4214">
      <w:pPr>
        <w:tabs>
          <w:tab w:val="left" w:pos="1560"/>
        </w:tabs>
      </w:pPr>
      <w:r>
        <w:tab/>
      </w:r>
    </w:p>
    <w:tbl>
      <w:tblPr>
        <w:tblStyle w:val="TableGrid"/>
        <w:tblW w:w="0" w:type="auto"/>
        <w:tblLook w:val="00BF"/>
      </w:tblPr>
      <w:tblGrid>
        <w:gridCol w:w="1998"/>
        <w:gridCol w:w="3996"/>
        <w:gridCol w:w="1435"/>
        <w:gridCol w:w="1427"/>
      </w:tblGrid>
      <w:tr w:rsidR="004D4214" w:rsidTr="00B64514">
        <w:tc>
          <w:tcPr>
            <w:tcW w:w="1998" w:type="dxa"/>
          </w:tcPr>
          <w:p w:rsidR="004D4214" w:rsidRPr="00B64514" w:rsidRDefault="004D4214" w:rsidP="004D4214">
            <w:pPr>
              <w:tabs>
                <w:tab w:val="left" w:pos="1560"/>
              </w:tabs>
              <w:rPr>
                <w:b/>
              </w:rPr>
            </w:pPr>
            <w:r w:rsidRPr="00B64514">
              <w:rPr>
                <w:b/>
              </w:rPr>
              <w:t>Task Name</w:t>
            </w:r>
          </w:p>
        </w:tc>
        <w:tc>
          <w:tcPr>
            <w:tcW w:w="3996" w:type="dxa"/>
          </w:tcPr>
          <w:p w:rsidR="004D4214" w:rsidRPr="00B64514" w:rsidRDefault="004D4214" w:rsidP="004D4214">
            <w:pPr>
              <w:tabs>
                <w:tab w:val="left" w:pos="1560"/>
              </w:tabs>
              <w:rPr>
                <w:b/>
              </w:rPr>
            </w:pPr>
            <w:r w:rsidRPr="00B64514">
              <w:rPr>
                <w:b/>
              </w:rPr>
              <w:t>Description</w:t>
            </w:r>
          </w:p>
        </w:tc>
        <w:tc>
          <w:tcPr>
            <w:tcW w:w="1435" w:type="dxa"/>
          </w:tcPr>
          <w:p w:rsidR="004D4214" w:rsidRPr="00B64514" w:rsidRDefault="004D4214" w:rsidP="004D4214">
            <w:pPr>
              <w:tabs>
                <w:tab w:val="left" w:pos="1560"/>
              </w:tabs>
              <w:rPr>
                <w:b/>
              </w:rPr>
            </w:pPr>
            <w:r w:rsidRPr="00B64514">
              <w:rPr>
                <w:b/>
              </w:rPr>
              <w:t>Start Date</w:t>
            </w:r>
          </w:p>
        </w:tc>
        <w:tc>
          <w:tcPr>
            <w:tcW w:w="1427" w:type="dxa"/>
          </w:tcPr>
          <w:p w:rsidR="004D4214" w:rsidRPr="00B64514" w:rsidRDefault="004D4214" w:rsidP="004D4214">
            <w:pPr>
              <w:tabs>
                <w:tab w:val="left" w:pos="1560"/>
              </w:tabs>
              <w:rPr>
                <w:b/>
              </w:rPr>
            </w:pPr>
            <w:r w:rsidRPr="00B64514">
              <w:rPr>
                <w:b/>
              </w:rPr>
              <w:t>Duration</w:t>
            </w: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</w:pPr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SD=9/1/08</w:t>
            </w:r>
          </w:p>
        </w:tc>
        <w:tc>
          <w:tcPr>
            <w:tcW w:w="1427" w:type="dxa"/>
          </w:tcPr>
          <w:p w:rsidR="004D4214" w:rsidRDefault="004D4214" w:rsidP="004D4214">
            <w:pPr>
              <w:tabs>
                <w:tab w:val="left" w:pos="1560"/>
              </w:tabs>
            </w:pP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MPI advertising via add-</w:t>
            </w:r>
            <w:proofErr w:type="spellStart"/>
            <w:r>
              <w:t>attributes.conf</w:t>
            </w:r>
            <w:proofErr w:type="spellEnd"/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Add MPI attributes to GIP via add-</w:t>
            </w:r>
            <w:proofErr w:type="spellStart"/>
            <w:r>
              <w:t>attributes.conf</w:t>
            </w:r>
            <w:proofErr w:type="spellEnd"/>
            <w:r>
              <w:t>. Bother custom and Glue ones. Test on ITB CE then Purdue resources. Them more widely</w:t>
            </w: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2 months</w:t>
            </w: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How to compile MPI jobs on OSG</w:t>
            </w:r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How that a site supports MPI how does the user compile/link a job to run on it</w:t>
            </w: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1 months</w:t>
            </w: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  <w:jc w:val="center"/>
            </w:pPr>
            <w:r>
              <w:t>PBS job manager changes for MPI</w:t>
            </w:r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 xml:space="preserve">Add functionality to the PBS job manager to better support MPI. Support modern versions of PBS node selection syntax. Job manager should </w:t>
            </w:r>
            <w:proofErr w:type="spellStart"/>
            <w:r>
              <w:t>sepect</w:t>
            </w:r>
            <w:proofErr w:type="spellEnd"/>
            <w:r>
              <w:t xml:space="preserve"> correct </w:t>
            </w:r>
            <w:proofErr w:type="spellStart"/>
            <w:r>
              <w:t>ersion</w:t>
            </w:r>
            <w:proofErr w:type="spellEnd"/>
            <w:r>
              <w:t xml:space="preserve"> of </w:t>
            </w:r>
            <w:proofErr w:type="spellStart"/>
            <w:r>
              <w:t>mpirun</w:t>
            </w:r>
            <w:proofErr w:type="spellEnd"/>
            <w:r>
              <w:t xml:space="preserve">, run appropriate comment to set up the environment, set up </w:t>
            </w:r>
            <w:proofErr w:type="spellStart"/>
            <w:r>
              <w:t>mpd</w:t>
            </w:r>
            <w:proofErr w:type="spellEnd"/>
            <w:r>
              <w:t xml:space="preserve"> etc, We want to be able to load </w:t>
            </w:r>
            <w:proofErr w:type="spellStart"/>
            <w:r>
              <w:t>mvamich-intel</w:t>
            </w:r>
            <w:proofErr w:type="spellEnd"/>
            <w:r>
              <w:t xml:space="preserve"> if we want to use IB nodes for example,. Submit changes to VDT and to </w:t>
            </w:r>
            <w:proofErr w:type="spellStart"/>
            <w:r>
              <w:t>globus</w:t>
            </w:r>
            <w:proofErr w:type="spellEnd"/>
            <w:r>
              <w:t xml:space="preserve">. </w:t>
            </w: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SD+1month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2 month</w:t>
            </w: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Add capability to NERSC site</w:t>
            </w:r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All steps required for MPI advertising and running, do on NERSC as well</w:t>
            </w: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SD+3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1 month</w:t>
            </w: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Add capability to NCSA site</w:t>
            </w:r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All steps required for MPI advertising and running, do on NCSA as well</w:t>
            </w: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SD+4 months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1 month</w:t>
            </w: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>User documentation</w:t>
            </w:r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 xml:space="preserve">Contribute documentation on the user experience and guides. From site selection, through compiling for that site, to running, to </w:t>
            </w:r>
            <w:proofErr w:type="spellStart"/>
            <w:r>
              <w:t>debuggin</w:t>
            </w:r>
            <w:proofErr w:type="spellEnd"/>
            <w:r>
              <w:t xml:space="preserve">. Add to OSG </w:t>
            </w:r>
            <w:proofErr w:type="spellStart"/>
            <w:r>
              <w:t>Twiki</w:t>
            </w:r>
            <w:proofErr w:type="spellEnd"/>
            <w:r>
              <w:t xml:space="preserve">. </w:t>
            </w: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SD+1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6 months</w:t>
            </w:r>
          </w:p>
        </w:tc>
      </w:tr>
      <w:tr w:rsidR="004D4214" w:rsidTr="00B64514">
        <w:tc>
          <w:tcPr>
            <w:tcW w:w="1998" w:type="dxa"/>
          </w:tcPr>
          <w:p w:rsidR="004D4214" w:rsidRDefault="004D4214" w:rsidP="004D4214">
            <w:pPr>
              <w:tabs>
                <w:tab w:val="left" w:pos="1560"/>
              </w:tabs>
              <w:jc w:val="center"/>
            </w:pPr>
            <w:r>
              <w:t>Site administrator documentation</w:t>
            </w:r>
          </w:p>
        </w:tc>
        <w:tc>
          <w:tcPr>
            <w:tcW w:w="3996" w:type="dxa"/>
          </w:tcPr>
          <w:p w:rsidR="004D4214" w:rsidRDefault="004D4214" w:rsidP="004D4214">
            <w:pPr>
              <w:tabs>
                <w:tab w:val="left" w:pos="1560"/>
              </w:tabs>
            </w:pPr>
            <w:r>
              <w:t xml:space="preserve">Document how to configure an OSG CE to advertise MPI installations. </w:t>
            </w:r>
            <w:r>
              <w:br/>
              <w:t xml:space="preserve">Document how to configure PBS job managers to accept </w:t>
            </w:r>
            <w:proofErr w:type="spellStart"/>
            <w:r>
              <w:t>jobtype</w:t>
            </w:r>
            <w:proofErr w:type="spellEnd"/>
            <w:r>
              <w:t>=</w:t>
            </w:r>
            <w:proofErr w:type="spellStart"/>
            <w:r>
              <w:t>mpi</w:t>
            </w:r>
            <w:proofErr w:type="spellEnd"/>
            <w:r>
              <w:t xml:space="preserve"> jobs. Document how to provide any infrastructure needed to compile MPI jobs.</w:t>
            </w:r>
          </w:p>
          <w:p w:rsidR="004D4214" w:rsidRDefault="004D4214" w:rsidP="004D4214">
            <w:pPr>
              <w:tabs>
                <w:tab w:val="left" w:pos="1560"/>
              </w:tabs>
            </w:pP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SD+3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3 months</w:t>
            </w:r>
          </w:p>
        </w:tc>
      </w:tr>
      <w:tr w:rsidR="004D4214" w:rsidTr="00B64514">
        <w:tc>
          <w:tcPr>
            <w:tcW w:w="1998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Support engagement users use of MPI resources on OSG end-to-end</w:t>
            </w:r>
          </w:p>
        </w:tc>
        <w:tc>
          <w:tcPr>
            <w:tcW w:w="3996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 xml:space="preserve">Assist identified Engagement users to use </w:t>
            </w:r>
            <w:proofErr w:type="spellStart"/>
            <w:r>
              <w:t>Purdue,NERSC</w:t>
            </w:r>
            <w:proofErr w:type="spellEnd"/>
            <w:r>
              <w:t>, NCSA for MPI work</w:t>
            </w:r>
          </w:p>
        </w:tc>
        <w:tc>
          <w:tcPr>
            <w:tcW w:w="1435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SD+4</w:t>
            </w:r>
          </w:p>
        </w:tc>
        <w:tc>
          <w:tcPr>
            <w:tcW w:w="1427" w:type="dxa"/>
          </w:tcPr>
          <w:p w:rsidR="004D4214" w:rsidRDefault="00B64514" w:rsidP="004D4214">
            <w:pPr>
              <w:tabs>
                <w:tab w:val="left" w:pos="1560"/>
              </w:tabs>
            </w:pPr>
            <w:r>
              <w:t>2 months</w:t>
            </w:r>
          </w:p>
        </w:tc>
      </w:tr>
      <w:tr w:rsidR="00B64514" w:rsidTr="00B64514">
        <w:tc>
          <w:tcPr>
            <w:tcW w:w="1998" w:type="dxa"/>
          </w:tcPr>
          <w:p w:rsidR="00B64514" w:rsidRDefault="00B64514" w:rsidP="004D4214">
            <w:pPr>
              <w:tabs>
                <w:tab w:val="left" w:pos="1560"/>
              </w:tabs>
            </w:pPr>
            <w:r>
              <w:t>Feedback to and planning with OSG</w:t>
            </w:r>
          </w:p>
        </w:tc>
        <w:tc>
          <w:tcPr>
            <w:tcW w:w="3996" w:type="dxa"/>
          </w:tcPr>
          <w:p w:rsidR="00B64514" w:rsidRDefault="00B64514" w:rsidP="004D4214">
            <w:pPr>
              <w:tabs>
                <w:tab w:val="left" w:pos="1560"/>
              </w:tabs>
            </w:pPr>
            <w:r>
              <w:t>Provide monthly reports and feedback to Fermilab OSG Organizational PI on work done and attend status, planning and feedback discussions with the OSG Engagement team and Executive Boards</w:t>
            </w:r>
          </w:p>
        </w:tc>
        <w:tc>
          <w:tcPr>
            <w:tcW w:w="1435" w:type="dxa"/>
          </w:tcPr>
          <w:p w:rsidR="00B64514" w:rsidRDefault="00B64514" w:rsidP="004D4214">
            <w:pPr>
              <w:tabs>
                <w:tab w:val="left" w:pos="1560"/>
              </w:tabs>
            </w:pPr>
            <w:r>
              <w:t>SD+1</w:t>
            </w:r>
          </w:p>
        </w:tc>
        <w:tc>
          <w:tcPr>
            <w:tcW w:w="1427" w:type="dxa"/>
          </w:tcPr>
          <w:p w:rsidR="00B64514" w:rsidRDefault="00B64514" w:rsidP="004D4214">
            <w:pPr>
              <w:tabs>
                <w:tab w:val="left" w:pos="1560"/>
              </w:tabs>
            </w:pPr>
            <w:r>
              <w:t>Ongoing</w:t>
            </w:r>
          </w:p>
        </w:tc>
      </w:tr>
    </w:tbl>
    <w:p w:rsidR="004D4214" w:rsidRPr="004D4214" w:rsidRDefault="004D4214" w:rsidP="004D4214">
      <w:pPr>
        <w:tabs>
          <w:tab w:val="left" w:pos="1560"/>
        </w:tabs>
      </w:pPr>
    </w:p>
    <w:sectPr w:rsidR="004D4214" w:rsidRPr="004D4214" w:rsidSect="004D4214">
      <w:footerReference w:type="even" r:id="rId4"/>
      <w:foot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4514" w:rsidRDefault="00B64514" w:rsidP="00EC1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4514" w:rsidRDefault="00B64514" w:rsidP="00B64514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4514" w:rsidRDefault="00B64514" w:rsidP="00EC17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61DE">
      <w:rPr>
        <w:rStyle w:val="PageNumber"/>
        <w:noProof/>
      </w:rPr>
      <w:t>2</w:t>
    </w:r>
    <w:r>
      <w:rPr>
        <w:rStyle w:val="PageNumber"/>
      </w:rPr>
      <w:fldChar w:fldCharType="end"/>
    </w:r>
  </w:p>
  <w:p w:rsidR="00B64514" w:rsidRDefault="00B64514" w:rsidP="00B64514">
    <w:pPr>
      <w:pStyle w:val="Footer"/>
      <w:ind w:right="360"/>
    </w:pPr>
    <w:r>
      <w:t xml:space="preserve">Purdue OSG Work Items 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D4214"/>
    <w:rsid w:val="001261DE"/>
    <w:rsid w:val="004D4214"/>
    <w:rsid w:val="00B64514"/>
  </w:rsids>
  <m:mathPr>
    <m:mathFont m:val="Hoefler Tex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E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D42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B645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451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B64514"/>
  </w:style>
  <w:style w:type="paragraph" w:styleId="Header">
    <w:name w:val="header"/>
    <w:basedOn w:val="Normal"/>
    <w:link w:val="HeaderChar"/>
    <w:uiPriority w:val="99"/>
    <w:semiHidden/>
    <w:unhideWhenUsed/>
    <w:rsid w:val="00B645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51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283</Words>
  <Characters>1617</Characters>
  <Application>Microsoft Word 12.1.1</Application>
  <DocSecurity>0</DocSecurity>
  <Lines>13</Lines>
  <Paragraphs>3</Paragraphs>
  <ScaleCrop>false</ScaleCrop>
  <Company>Fermi National Accelerator LBORATORY</Company>
  <LinksUpToDate>false</LinksUpToDate>
  <CharactersWithSpaces>1985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cp:lastModifiedBy>Ruth Pordes</cp:lastModifiedBy>
  <cp:revision>2</cp:revision>
  <dcterms:created xsi:type="dcterms:W3CDTF">2008-08-21T16:06:00Z</dcterms:created>
  <dcterms:modified xsi:type="dcterms:W3CDTF">2008-08-21T16:28:00Z</dcterms:modified>
</cp:coreProperties>
</file>