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rels" ContentType="application/vnd.openxmlformats-package.relationship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jpeg" ContentType="image/jpeg"/>
  <Default Extension="png" ContentType="image/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11E" w:rsidRDefault="0068711E">
      <w:pPr>
        <w:rPr>
          <w:b/>
          <w:bCs/>
        </w:rPr>
      </w:pPr>
    </w:p>
    <w:p w:rsidR="00223287" w:rsidRPr="00223287" w:rsidRDefault="00025055" w:rsidP="0068711E">
      <w:pPr>
        <w:rPr>
          <w:b/>
          <w:bCs/>
        </w:rPr>
      </w:pPr>
      <w:r>
        <w:rPr>
          <w:b/>
          <w:bCs/>
        </w:rPr>
        <w:t>D</w:t>
      </w:r>
      <w:r w:rsidRPr="00223287">
        <w:rPr>
          <w:b/>
          <w:bCs/>
        </w:rPr>
        <w:t xml:space="preserve">iscovery at the Tevatron </w:t>
      </w:r>
      <w:r>
        <w:rPr>
          <w:b/>
          <w:bCs/>
        </w:rPr>
        <w:t xml:space="preserve">Enhanced by </w:t>
      </w:r>
      <w:r w:rsidR="00464DA8">
        <w:rPr>
          <w:b/>
          <w:bCs/>
        </w:rPr>
        <w:t>Sharing of Computing</w:t>
      </w:r>
      <w:r w:rsidR="00223287" w:rsidRPr="00223287">
        <w:rPr>
          <w:b/>
          <w:bCs/>
        </w:rPr>
        <w:t xml:space="preserve"> resources through the </w:t>
      </w:r>
      <w:r>
        <w:rPr>
          <w:b/>
          <w:bCs/>
        </w:rPr>
        <w:t>Open Science Grid.</w:t>
      </w:r>
    </w:p>
    <w:p w:rsidR="00223287" w:rsidRDefault="00223287" w:rsidP="0068711E">
      <w:pPr>
        <w:rPr>
          <w:bCs/>
        </w:rPr>
      </w:pPr>
    </w:p>
    <w:p w:rsidR="00223287" w:rsidRDefault="00A655DE" w:rsidP="0068711E">
      <w:pPr>
        <w:rPr>
          <w:bCs/>
        </w:rPr>
      </w:pPr>
      <w:r>
        <w:rPr>
          <w:bCs/>
        </w:rPr>
        <w:t>A significant output of the sustained ASCR support for collaboration of physicists and computer scientists through the Open Science Grid</w:t>
      </w:r>
      <w:r>
        <w:rPr>
          <w:rStyle w:val="FootnoteReference"/>
          <w:bCs/>
        </w:rPr>
        <w:footnoteReference w:id="-1"/>
      </w:r>
      <w:r>
        <w:rPr>
          <w:bCs/>
        </w:rPr>
        <w:t xml:space="preserve"> is the effective </w:t>
      </w:r>
      <w:r w:rsidR="00223287">
        <w:rPr>
          <w:bCs/>
        </w:rPr>
        <w:t>sharing of resources and middleware and move</w:t>
      </w:r>
      <w:r>
        <w:rPr>
          <w:bCs/>
        </w:rPr>
        <w:t>ment</w:t>
      </w:r>
      <w:r w:rsidR="00223287">
        <w:rPr>
          <w:bCs/>
        </w:rPr>
        <w:t xml:space="preserve"> away from the traditionally “stove-pipe” s</w:t>
      </w:r>
      <w:r>
        <w:rPr>
          <w:bCs/>
        </w:rPr>
        <w:t>olutions in High Energy Physics.  One result of this collaboration is the o</w:t>
      </w:r>
      <w:r w:rsidR="00223287">
        <w:rPr>
          <w:bCs/>
        </w:rPr>
        <w:t>ver 100 results published by</w:t>
      </w:r>
      <w:r w:rsidR="0068711E">
        <w:rPr>
          <w:bCs/>
        </w:rPr>
        <w:t xml:space="preserve"> CDF and D0 </w:t>
      </w:r>
      <w:r w:rsidR="00223287">
        <w:rPr>
          <w:bCs/>
        </w:rPr>
        <w:t xml:space="preserve">in the past 12 months. These results </w:t>
      </w:r>
      <w:r w:rsidR="00464DA8">
        <w:rPr>
          <w:bCs/>
        </w:rPr>
        <w:t xml:space="preserve">have benefited from the value provided by </w:t>
      </w:r>
      <w:r w:rsidR="00223287">
        <w:rPr>
          <w:bCs/>
        </w:rPr>
        <w:t>dynamically add</w:t>
      </w:r>
      <w:r w:rsidR="00464DA8">
        <w:rPr>
          <w:bCs/>
        </w:rPr>
        <w:t>ing and sharing</w:t>
      </w:r>
      <w:r w:rsidR="00223287">
        <w:rPr>
          <w:bCs/>
        </w:rPr>
        <w:t xml:space="preserve"> distributed computing resources </w:t>
      </w:r>
      <w:r>
        <w:rPr>
          <w:bCs/>
        </w:rPr>
        <w:t xml:space="preserve">accessible </w:t>
      </w:r>
      <w:r w:rsidR="00223287">
        <w:rPr>
          <w:bCs/>
        </w:rPr>
        <w:t xml:space="preserve">through the joint activities of domain and computer scientists in the </w:t>
      </w:r>
      <w:r w:rsidR="0068711E">
        <w:rPr>
          <w:bCs/>
        </w:rPr>
        <w:t xml:space="preserve">Open Science Grid. </w:t>
      </w:r>
    </w:p>
    <w:p w:rsidR="00223287" w:rsidRDefault="00223287" w:rsidP="0068711E">
      <w:pPr>
        <w:rPr>
          <w:bCs/>
        </w:rPr>
      </w:pPr>
    </w:p>
    <w:p w:rsidR="00464DA8" w:rsidRDefault="00A655DE" w:rsidP="0068711E">
      <w:pPr>
        <w:rPr>
          <w:bCs/>
        </w:rPr>
      </w:pPr>
      <w:r>
        <w:rPr>
          <w:bCs/>
        </w:rPr>
        <w:t>One of the significant s</w:t>
      </w:r>
      <w:r w:rsidR="00464DA8">
        <w:rPr>
          <w:bCs/>
        </w:rPr>
        <w:t>cientific results thus published</w:t>
      </w:r>
      <w:r>
        <w:rPr>
          <w:bCs/>
        </w:rPr>
        <w:t xml:space="preserve"> is a reduction in the </w:t>
      </w:r>
      <w:r w:rsidRPr="0068711E">
        <w:rPr>
          <w:bCs/>
        </w:rPr>
        <w:t xml:space="preserve">window of </w:t>
      </w:r>
      <w:r>
        <w:rPr>
          <w:bCs/>
        </w:rPr>
        <w:t xml:space="preserve">the </w:t>
      </w:r>
      <w:r w:rsidRPr="0068711E">
        <w:rPr>
          <w:bCs/>
        </w:rPr>
        <w:t>allowed mass</w:t>
      </w:r>
      <w:r>
        <w:rPr>
          <w:bCs/>
        </w:rPr>
        <w:t xml:space="preserve"> of the Higgs particle</w:t>
      </w:r>
      <w:r>
        <w:rPr>
          <w:rStyle w:val="FootnoteReference"/>
          <w:bCs/>
        </w:rPr>
        <w:footnoteReference w:id="0"/>
      </w:r>
      <w:r>
        <w:rPr>
          <w:bCs/>
        </w:rPr>
        <w:t xml:space="preserve">. </w:t>
      </w:r>
      <w:r w:rsidR="00464DA8">
        <w:rPr>
          <w:bCs/>
        </w:rPr>
        <w:t>In</w:t>
      </w:r>
      <w:r w:rsidR="00223287">
        <w:rPr>
          <w:bCs/>
        </w:rPr>
        <w:t xml:space="preserve"> a news release in March 2009</w:t>
      </w:r>
      <w:r w:rsidR="00464DA8">
        <w:rPr>
          <w:bCs/>
        </w:rPr>
        <w:t>,</w:t>
      </w:r>
      <w:r w:rsidR="00223287">
        <w:rPr>
          <w:bCs/>
        </w:rPr>
        <w:t xml:space="preserve"> the Tevatron collaborations announced a significant step with a joint result shrinking </w:t>
      </w:r>
      <w:r w:rsidR="0068711E" w:rsidRPr="0068711E">
        <w:rPr>
          <w:bCs/>
        </w:rPr>
        <w:t>the</w:t>
      </w:r>
      <w:r w:rsidR="0068711E">
        <w:t xml:space="preserve"> </w:t>
      </w:r>
      <w:r w:rsidR="0068711E" w:rsidRPr="0068711E">
        <w:rPr>
          <w:bCs/>
        </w:rPr>
        <w:t>Higgs mass window</w:t>
      </w:r>
      <w:r w:rsidR="00223287">
        <w:rPr>
          <w:bCs/>
        </w:rPr>
        <w:t xml:space="preserve"> by a factor of almost 10 (</w:t>
      </w:r>
      <w:r w:rsidR="0068711E" w:rsidRPr="0068711E">
        <w:rPr>
          <w:bCs/>
        </w:rPr>
        <w:t>from a f</w:t>
      </w:r>
      <w:r w:rsidR="00223287">
        <w:rPr>
          <w:bCs/>
        </w:rPr>
        <w:t xml:space="preserve">ew hundred </w:t>
      </w:r>
      <w:proofErr w:type="spellStart"/>
      <w:r w:rsidR="00223287">
        <w:rPr>
          <w:bCs/>
        </w:rPr>
        <w:t>GeV</w:t>
      </w:r>
      <w:proofErr w:type="spellEnd"/>
      <w:r w:rsidR="00223287">
        <w:rPr>
          <w:bCs/>
        </w:rPr>
        <w:t xml:space="preserve"> to about forty </w:t>
      </w:r>
      <w:r w:rsidR="0068711E">
        <w:rPr>
          <w:bCs/>
        </w:rPr>
        <w:t xml:space="preserve"> </w:t>
      </w:r>
      <w:proofErr w:type="spellStart"/>
      <w:r w:rsidR="0068711E">
        <w:rPr>
          <w:bCs/>
        </w:rPr>
        <w:t>GeV</w:t>
      </w:r>
      <w:proofErr w:type="spellEnd"/>
      <w:r w:rsidR="00223287">
        <w:rPr>
          <w:bCs/>
        </w:rPr>
        <w:t>), providing</w:t>
      </w:r>
      <w:r w:rsidR="0068711E">
        <w:t xml:space="preserve"> </w:t>
      </w:r>
      <w:r w:rsidR="0068711E" w:rsidRPr="0068711E">
        <w:rPr>
          <w:bCs/>
        </w:rPr>
        <w:t>a 135GeV +- 15% target region for future discoveries</w:t>
      </w:r>
      <w:r w:rsidR="0068711E">
        <w:rPr>
          <w:bCs/>
        </w:rPr>
        <w:t xml:space="preserve"> at the Tevatron and LHC. </w:t>
      </w:r>
    </w:p>
    <w:p w:rsidR="00464DA8" w:rsidRDefault="00464DA8" w:rsidP="0068711E">
      <w:pPr>
        <w:rPr>
          <w:bCs/>
        </w:rPr>
      </w:pPr>
    </w:p>
    <w:p w:rsidR="0068711E" w:rsidRDefault="00223287" w:rsidP="0068711E">
      <w:pPr>
        <w:rPr>
          <w:bCs/>
        </w:rPr>
      </w:pPr>
      <w:r>
        <w:rPr>
          <w:bCs/>
        </w:rPr>
        <w:t xml:space="preserve">Scientists continue to use the distributed computing resources accessible through the OSG, even as the LHC data taking ramped up, to improve </w:t>
      </w:r>
      <w:r w:rsidR="0068711E">
        <w:rPr>
          <w:bCs/>
        </w:rPr>
        <w:t xml:space="preserve">accuracy of the measurement </w:t>
      </w:r>
      <w:r>
        <w:rPr>
          <w:bCs/>
        </w:rPr>
        <w:t>and publish other results.</w:t>
      </w:r>
    </w:p>
    <w:p w:rsidR="0068711E" w:rsidRDefault="0068711E" w:rsidP="0068711E">
      <w:pPr>
        <w:rPr>
          <w:bCs/>
        </w:rPr>
      </w:pPr>
    </w:p>
    <w:p w:rsidR="0068711E" w:rsidRDefault="0068711E" w:rsidP="0068711E">
      <w:pPr>
        <w:rPr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4456"/>
        <w:gridCol w:w="4400"/>
      </w:tblGrid>
      <w:tr w:rsidR="0068711E" w:rsidTr="00464DA8">
        <w:trPr>
          <w:trHeight w:val="4230"/>
        </w:trPr>
        <w:tc>
          <w:tcPr>
            <w:tcW w:w="4428" w:type="dxa"/>
          </w:tcPr>
          <w:p w:rsidR="0068711E" w:rsidRDefault="0068711E" w:rsidP="0068711E">
            <w:pPr>
              <w:keepNext/>
            </w:pPr>
            <w:r w:rsidRPr="0068711E">
              <w:rPr>
                <w:bCs/>
                <w:noProof/>
              </w:rPr>
              <w:drawing>
                <wp:inline distT="0" distB="0" distL="0" distR="0">
                  <wp:extent cx="2654935" cy="2203027"/>
                  <wp:effectExtent l="25400" t="0" r="12065" b="0"/>
                  <wp:docPr id="3" name="P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838" t="12727" r="5675" b="88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843" cy="220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711E" w:rsidRPr="0068711E" w:rsidRDefault="0068711E" w:rsidP="0068711E">
            <w:pPr>
              <w:jc w:val="center"/>
              <w:rPr>
                <w:b/>
                <w:bCs/>
                <w:sz w:val="20"/>
              </w:rPr>
            </w:pPr>
            <w:r w:rsidRPr="0068711E">
              <w:rPr>
                <w:b/>
                <w:bCs/>
                <w:sz w:val="20"/>
              </w:rPr>
              <w:t>Direct Higgs Search at Tevatron</w:t>
            </w:r>
          </w:p>
          <w:p w:rsidR="0068711E" w:rsidRPr="00464DA8" w:rsidRDefault="0068711E" w:rsidP="00464DA8">
            <w:pPr>
              <w:jc w:val="center"/>
              <w:rPr>
                <w:b/>
                <w:bCs/>
                <w:sz w:val="20"/>
              </w:rPr>
            </w:pPr>
            <w:r w:rsidRPr="0068711E">
              <w:rPr>
                <w:b/>
                <w:bCs/>
                <w:sz w:val="20"/>
              </w:rPr>
              <w:t xml:space="preserve">now excluding high mass </w:t>
            </w:r>
            <w:proofErr w:type="spellStart"/>
            <w:r w:rsidRPr="0068711E">
              <w:rPr>
                <w:b/>
                <w:bCs/>
                <w:sz w:val="20"/>
              </w:rPr>
              <w:t>higgs</w:t>
            </w:r>
            <w:proofErr w:type="spellEnd"/>
            <w:r w:rsidRPr="0068711E">
              <w:rPr>
                <w:b/>
                <w:bCs/>
                <w:sz w:val="20"/>
              </w:rPr>
              <w:t>.</w:t>
            </w:r>
          </w:p>
        </w:tc>
        <w:tc>
          <w:tcPr>
            <w:tcW w:w="4428" w:type="dxa"/>
          </w:tcPr>
          <w:p w:rsidR="0068711E" w:rsidRDefault="0068711E" w:rsidP="0068711E">
            <w:pPr>
              <w:keepNext/>
            </w:pPr>
            <w:r w:rsidRPr="0068711E">
              <w:rPr>
                <w:bCs/>
                <w:noProof/>
              </w:rPr>
              <w:drawing>
                <wp:inline distT="0" distB="0" distL="0" distR="0">
                  <wp:extent cx="2244302" cy="2183964"/>
                  <wp:effectExtent l="25400" t="0" r="0" b="0"/>
                  <wp:docPr id="2" name="P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29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97" cy="2183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711E" w:rsidRPr="0068711E" w:rsidRDefault="0068711E" w:rsidP="0068711E">
            <w:pPr>
              <w:jc w:val="center"/>
              <w:rPr>
                <w:b/>
                <w:bCs/>
                <w:sz w:val="20"/>
              </w:rPr>
            </w:pPr>
            <w:r w:rsidRPr="0068711E">
              <w:rPr>
                <w:b/>
                <w:bCs/>
                <w:sz w:val="20"/>
              </w:rPr>
              <w:t>Top and W masses now known to</w:t>
            </w:r>
          </w:p>
          <w:p w:rsidR="0068711E" w:rsidRPr="00464DA8" w:rsidRDefault="0068711E" w:rsidP="00464DA8">
            <w:pPr>
              <w:jc w:val="center"/>
              <w:rPr>
                <w:b/>
                <w:bCs/>
                <w:sz w:val="20"/>
              </w:rPr>
            </w:pPr>
            <w:r w:rsidRPr="0068711E">
              <w:rPr>
                <w:b/>
                <w:bCs/>
                <w:sz w:val="20"/>
              </w:rPr>
              <w:t>0.3% and 0.75% respectively.</w:t>
            </w:r>
            <w:r w:rsidRPr="0068711E">
              <w:rPr>
                <w:b/>
                <w:bCs/>
                <w:sz w:val="20"/>
              </w:rPr>
              <w:br/>
              <w:t>=&gt; Constrain Higgs via Quantum effects.</w:t>
            </w:r>
          </w:p>
        </w:tc>
      </w:tr>
    </w:tbl>
    <w:p w:rsidR="0068711E" w:rsidRPr="0068711E" w:rsidRDefault="0068711E" w:rsidP="0068711E"/>
    <w:p w:rsidR="00223287" w:rsidRPr="0068711E" w:rsidRDefault="00223287">
      <w:pPr>
        <w:rPr>
          <w:b/>
        </w:rPr>
      </w:pPr>
    </w:p>
    <w:sectPr w:rsidR="00223287" w:rsidRPr="0068711E" w:rsidSect="00223287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id="-1">
    <w:p w:rsidR="00025055" w:rsidRDefault="00025055" w:rsidP="00A655DE">
      <w:pPr>
        <w:rPr>
          <w:bCs/>
        </w:rPr>
      </w:pPr>
      <w:r>
        <w:rPr>
          <w:rStyle w:val="FootnoteReference"/>
        </w:rPr>
        <w:footnoteRef/>
      </w:r>
      <w:r>
        <w:t xml:space="preserve"> </w:t>
      </w:r>
      <w:r>
        <w:rPr>
          <w:bCs/>
        </w:rPr>
        <w:t>And from 2000-2006 the Particle Physics Data Grid.</w:t>
      </w:r>
    </w:p>
    <w:p w:rsidR="00025055" w:rsidRDefault="00025055">
      <w:pPr>
        <w:pStyle w:val="FootnoteText"/>
      </w:pPr>
    </w:p>
  </w:footnote>
  <w:footnote w:id="0">
    <w:p w:rsidR="00025055" w:rsidRDefault="000250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bCs/>
        </w:rPr>
        <w:t xml:space="preserve">See </w:t>
      </w:r>
      <w:hyperlink r:id="rId1" w:history="1">
        <w:r w:rsidRPr="00025055">
          <w:rPr>
            <w:rStyle w:val="Hyperlink"/>
            <w:bCs/>
          </w:rPr>
          <w:t>press release</w:t>
        </w:r>
      </w:hyperlink>
      <w:r w:rsidRPr="0068711E">
        <w:rPr>
          <w:bCs/>
        </w:rPr>
        <w:t xml:space="preserve"> </w:t>
      </w:r>
      <w:r>
        <w:rPr>
          <w:bCs/>
        </w:rPr>
        <w:t>The p</w:t>
      </w:r>
      <w:r w:rsidRPr="0068711E">
        <w:rPr>
          <w:bCs/>
        </w:rPr>
        <w:t>revailing theory of mass predicts a “Higgs” particle, and all its properties, except its mass</w:t>
      </w:r>
      <w:r>
        <w:rPr>
          <w:bCs/>
        </w:rPr>
        <w:t>.</w:t>
      </w:r>
      <w:r w:rsidRPr="0068711E">
        <w:rPr>
          <w:bCs/>
        </w:rPr>
        <w:t xml:space="preserve"> </w:t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68711E"/>
    <w:rsid w:val="00025055"/>
    <w:rsid w:val="00223287"/>
    <w:rsid w:val="00366BD6"/>
    <w:rsid w:val="003B5C7F"/>
    <w:rsid w:val="00464DA8"/>
    <w:rsid w:val="0068711E"/>
    <w:rsid w:val="00692867"/>
    <w:rsid w:val="0095176E"/>
    <w:rsid w:val="00A655DE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6E9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NormalWeb">
    <w:name w:val="Normal (Web)"/>
    <w:basedOn w:val="Normal"/>
    <w:uiPriority w:val="99"/>
    <w:rsid w:val="0068711E"/>
    <w:pPr>
      <w:spacing w:beforeLines="1" w:afterLines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68711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68711E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1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11E"/>
    <w:rPr>
      <w:rFonts w:ascii="Lucida Grande" w:hAnsi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3287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3287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23287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02505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43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4" Type="http://schemas.openxmlformats.org/officeDocument/2006/relationships/footnotes" Target="footnotes.xml"/><Relationship Id="rId5" Type="http://schemas.openxmlformats.org/officeDocument/2006/relationships/image" Target="media/image1.png"/><Relationship Id="rId7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6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nal.gov/pub/presspass/press_releases/Higgs-mass-constraints-200903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221</Words>
  <Characters>1261</Characters>
  <Application>Microsoft Macintosh Word</Application>
  <DocSecurity>0</DocSecurity>
  <Lines>10</Lines>
  <Paragraphs>2</Paragraphs>
  <ScaleCrop>false</ScaleCrop>
  <Company>Fermilab</Company>
  <LinksUpToDate>false</LinksUpToDate>
  <CharactersWithSpaces>1548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Pordes</dc:creator>
  <cp:keywords/>
  <cp:lastModifiedBy>Ruth Pordes</cp:lastModifiedBy>
  <cp:revision>5</cp:revision>
  <dcterms:created xsi:type="dcterms:W3CDTF">2010-01-09T14:48:00Z</dcterms:created>
  <dcterms:modified xsi:type="dcterms:W3CDTF">2010-01-09T16:38:00Z</dcterms:modified>
</cp:coreProperties>
</file>