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3. Scenario Analysis --  Sensitivity of the ICER to the Buffer Stock Rate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Effects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Incremental Effects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DALYs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NMB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NHB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ΔCosts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ΔDALYs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ΔNMB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ΔNHB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ICER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 Buffer Stock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1,085,212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-3,163,867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125,462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317,496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854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5% Buffer Stock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1,085,212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-3,163,867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125,462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317,496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854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10% Buffer Stock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1,092,929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-3,171,584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133,179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309,780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906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 Buffer Stock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959,750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-3,481,363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1,116,079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-3,194,734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-1,060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156,330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286,629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1,064</w:t>
            </w:r>
          </w:p>
        </w:tc>
      </w:tr>
    </w:tbl>
    <w:sectPr>
      <w:pgMar w:header="708" w:bottom="1417" w:top="1417" w:right="1417" w:left="1417" w:footer="708" w:gutter="0"/>
      <w:pgSz w:h="12960" w:w="1728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2026-05-08T15:50:30Z</dcterms:modified>
  <cp:category/>
</cp:coreProperties>
</file>