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48" w:lineRule="auto"/>
        <w:jc w:val="center"/>
      </w:pPr>
      <w:r>
        <w:rPr>
          <w:rFonts w:ascii="黑体" w:hAnsi="黑体" w:eastAsia="黑体"/>
          <w:b/>
          <w:sz w:val="40"/>
        </w:rPr>
        <w:t>{{方案名称}}</w:t>
      </w:r>
    </w:p>
    <w:p>
      <w:pPr>
        <w:spacing w:after="280" w:before="0" w:line="348" w:lineRule="auto"/>
        <w:jc w:val="center"/>
      </w:pPr>
      <w:r>
        <w:rPr>
          <w:rFonts w:ascii="黑体" w:hAnsi="黑体" w:eastAsia="黑体"/>
          <w:b w:val="0"/>
          <w:color w:val="404040"/>
          <w:sz w:val="24"/>
        </w:rPr>
        <w:t>技术方案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61"/>
        <w:gridCol w:w="3005"/>
        <w:gridCol w:w="1361"/>
        <w:gridCol w:w="3005"/>
      </w:tblGrid>
      <w:tr>
        <w:tc>
          <w:tcPr>
            <w:tcW w:type="dxa" w:w="1361"/>
            <w:shd w:val="clear" w:color="auto" w:fill="F2F2F2"/>
          </w:tcPr>
          <w:p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文档编号</w:t>
            </w:r>
          </w:p>
        </w:tc>
        <w:tc>
          <w:tcPr>
            <w:tcW w:type="dxa" w:w="3005"/>
          </w:tcPr>
          <w:p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{{文档编号}}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3005"/>
          </w:tcPr>
          <w:p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{{版本}}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编制人</w:t>
            </w:r>
          </w:p>
        </w:tc>
        <w:tc>
          <w:tcPr>
            <w:tcW w:type="dxa" w:w="3005"/>
          </w:tcPr>
          <w:p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{{编制人}}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编制日期</w:t>
            </w:r>
          </w:p>
        </w:tc>
        <w:tc>
          <w:tcPr>
            <w:tcW w:type="dxa" w:w="3005"/>
          </w:tcPr>
          <w:p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{{编制日期}}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评审状态</w:t>
            </w:r>
          </w:p>
        </w:tc>
        <w:tc>
          <w:tcPr>
            <w:tcW w:type="dxa" w:w="3005"/>
          </w:tcPr>
          <w:p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{{评审状态}}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before="40" w:after="40" w:line="30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需求来源</w:t>
            </w:r>
          </w:p>
        </w:tc>
        <w:tc>
          <w:tcPr>
            <w:tcW w:type="dxa" w:w="3005"/>
          </w:tcPr>
          <w:p>
            <w:pPr>
              <w:spacing w:before="40" w:after="40" w:line="30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{{需求来源}}</w:t>
            </w:r>
          </w:p>
        </w:tc>
      </w:tr>
    </w:tbl>
    <w:p>
      <w:pPr>
        <w:spacing w:after="120" w:before="240" w:line="348" w:lineRule="auto"/>
      </w:pPr>
      <w:r>
        <w:rPr>
          <w:rFonts w:ascii="黑体" w:hAnsi="黑体" w:eastAsia="黑体"/>
          <w:b/>
          <w:sz w:val="25"/>
        </w:rPr>
        <w:t>一、背景与目标</w:t>
      </w:r>
    </w:p>
    <w:p>
      <w:pPr>
        <w:spacing w:after="80" w:before="0" w:line="348" w:lineRule="auto"/>
      </w:pPr>
      <w:r>
        <w:rPr>
          <w:rFonts w:ascii="宋体" w:hAnsi="宋体" w:eastAsia="宋体"/>
          <w:b w:val="0"/>
          <w:sz w:val="21"/>
        </w:rPr>
        <w:t>{{需求背景}}</w:t>
      </w:r>
    </w:p>
    <w:p>
      <w:pPr>
        <w:spacing w:after="80" w:before="0" w:line="348" w:lineRule="auto"/>
      </w:pPr>
      <w:r>
        <w:rPr>
          <w:rFonts w:ascii="宋体" w:hAnsi="宋体" w:eastAsia="宋体"/>
          <w:b w:val="0"/>
          <w:sz w:val="21"/>
        </w:rPr>
        <w:t>改造目标：{{改造目标}}</w:t>
      </w:r>
    </w:p>
    <w:p>
      <w:pPr>
        <w:spacing w:after="120" w:before="200" w:line="348" w:lineRule="auto"/>
      </w:pPr>
      <w:r>
        <w:rPr>
          <w:rFonts w:ascii="黑体" w:hAnsi="黑体" w:eastAsia="黑体"/>
          <w:b/>
          <w:sz w:val="25"/>
        </w:rPr>
        <w:t>二、改造范围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涉及工程：{{涉及工程}}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{{表格:改造清单}}</w:t>
      </w:r>
    </w:p>
    <w:p>
      <w:pPr>
        <w:spacing w:after="120" w:before="200" w:line="348" w:lineRule="auto"/>
      </w:pPr>
      <w:r>
        <w:rPr>
          <w:rFonts w:ascii="黑体" w:hAnsi="黑体" w:eastAsia="黑体"/>
          <w:b/>
          <w:sz w:val="25"/>
        </w:rPr>
        <w:t>三、数据库变更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{{#if 需要数据库变更}}</w:t>
      </w:r>
    </w:p>
    <w:p>
      <w:pPr>
        <w:spacing w:after="80" w:before="0" w:line="348" w:lineRule="auto"/>
      </w:pPr>
      <w:r>
        <w:rPr>
          <w:rFonts w:ascii="宋体" w:hAnsi="宋体" w:eastAsia="宋体"/>
          <w:b w:val="0"/>
          <w:sz w:val="21"/>
        </w:rPr>
        <w:t>本次变更涉及以下字段：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{{表格:字段清单}}</w:t>
      </w:r>
    </w:p>
    <w:p>
      <w:pPr>
        <w:spacing w:after="40" w:before="0" w:line="348" w:lineRule="auto"/>
      </w:pPr>
      <w:r>
        <w:rPr>
          <w:rFonts w:ascii="宋体" w:hAnsi="宋体" w:eastAsia="宋体"/>
          <w:b w:val="0"/>
          <w:sz w:val="21"/>
        </w:rPr>
        <w:t>变更脚本：</w:t>
      </w:r>
    </w:p>
    <w:p>
      <w:pPr>
        <w:spacing w:after="120" w:before="0" w:line="312" w:lineRule="auto"/>
        <w:ind w:left="227"/>
      </w:pPr>
      <w:r>
        <w:rPr>
          <w:rFonts w:ascii="Consolas" w:hAnsi="Consolas" w:eastAsia="宋体"/>
          <w:b w:val="0"/>
          <w:sz w:val="19"/>
        </w:rPr>
        <w:t>{{sql_for_database_modification}}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{{else}}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本次改造不涉及数据库变更。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{{/if}}</w:t>
      </w:r>
    </w:p>
    <w:p>
      <w:pPr>
        <w:spacing w:after="120" w:before="200" w:line="348" w:lineRule="auto"/>
      </w:pPr>
      <w:r>
        <w:rPr>
          <w:rFonts w:ascii="黑体" w:hAnsi="黑体" w:eastAsia="黑体"/>
          <w:b/>
          <w:sz w:val="25"/>
        </w:rPr>
        <w:t>四、接口清单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{{表格:接口清单}}</w:t>
      </w:r>
    </w:p>
    <w:p>
      <w:pPr>
        <w:spacing w:after="120" w:before="200" w:line="348" w:lineRule="auto"/>
      </w:pPr>
      <w:r>
        <w:rPr>
          <w:rFonts w:ascii="黑体" w:hAnsi="黑体" w:eastAsia="黑体"/>
          <w:b/>
          <w:sz w:val="25"/>
        </w:rPr>
        <w:t>五、风险与应对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{{#each 风险}}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（{{_index}}）{{内容}}　应对：{{应对}}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{{/each}}</w:t>
      </w:r>
    </w:p>
    <w:p>
      <w:pPr>
        <w:spacing w:after="120" w:before="200" w:line="348" w:lineRule="auto"/>
      </w:pPr>
      <w:r>
        <w:rPr>
          <w:rFonts w:ascii="黑体" w:hAnsi="黑体" w:eastAsia="黑体"/>
          <w:b/>
          <w:sz w:val="25"/>
        </w:rPr>
        <w:t>六、上线安排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{{#if 需要停机}}本次上线需要停机，停机窗口：{{停机窗口}}。{{else}}本次上线不需要停机，采用灰度发布。{{/if}}</w:t>
      </w:r>
    </w:p>
    <w:p>
      <w:pPr>
        <w:spacing w:after="120" w:before="40" w:line="348" w:lineRule="auto"/>
      </w:pPr>
      <w:r>
        <w:rPr>
          <w:rFonts w:ascii="宋体" w:hAnsi="宋体" w:eastAsia="宋体"/>
          <w:b w:val="0"/>
          <w:sz w:val="21"/>
        </w:rPr>
        <w:t>回滚方案：{{回滚方案}}</w:t>
      </w:r>
    </w:p>
    <w:p>
      <w:pPr>
        <w:spacing w:after="120" w:before="200" w:line="348" w:lineRule="auto"/>
      </w:pPr>
      <w:r>
        <w:rPr>
          <w:rFonts w:ascii="黑体" w:hAnsi="黑体" w:eastAsia="黑体"/>
          <w:b/>
          <w:sz w:val="25"/>
        </w:rPr>
        <w:t>七、测试要点</w:t>
      </w:r>
    </w:p>
    <w:p>
      <w:pPr>
        <w:spacing w:after="120" w:before="0" w:line="348" w:lineRule="auto"/>
      </w:pPr>
      <w:r>
        <w:rPr>
          <w:rFonts w:ascii="宋体" w:hAnsi="宋体" w:eastAsia="宋体"/>
          <w:b w:val="0"/>
          <w:sz w:val="21"/>
        </w:rPr>
        <w:t>{{测试要点}}</w:t>
      </w:r>
    </w:p>
    <w:p>
      <w:pPr>
        <w:spacing w:after="120" w:before="160" w:line="348" w:lineRule="auto"/>
      </w:pPr>
      <w:r>
        <w:rPr>
          <w:rFonts w:ascii="宋体" w:hAnsi="宋体" w:eastAsia="宋体"/>
          <w:b w:val="0"/>
          <w:color w:val="595959"/>
          <w:sz w:val="18"/>
        </w:rPr>
        <w:t>（本方案由模板自动生成，数据见同名 JSON 文件。）</w:t>
      </w:r>
    </w:p>
    <w:sectPr w:rsidR="00FC693F" w:rsidRPr="0006063C" w:rsidSect="00034616">
      <w:headerReference w:type="default" r:id="rId9"/>
      <w:pgSz w:w="12240" w:h="15840"/>
      <w:pgMar w:top="1361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595959"/>
        <w:sz w:val="18"/>
      </w:rPr>
      <w:t>{{方案名称}}　v{{版本}}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