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jc w:val="center"/>
        <w:spacing w:after="120"/>
      </w:pPr>
      <w:r>
        <w:rPr>
          <w:b/>
          <w:sz w:val="32"/>
        </w:rPr>
        <w:t>NexHRIS Use Case Diagram</w:t>
      </w:r>
    </w:p>
    <w:p>
      <w:pPr>
        <w:jc w:val="center"/>
        <w:spacing w:after="180"/>
      </w:pPr>
      <w:r>
        <w:t>Login and role-based navigation for the HR Administrator, Dean, Employee, and Campus Director</w:t>
      </w:r>
    </w:p>
    <w:p>
      <w:pPr>
        <w:jc w:val="center"/>
      </w:pPr>
      <w:r>
        <w:drawing>
          <wp:inline distT="0" distB="0" distL="0" distR="0">
            <wp:extent cx="14000000" cy="9800000"/>
            <wp:docPr id="1" name="NexHRIS Use Case Diagram"/>
            <a:graphic>
              <a:graphicData uri="http://schemas.openxmlformats.org/drawingml/2006/picture">
                <pic:pic>
                  <pic:nvPicPr>
                    <pic:cNvPr id="0" name="use-case-diagram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4000000" cy="9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/>
      </w:pPr>
      <w:r>
        <w:rPr>
          <w:i/>
        </w:rPr>
        <w:t>The system requires the user to log in first. After authentication, the dashboard and navbar expose functions according to the assigned role.</w:t>
      </w:r>
    </w:p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Relationship Id="rId2" Type="http://schemas.openxmlformats.org/officeDocument/2006/relationships/styles" Target="styles.xml"/>
</Relationships>
</file>