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jc w:val="left"/>
      </w:pPr>
      <w:r>
        <w:rPr>
          <w:rFonts w:ascii="Times New Roman" w:hAnsi="Times New Roman"/>
          <w:b/>
          <w:color w:val="000000"/>
          <w:sz w:val="24"/>
        </w:rPr>
        <w:t>Avaliação da Qualidade Metodológica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Para avaliar a qualidade metodológica dos estudos incluídos, adotou-se uma abordagem de pontuação adaptada de Rios e Mello (2012) ao contexto de estudos empíricos de Inteligência Artificial e Aprendizado de Máquina, em conformidade com as recomendações do PRISMA 2020 quanto à avaliação do risco de viés e da qualidade dos estudos primários (Page et al., 2021). Cada estudo foi avaliado segundo seis critérios, apresentados no Quadro A, atribuindo-se a cada um a pontuação 0 (insatisfatório), 0,5 (parcialmente satisfatório) ou 1 (satisfatório).</w:t>
      </w:r>
    </w:p>
    <w:p>
      <w:pPr>
        <w:spacing w:before="120" w:after="40" w:line="240" w:lineRule="auto"/>
      </w:pPr>
      <w:r>
        <w:rPr>
          <w:rFonts w:ascii="Times New Roman" w:hAnsi="Times New Roman"/>
          <w:b/>
          <w:sz w:val="20"/>
        </w:rPr>
        <w:t>Quadro A — Critérios de avaliação da qualidade metodológica.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5896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134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Pontuação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C1 — Descrição metodológica</w:t>
            </w:r>
          </w:p>
        </w:tc>
        <w:tc>
          <w:tcPr>
            <w:tcW w:type="dxa" w:w="5896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Clareza e completude na descrição do problema, dos dados, do pipeline e dos algoritmos empregados.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 / 0,5 / 1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C2 — Adequação dos dados/dataset</w:t>
            </w:r>
          </w:p>
        </w:tc>
        <w:tc>
          <w:tcPr>
            <w:tcW w:type="dxa" w:w="5896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Tamanho, representatividade, natureza (real/público) e tratamento de qualidade/desbalanceamento adequados à tarefa.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 / 0,5 / 1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C3 — Validação do modelo</w:t>
            </w:r>
          </w:p>
        </w:tc>
        <w:tc>
          <w:tcPr>
            <w:tcW w:type="dxa" w:w="5896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Estratégia de validação apropriada (holdout/validação cruzada, teste independente, ausência de vazamento de dados).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 / 0,5 / 1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C4 — Adequação das métricas</w:t>
            </w:r>
          </w:p>
        </w:tc>
        <w:tc>
          <w:tcPr>
            <w:tcW w:type="dxa" w:w="5896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Métricas apropriadas ao problema (F1, AUC, revocação p/ classificação desbalanceada; RMSE/MAE/R² p/ regressão/RUL), não só acurácia.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 / 0,5 / 1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C5 — Relevância e aplicabilidade</w:t>
            </w:r>
          </w:p>
        </w:tc>
        <w:tc>
          <w:tcPr>
            <w:tcW w:type="dxa" w:w="5896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Aderência ao escopo e utilidade prática dos resultados para a manutenção preditiva de frotas.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 / 0,5 / 1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C6 — Reprodutibilidade</w:t>
            </w:r>
          </w:p>
        </w:tc>
        <w:tc>
          <w:tcPr>
            <w:tcW w:type="dxa" w:w="5896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Disponibilidade de código e/ou dados e detalhes suficientes para replicação (liga-se a SQ.5 e SQ.6).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 / 0,5 / 1</w:t>
            </w:r>
          </w:p>
        </w:tc>
      </w:tr>
    </w:tbl>
    <w:p>
      <w:pPr>
        <w:spacing w:before="40" w:after="120" w:line="240" w:lineRule="auto"/>
      </w:pPr>
      <w:r>
        <w:rPr>
          <w:rFonts w:ascii="Times New Roman" w:hAnsi="Times New Roman"/>
          <w:sz w:val="20"/>
        </w:rPr>
        <w:t>Fonte: elaborado pelo autor, adaptado de Rios e Mello (2012).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pontuação total de cada estudo resulta da soma dos seis critérios, variando de 0 a 6 pontos. Com base nesse total, os estudos foram classificados em três faixas de qualidade metodológica: baixa (0 a 2 pontos), moderada (2,5 a 4 pontos) e alta (4,5 a 6 pontos).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avaliação foi conduzida por revisor único, aplicando-se os mesmos critérios de forma uniforme a todos os estudos, com as pontuações registradas em planilha estruturada e rastreáveis à matriz de evidências (Quadro de síntese por estudo). Todos os 22 estudos incluídos foram avaliados em texto completo.</w:t>
      </w:r>
    </w:p>
    <w:p>
      <w:pPr>
        <w:spacing w:line="360" w:lineRule="auto" w:before="240" w:after="240"/>
        <w:jc w:val="left"/>
      </w:pPr>
      <w:r>
        <w:rPr>
          <w:rFonts w:ascii="Times New Roman" w:hAnsi="Times New Roman"/>
          <w:b/>
          <w:color w:val="000000"/>
          <w:sz w:val="24"/>
        </w:rPr>
        <w:t>Resultado da avaliação de qualidade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aplicação da rubrica, após validação em texto completo (full-text), resultou em pontuação média de 3,73 de 6 pontos, indicando qualidade metodológica global moderada. Dos 22 estudos incluídos, 6 foram classificados como de qualidade Alta (≥ 4,5), 15 como Moderada (2,5–4,0) e 1 como Baixa (0–2). Os critérios de menor pontuação média foram C6 — reprodutibilidade (0,23), C4 — métricas (0,59) e C3 — validação (0,61). No caso de C3, observa-se uma fragilidade metodológica recorrente: ausência de validação cruzada, ausência de separação temporal (split temporal) e risco de vazamento de dados (data leakage) — por exemplo, a aplicação de sobreamostragem (SMOTE) antes da divisão treino/teste ou o particionamento aleatório de séries temporais —, o que fragiliza a generalização reportada. A baixa reprodutibilidade (C6) decorre de poucos estudos disponibilizarem simultaneamente código e dados. Registra-se, por fim, que os dois estudos diretamente vinculados ao setor de Engenharia e Construção (IDs 347 e 350) situam-se na faixa Moderada, reforçando que os estudos diretos do setor não são apenas escassos, mas também de robustez metodológica apenas moderada.</w:t>
      </w:r>
    </w:p>
    <w:p>
      <w:pPr>
        <w:spacing w:before="120" w:after="40" w:line="240" w:lineRule="auto"/>
      </w:pPr>
      <w:r>
        <w:rPr>
          <w:rFonts w:ascii="Times New Roman" w:hAnsi="Times New Roman"/>
          <w:b/>
          <w:sz w:val="20"/>
        </w:rPr>
        <w:t>Quadro B — Pontuação de qualidade metodológica por estudo incluído.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624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38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Domínio</w:t>
            </w:r>
          </w:p>
        </w:tc>
        <w:tc>
          <w:tcPr>
            <w:tcW w:type="dxa" w:w="567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C1</w:t>
            </w:r>
          </w:p>
        </w:tc>
        <w:tc>
          <w:tcPr>
            <w:tcW w:type="dxa" w:w="567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C2</w:t>
            </w:r>
          </w:p>
        </w:tc>
        <w:tc>
          <w:tcPr>
            <w:tcW w:type="dxa" w:w="567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C3</w:t>
            </w:r>
          </w:p>
        </w:tc>
        <w:tc>
          <w:tcPr>
            <w:tcW w:type="dxa" w:w="567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C4</w:t>
            </w:r>
          </w:p>
        </w:tc>
        <w:tc>
          <w:tcPr>
            <w:tcW w:type="dxa" w:w="567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C5</w:t>
            </w:r>
          </w:p>
        </w:tc>
        <w:tc>
          <w:tcPr>
            <w:tcW w:type="dxa" w:w="567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C6</w:t>
            </w:r>
          </w:p>
        </w:tc>
        <w:tc>
          <w:tcPr>
            <w:tcW w:type="dxa" w:w="737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304"/>
            <w:shd w:val="clear" w:fill="1F4E79"/>
          </w:tcPr>
          <w:p>
            <w:pPr>
              <w:spacing w:line="240" w:lineRule="auto"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Classif.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347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E&amp;C (concreto)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3,5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350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E&amp;C (concreto)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Caminhões/comerciais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Caminhões/comerciais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3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Caminhões/comerciais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2,5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Caminhões/comerciais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3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242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Caminhões/comerciais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C6EFCE" w:color="auto"/>
          </w:tcPr>
          <w:p>
            <w:pPr>
              <w:spacing w:line="240" w:lineRule="auto" w:before="0" w:after="0"/>
              <w:jc w:val="center"/>
            </w:pPr>
            <w:r>
              <w:t>Alta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Mineração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C6EFCE" w:color="auto"/>
          </w:tcPr>
          <w:p>
            <w:pPr>
              <w:spacing w:line="240" w:lineRule="auto" w:before="0" w:after="0"/>
              <w:jc w:val="center"/>
            </w:pPr>
            <w:r>
              <w:t>Alta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113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Mineração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134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Mineração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2,5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246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Mineração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C6EFCE" w:color="auto"/>
          </w:tcPr>
          <w:p>
            <w:pPr>
              <w:spacing w:line="240" w:lineRule="auto" w:before="0" w:after="0"/>
              <w:jc w:val="center"/>
            </w:pPr>
            <w:r>
              <w:t>Alta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Ferroviário/Metrô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107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Ferroviário/Metrô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3,5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125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Ferroviário/Metrô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214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Ferroviário/Metrô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3,5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243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Ferroviário/Metrô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3,5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293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Ferroviário/Metrô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3,5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Ônibus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C6EFCE" w:color="auto"/>
          </w:tcPr>
          <w:p>
            <w:pPr>
              <w:spacing w:line="240" w:lineRule="auto" w:before="0" w:after="0"/>
              <w:jc w:val="center"/>
            </w:pPr>
            <w:r>
              <w:t>Alta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Ônibus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6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C6EFCE" w:color="auto"/>
          </w:tcPr>
          <w:p>
            <w:pPr>
              <w:spacing w:line="240" w:lineRule="auto" w:before="0" w:after="0"/>
              <w:jc w:val="center"/>
            </w:pPr>
            <w:r>
              <w:t>Alta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Empilhadeiras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3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EB9C" w:color="auto"/>
          </w:tcPr>
          <w:p>
            <w:pPr>
              <w:spacing w:line="240" w:lineRule="auto" w:before="0" w:after="0"/>
              <w:jc w:val="center"/>
            </w:pPr>
            <w:r>
              <w:t>Moderada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335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Empilhadeiras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1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4,5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C6EFCE" w:color="auto"/>
          </w:tcPr>
          <w:p>
            <w:pPr>
              <w:spacing w:line="240" w:lineRule="auto" w:before="0" w:after="0"/>
              <w:jc w:val="center"/>
            </w:pPr>
            <w:r>
              <w:t>Alta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97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Frota terrestre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0,5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t>0</w:t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line="240" w:lineRule="auto" w:before="0" w:after="0"/>
              <w:jc w:val="center"/>
            </w:pPr>
            <w:r>
              <w:t>2</w:t>
            </w: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304"/>
            <w:shd w:val="clear" w:fill="FFC7CE" w:color="auto"/>
          </w:tcPr>
          <w:p>
            <w:pPr>
              <w:spacing w:line="240" w:lineRule="auto" w:before="0" w:after="0"/>
              <w:jc w:val="center"/>
            </w:pPr>
            <w:r>
              <w:t>Baixa</w:t>
            </w:r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spacing w:before="40" w:after="120" w:line="240" w:lineRule="auto"/>
      </w:pPr>
      <w:r>
        <w:rPr>
          <w:rFonts w:ascii="Times New Roman" w:hAnsi="Times New Roman"/>
          <w:sz w:val="20"/>
        </w:rPr>
        <w:t>Fonte: elaborado pelo autor. Legenda: C1 descrição metodológica; C2 dados/dataset; C3 validação; C4 métricas; C5 relevância; C6 reprodutibilidade. Faixas: Baixa 0–2; Moderada 2,5–4; Alta 4,5–6.</w:t>
      </w:r>
    </w:p>
    <w:p>
      <w:pPr>
        <w:spacing w:line="240" w:lineRule="auto" w:before="120"/>
      </w:pPr>
      <w:r>
        <w:rPr>
          <w:rFonts w:ascii="Times New Roman" w:hAnsi="Times New Roman"/>
          <w:i/>
          <w:sz w:val="18"/>
        </w:rPr>
        <w:t>Observação metodológica: as pontuações foram validadas em texto completo (full-text) para os 22 estudos incluídos — os 20 estudos análogos e os 2 estudos diretos de Engenharia e Construção (IDs 347 e 350). Os critérios C4 (métricas) e C6 (reprodutibilidade) derivam diretamente da matriz de evidências; C1, C2, C3 e C5 foram confirmados na leitura integral.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