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120"/>
      </w:pPr>
      <w:r>
        <w:rPr>
          <w:b/>
          <w:sz w:val="28"/>
        </w:rPr>
        <w:t>Auditoria de conformidade — PRISMA 2020 (27 itens)</w:t>
      </w:r>
    </w:p>
    <w:p>
      <w:r>
        <w:rPr>
          <w:i/>
          <w:color w:val="808080"/>
          <w:sz w:val="18"/>
        </w:rPr>
        <w:t>[Rascunho — 02/09/2026 · mapeamento dos 27 itens do PRISMA 2020 (Page et al., 2021) ao TCC. Status: Atende / Parcial / Não atende / N/A. Ao final, texto pronto para as lacunas rápidas (itens 24–27).]</w:t>
      </w:r>
    </w:p>
    <w:p>
      <w:r>
        <w:rPr>
          <w:b/>
          <w:sz w:val="22"/>
        </w:rPr>
        <w:t>Síntese: Atende = 14 · Parcial = 8 · Não atende = 4 · N/A =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2"/>
        <w:gridCol w:w="2262"/>
        <w:gridCol w:w="2262"/>
        <w:gridCol w:w="2262"/>
        <w:gridCol w:w="2262"/>
        <w:gridCol w:w="2262"/>
      </w:tblGrid>
      <w:tr>
        <w:tc>
          <w:tcPr>
            <w:tcW w:type="dxa" w:w="454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1304"/>
          </w:tcPr>
          <w:p>
            <w:r>
              <w:rPr>
                <w:b/>
                <w:sz w:val="20"/>
              </w:rPr>
              <w:t>Seção</w:t>
            </w:r>
          </w:p>
        </w:tc>
        <w:tc>
          <w:tcPr>
            <w:tcW w:type="dxa" w:w="3685"/>
          </w:tcPr>
          <w:p>
            <w:r>
              <w:rPr>
                <w:b/>
                <w:sz w:val="20"/>
              </w:rPr>
              <w:t>Item PRISMA 2020</w:t>
            </w:r>
          </w:p>
        </w:tc>
        <w:tc>
          <w:tcPr>
            <w:tcW w:type="dxa" w:w="3402"/>
          </w:tcPr>
          <w:p>
            <w:r>
              <w:rPr>
                <w:b/>
                <w:sz w:val="20"/>
              </w:rPr>
              <w:t>Onde está no TCC</w:t>
            </w:r>
          </w:p>
        </w:tc>
        <w:tc>
          <w:tcPr>
            <w:tcW w:type="dxa" w:w="1247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5102"/>
          </w:tcPr>
          <w:p>
            <w:r>
              <w:rPr>
                <w:b/>
                <w:sz w:val="20"/>
              </w:rPr>
              <w:t>Observação / Recomendação</w:t>
            </w:r>
          </w:p>
        </w:tc>
      </w:tr>
      <w:tr>
        <w:tc>
          <w:tcPr>
            <w:tcW w:type="dxa" w:w="454"/>
          </w:tcPr>
          <w:p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304"/>
          </w:tcPr>
          <w:p>
            <w:r>
              <w:rPr>
                <w:rFonts w:ascii="Times New Roman" w:hAnsi="Times New Roman"/>
                <w:sz w:val="18"/>
              </w:rPr>
              <w:t>Título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sz w:val="18"/>
              </w:rPr>
              <w:t>Identificar o trabalho como revisão sistemática.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sz w:val="18"/>
              </w:rPr>
              <w:t>Título do TCC</w:t>
            </w:r>
          </w:p>
        </w:tc>
        <w:tc>
          <w:tcPr>
            <w:tcW w:type="dxa" w:w="1247"/>
            <w:shd w:fill="C6EFCE"/>
          </w:tcPr>
          <w:p>
            <w:r>
              <w:rPr>
                <w:rFonts w:ascii="Times New Roman" w:hAnsi="Times New Roman"/>
                <w:sz w:val="18"/>
              </w:rPr>
              <w:t>Atende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sz w:val="18"/>
              </w:rPr>
              <w:t>Confirmar que o título final contenha 'Revisão Sistemática da Literatura'.</w:t>
            </w:r>
          </w:p>
        </w:tc>
      </w:tr>
      <w:tr>
        <w:tc>
          <w:tcPr>
            <w:tcW w:type="dxa" w:w="454"/>
          </w:tcPr>
          <w:p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304"/>
          </w:tcPr>
          <w:p>
            <w:r>
              <w:rPr>
                <w:rFonts w:ascii="Times New Roman" w:hAnsi="Times New Roman"/>
                <w:sz w:val="18"/>
              </w:rPr>
              <w:t>Resumo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sz w:val="18"/>
              </w:rPr>
              <w:t>Resumo estruturado (checklist PRISMA para resumos).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sz w:val="18"/>
              </w:rPr>
              <w:t>Resumo_Abstract_RSL_20260902</w:t>
            </w:r>
          </w:p>
        </w:tc>
        <w:tc>
          <w:tcPr>
            <w:tcW w:type="dxa" w:w="1247"/>
            <w:shd w:fill="FFEB9C"/>
          </w:tcPr>
          <w:p>
            <w:r>
              <w:rPr>
                <w:rFonts w:ascii="Times New Roman" w:hAnsi="Times New Roman"/>
                <w:sz w:val="18"/>
              </w:rPr>
              <w:t>Parcial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sz w:val="18"/>
              </w:rPr>
              <w:t>Cobre objetivo, método, fontes, resultados e conclusões; parágrafo único. Garantir menção a critérios de elegibilidade, síntese e limitações.</w:t>
            </w:r>
          </w:p>
        </w:tc>
      </w:tr>
      <w:tr>
        <w:tc>
          <w:tcPr>
            <w:tcW w:type="dxa" w:w="454"/>
          </w:tcPr>
          <w:p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304"/>
          </w:tcPr>
          <w:p>
            <w:r>
              <w:rPr>
                <w:rFonts w:ascii="Times New Roman" w:hAnsi="Times New Roman"/>
                <w:sz w:val="18"/>
              </w:rPr>
              <w:t>Introdução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sz w:val="18"/>
              </w:rPr>
              <w:t>Justificativa da revisão no contexto do conhecimento existente.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sz w:val="18"/>
              </w:rPr>
              <w:t>Introdução (§ contexto/lacuna)</w:t>
            </w:r>
          </w:p>
        </w:tc>
        <w:tc>
          <w:tcPr>
            <w:tcW w:type="dxa" w:w="1247"/>
            <w:shd w:fill="C6EFCE"/>
          </w:tcPr>
          <w:p>
            <w:r>
              <w:rPr>
                <w:rFonts w:ascii="Times New Roman" w:hAnsi="Times New Roman"/>
                <w:sz w:val="18"/>
              </w:rPr>
              <w:t>Atende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sz w:val="18"/>
              </w:rPr>
              <w:t>Lacuna e revisões adjacentes explicitadas.</w:t>
            </w:r>
          </w:p>
        </w:tc>
      </w:tr>
      <w:tr>
        <w:tc>
          <w:tcPr>
            <w:tcW w:type="dxa" w:w="454"/>
          </w:tcPr>
          <w:p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304"/>
          </w:tcPr>
          <w:p>
            <w:r>
              <w:rPr>
                <w:rFonts w:ascii="Times New Roman" w:hAnsi="Times New Roman"/>
                <w:sz w:val="18"/>
              </w:rPr>
              <w:t>Introdução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sz w:val="18"/>
              </w:rPr>
              <w:t>Objetivos/perguntas explícitos.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sz w:val="18"/>
              </w:rPr>
              <w:t>Introdução (obj. geral + a–e); Metodologia (MQR + SQ.1–8)</w:t>
            </w:r>
          </w:p>
        </w:tc>
        <w:tc>
          <w:tcPr>
            <w:tcW w:type="dxa" w:w="1247"/>
            <w:shd w:fill="C6EFCE"/>
          </w:tcPr>
          <w:p>
            <w:r>
              <w:rPr>
                <w:rFonts w:ascii="Times New Roman" w:hAnsi="Times New Roman"/>
                <w:sz w:val="18"/>
              </w:rPr>
              <w:t>Atende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sz w:val="18"/>
              </w:rPr>
              <w:t>—</w:t>
            </w:r>
          </w:p>
        </w:tc>
      </w:tr>
      <w:tr>
        <w:tc>
          <w:tcPr>
            <w:tcW w:type="dxa" w:w="454"/>
          </w:tcPr>
          <w:p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1304"/>
          </w:tcPr>
          <w:p>
            <w:r>
              <w:rPr>
                <w:rFonts w:ascii="Times New Roman" w:hAnsi="Times New Roman"/>
                <w:sz w:val="18"/>
              </w:rPr>
              <w:t>Métodos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sz w:val="18"/>
              </w:rPr>
              <w:t>Critérios de elegibilidade e agrupamento para as sínteses.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sz w:val="18"/>
              </w:rPr>
              <w:t>Metodologia 1.4–1.5; Tabela IC/EC</w:t>
            </w:r>
          </w:p>
        </w:tc>
        <w:tc>
          <w:tcPr>
            <w:tcW w:type="dxa" w:w="1247"/>
            <w:shd w:fill="C6EFCE"/>
          </w:tcPr>
          <w:p>
            <w:r>
              <w:rPr>
                <w:rFonts w:ascii="Times New Roman" w:hAnsi="Times New Roman"/>
                <w:sz w:val="18"/>
              </w:rPr>
              <w:t>Atende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sz w:val="18"/>
              </w:rPr>
              <w:t>IC1–3/EC1–3 + régua estratificada (Nível 1/2) como variável moderadora.</w:t>
            </w:r>
          </w:p>
        </w:tc>
      </w:tr>
      <w:tr>
        <w:tc>
          <w:tcPr>
            <w:tcW w:type="dxa" w:w="454"/>
          </w:tcPr>
          <w:p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304"/>
          </w:tcPr>
          <w:p>
            <w:r>
              <w:rPr>
                <w:rFonts w:ascii="Times New Roman" w:hAnsi="Times New Roman"/>
                <w:sz w:val="18"/>
              </w:rPr>
              <w:t>Métodos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sz w:val="18"/>
              </w:rPr>
              <w:t>Fontes de informação e data da última busca por fonte.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sz w:val="18"/>
              </w:rPr>
              <w:t>Metodologia 1.3 + Quadro 2 (IEEE 26/01/2026; Scopus 04/05/2026; ACM 17/06/2026)</w:t>
            </w:r>
          </w:p>
        </w:tc>
        <w:tc>
          <w:tcPr>
            <w:tcW w:type="dxa" w:w="1247"/>
            <w:shd w:fill="C6EFCE"/>
          </w:tcPr>
          <w:p>
            <w:r>
              <w:rPr>
                <w:rFonts w:ascii="Times New Roman" w:hAnsi="Times New Roman"/>
                <w:sz w:val="18"/>
              </w:rPr>
              <w:t>Atende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sz w:val="18"/>
              </w:rPr>
              <w:t>Substituição WoS→ACM documentada.</w:t>
            </w:r>
          </w:p>
        </w:tc>
      </w:tr>
      <w:tr>
        <w:tc>
          <w:tcPr>
            <w:tcW w:type="dxa" w:w="454"/>
          </w:tcPr>
          <w:p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304"/>
          </w:tcPr>
          <w:p>
            <w:r>
              <w:rPr>
                <w:rFonts w:ascii="Times New Roman" w:hAnsi="Times New Roman"/>
                <w:sz w:val="18"/>
              </w:rPr>
              <w:t>Métodos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sz w:val="18"/>
              </w:rPr>
              <w:t>Estratégia de busca completa (todas as bases, filtros, limites).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sz w:val="18"/>
              </w:rPr>
              <w:t>Metodologia 1.2 (string base + adaptação por base)</w:t>
            </w:r>
          </w:p>
        </w:tc>
        <w:tc>
          <w:tcPr>
            <w:tcW w:type="dxa" w:w="1247"/>
            <w:shd w:fill="FFEB9C"/>
          </w:tcPr>
          <w:p>
            <w:r>
              <w:rPr>
                <w:rFonts w:ascii="Times New Roman" w:hAnsi="Times New Roman"/>
                <w:sz w:val="18"/>
              </w:rPr>
              <w:t>Parcial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sz w:val="18"/>
              </w:rPr>
              <w:t>RECOMENDA-SE apêndice com as strings COMPLETAS, exatas, por base (sintaxe TITLE-ABS-KEY etc.).</w:t>
            </w:r>
          </w:p>
        </w:tc>
      </w:tr>
      <w:tr>
        <w:tc>
          <w:tcPr>
            <w:tcW w:type="dxa" w:w="454"/>
          </w:tcPr>
          <w:p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1304"/>
          </w:tcPr>
          <w:p>
            <w:r>
              <w:rPr>
                <w:rFonts w:ascii="Times New Roman" w:hAnsi="Times New Roman"/>
                <w:sz w:val="18"/>
              </w:rPr>
              <w:t>Métodos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sz w:val="18"/>
              </w:rPr>
              <w:t>Processo de seleção (nº de revisores, independência, automação).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sz w:val="18"/>
              </w:rPr>
              <w:t>Metodologia 2.1–2.4; §4 (revisor único assistido por IA)</w:t>
            </w:r>
          </w:p>
        </w:tc>
        <w:tc>
          <w:tcPr>
            <w:tcW w:type="dxa" w:w="1247"/>
            <w:shd w:fill="FFEB9C"/>
          </w:tcPr>
          <w:p>
            <w:r>
              <w:rPr>
                <w:rFonts w:ascii="Times New Roman" w:hAnsi="Times New Roman"/>
                <w:sz w:val="18"/>
              </w:rPr>
              <w:t>Parcial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sz w:val="18"/>
              </w:rPr>
              <w:t>Revisor único está declarado nas ameaças; tornar explícito também na seção de seleção.</w:t>
            </w:r>
          </w:p>
        </w:tc>
      </w:tr>
      <w:tr>
        <w:tc>
          <w:tcPr>
            <w:tcW w:type="dxa" w:w="454"/>
          </w:tcPr>
          <w:p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1304"/>
          </w:tcPr>
          <w:p>
            <w:r>
              <w:rPr>
                <w:rFonts w:ascii="Times New Roman" w:hAnsi="Times New Roman"/>
                <w:sz w:val="18"/>
              </w:rPr>
              <w:t>Métodos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sz w:val="18"/>
              </w:rPr>
              <w:t>Processo de coleta de dados (nº de revisores, automação).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sz w:val="18"/>
              </w:rPr>
              <w:t>Metodologia Fase III</w:t>
            </w:r>
          </w:p>
        </w:tc>
        <w:tc>
          <w:tcPr>
            <w:tcW w:type="dxa" w:w="1247"/>
            <w:shd w:fill="FFEB9C"/>
          </w:tcPr>
          <w:p>
            <w:r>
              <w:rPr>
                <w:rFonts w:ascii="Times New Roman" w:hAnsi="Times New Roman"/>
                <w:sz w:val="18"/>
              </w:rPr>
              <w:t>Parcial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sz w:val="18"/>
              </w:rPr>
              <w:t>Explicitar que a extração foi por revisor único, com verificações de consistência.</w:t>
            </w:r>
          </w:p>
        </w:tc>
      </w:tr>
      <w:tr>
        <w:tc>
          <w:tcPr>
            <w:tcW w:type="dxa" w:w="454"/>
          </w:tcPr>
          <w:p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304"/>
          </w:tcPr>
          <w:p>
            <w:r>
              <w:rPr>
                <w:rFonts w:ascii="Times New Roman" w:hAnsi="Times New Roman"/>
                <w:sz w:val="18"/>
              </w:rPr>
              <w:t>Métodos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sz w:val="18"/>
              </w:rPr>
              <w:t>Itens dos dados (desfechos e demais variáveis).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sz w:val="18"/>
              </w:rPr>
              <w:t>Metodologia Fase III (IC/EC, técnicas, SQ.1–8)</w:t>
            </w:r>
          </w:p>
        </w:tc>
        <w:tc>
          <w:tcPr>
            <w:tcW w:type="dxa" w:w="1247"/>
            <w:shd w:fill="C6EFCE"/>
          </w:tcPr>
          <w:p>
            <w:r>
              <w:rPr>
                <w:rFonts w:ascii="Times New Roman" w:hAnsi="Times New Roman"/>
                <w:sz w:val="18"/>
              </w:rPr>
              <w:t>Atende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sz w:val="18"/>
              </w:rPr>
              <w:t>Dimensões de extração listadas.</w:t>
            </w:r>
          </w:p>
        </w:tc>
      </w:tr>
      <w:tr>
        <w:tc>
          <w:tcPr>
            <w:tcW w:type="dxa" w:w="454"/>
          </w:tcPr>
          <w:p>
            <w:r>
              <w:rPr>
                <w:rFonts w:ascii="Times New Roman" w:hAnsi="Times New Roman"/>
                <w:sz w:val="18"/>
              </w:rPr>
              <w:t>11</w:t>
            </w:r>
          </w:p>
        </w:tc>
        <w:tc>
          <w:tcPr>
            <w:tcW w:type="dxa" w:w="1304"/>
          </w:tcPr>
          <w:p>
            <w:r>
              <w:rPr>
                <w:rFonts w:ascii="Times New Roman" w:hAnsi="Times New Roman"/>
                <w:sz w:val="18"/>
              </w:rPr>
              <w:t>Métodos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sz w:val="18"/>
              </w:rPr>
              <w:t>Métodos de avaliação do risco de viés / qualidade dos estudos.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sz w:val="18"/>
              </w:rPr>
              <w:t>Avaliacao_Qualidade_..._rev_fulltext (rubrica C1–C6)</w:t>
            </w:r>
          </w:p>
        </w:tc>
        <w:tc>
          <w:tcPr>
            <w:tcW w:type="dxa" w:w="1247"/>
            <w:shd w:fill="C6EFCE"/>
          </w:tcPr>
          <w:p>
            <w:r>
              <w:rPr>
                <w:rFonts w:ascii="Times New Roman" w:hAnsi="Times New Roman"/>
                <w:sz w:val="18"/>
              </w:rPr>
              <w:t>Atende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sz w:val="18"/>
              </w:rPr>
              <w:t>Referenciar a rubrica C1–C6 (0/0,5/1) na Metodologia como avaliação de qualidade/risco de viés.</w:t>
            </w:r>
          </w:p>
        </w:tc>
      </w:tr>
      <w:tr>
        <w:tc>
          <w:tcPr>
            <w:tcW w:type="dxa" w:w="454"/>
          </w:tcPr>
          <w:p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1304"/>
          </w:tcPr>
          <w:p>
            <w:r>
              <w:rPr>
                <w:rFonts w:ascii="Times New Roman" w:hAnsi="Times New Roman"/>
                <w:sz w:val="18"/>
              </w:rPr>
              <w:t>Métodos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sz w:val="18"/>
              </w:rPr>
              <w:t>Medidas de efeito por desfecho.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sz w:val="18"/>
              </w:rPr>
              <w:t>Avaliação Experimental (SQ.4)</w:t>
            </w:r>
          </w:p>
        </w:tc>
        <w:tc>
          <w:tcPr>
            <w:tcW w:type="dxa" w:w="1247"/>
            <w:shd w:fill="E0E0E0"/>
          </w:tcPr>
          <w:p>
            <w:r>
              <w:rPr>
                <w:rFonts w:ascii="Times New Roman" w:hAnsi="Times New Roman"/>
                <w:sz w:val="18"/>
              </w:rPr>
              <w:t>N/A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sz w:val="18"/>
              </w:rPr>
              <w:t>Revisão não é meta-análise; as métricas dos estudos (acurácia, F1, R², RMSE) são catalogadas, não combinadas.</w:t>
            </w:r>
          </w:p>
        </w:tc>
      </w:tr>
      <w:tr>
        <w:tc>
          <w:tcPr>
            <w:tcW w:type="dxa" w:w="454"/>
          </w:tcPr>
          <w:p>
            <w:r>
              <w:rPr>
                <w:rFonts w:ascii="Times New Roman" w:hAnsi="Times New Roman"/>
                <w:sz w:val="18"/>
              </w:rPr>
              <w:t>13</w:t>
            </w:r>
          </w:p>
        </w:tc>
        <w:tc>
          <w:tcPr>
            <w:tcW w:type="dxa" w:w="1304"/>
          </w:tcPr>
          <w:p>
            <w:r>
              <w:rPr>
                <w:rFonts w:ascii="Times New Roman" w:hAnsi="Times New Roman"/>
                <w:sz w:val="18"/>
              </w:rPr>
              <w:t>Métodos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sz w:val="18"/>
              </w:rPr>
              <w:t>Métodos de síntese (13a–f).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sz w:val="18"/>
              </w:rPr>
              <w:t>Metodologia Fase III (§síntese qualitativa + quantitativa)</w:t>
            </w:r>
          </w:p>
        </w:tc>
        <w:tc>
          <w:tcPr>
            <w:tcW w:type="dxa" w:w="1247"/>
            <w:shd w:fill="C6EFCE"/>
          </w:tcPr>
          <w:p>
            <w:r>
              <w:rPr>
                <w:rFonts w:ascii="Times New Roman" w:hAnsi="Times New Roman"/>
                <w:sz w:val="18"/>
              </w:rPr>
              <w:t>Atende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sz w:val="18"/>
              </w:rPr>
              <w:t>Síntese narrativa + distribuição de frequências; heterogeneidade tratada pela estratificação; sem meta-análise (justificado).</w:t>
            </w:r>
          </w:p>
        </w:tc>
      </w:tr>
      <w:tr>
        <w:tc>
          <w:tcPr>
            <w:tcW w:type="dxa" w:w="454"/>
          </w:tcPr>
          <w:p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1304"/>
          </w:tcPr>
          <w:p>
            <w:r>
              <w:rPr>
                <w:rFonts w:ascii="Times New Roman" w:hAnsi="Times New Roman"/>
                <w:sz w:val="18"/>
              </w:rPr>
              <w:t>Métodos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sz w:val="18"/>
              </w:rPr>
              <w:t>Métodos de avaliação do viés de relato (resultados ausentes).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247"/>
            <w:shd w:fill="FCE4D6"/>
          </w:tcPr>
          <w:p>
            <w:r>
              <w:rPr>
                <w:rFonts w:ascii="Times New Roman" w:hAnsi="Times New Roman"/>
                <w:sz w:val="18"/>
              </w:rPr>
              <w:t>Não atende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sz w:val="18"/>
              </w:rPr>
              <w:t>LACUNA. Adicionar frase: viés de publicação não avaliado formalmente; mitigação parcial pela análise dos 50 volumes de anais.</w:t>
            </w:r>
          </w:p>
        </w:tc>
      </w:tr>
      <w:tr>
        <w:tc>
          <w:tcPr>
            <w:tcW w:type="dxa" w:w="454"/>
          </w:tcPr>
          <w:p>
            <w:r>
              <w:rPr>
                <w:rFonts w:ascii="Times New Roman" w:hAnsi="Times New Roman"/>
                <w:sz w:val="18"/>
              </w:rPr>
              <w:t>15</w:t>
            </w:r>
          </w:p>
        </w:tc>
        <w:tc>
          <w:tcPr>
            <w:tcW w:type="dxa" w:w="1304"/>
          </w:tcPr>
          <w:p>
            <w:r>
              <w:rPr>
                <w:rFonts w:ascii="Times New Roman" w:hAnsi="Times New Roman"/>
                <w:sz w:val="18"/>
              </w:rPr>
              <w:t>Métodos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sz w:val="18"/>
              </w:rPr>
              <w:t>Métodos de avaliação da certeza da evidência.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sz w:val="18"/>
              </w:rPr>
              <w:t>Rubrica C1–C6 (proxy)</w:t>
            </w:r>
          </w:p>
        </w:tc>
        <w:tc>
          <w:tcPr>
            <w:tcW w:type="dxa" w:w="1247"/>
            <w:shd w:fill="FFEB9C"/>
          </w:tcPr>
          <w:p>
            <w:r>
              <w:rPr>
                <w:rFonts w:ascii="Times New Roman" w:hAnsi="Times New Roman"/>
                <w:sz w:val="18"/>
              </w:rPr>
              <w:t>Parcial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sz w:val="18"/>
              </w:rPr>
              <w:t>Sem GRADE formal; posicionar a rubrica C1–C6 como proxy de certeza/confiança.</w:t>
            </w:r>
          </w:p>
        </w:tc>
      </w:tr>
      <w:tr>
        <w:tc>
          <w:tcPr>
            <w:tcW w:type="dxa" w:w="454"/>
          </w:tcPr>
          <w:p>
            <w:r>
              <w:rPr>
                <w:rFonts w:ascii="Times New Roman" w:hAnsi="Times New Roman"/>
                <w:sz w:val="18"/>
              </w:rPr>
              <w:t>16</w:t>
            </w:r>
          </w:p>
        </w:tc>
        <w:tc>
          <w:tcPr>
            <w:tcW w:type="dxa" w:w="1304"/>
          </w:tcPr>
          <w:p>
            <w:r>
              <w:rPr>
                <w:rFonts w:ascii="Times New Roman" w:hAnsi="Times New Roman"/>
                <w:sz w:val="18"/>
              </w:rPr>
              <w:t>Resultados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sz w:val="18"/>
              </w:rPr>
              <w:t>Seleção dos estudos: 16a fluxo (fluxograma); 16b excluídos com motivos.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sz w:val="18"/>
              </w:rPr>
              <w:t>Metodologia Figura 1 (fluxograma PRISMA); exclusões com motivos</w:t>
            </w:r>
          </w:p>
        </w:tc>
        <w:tc>
          <w:tcPr>
            <w:tcW w:type="dxa" w:w="1247"/>
            <w:shd w:fill="C6EFCE"/>
          </w:tcPr>
          <w:p>
            <w:r>
              <w:rPr>
                <w:rFonts w:ascii="Times New Roman" w:hAnsi="Times New Roman"/>
                <w:sz w:val="18"/>
              </w:rPr>
              <w:t>Atende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sz w:val="18"/>
              </w:rPr>
              <w:t>Fluxograma presente; 4 exclusões em texto completo com motivos; rastro na planilha.</w:t>
            </w:r>
          </w:p>
        </w:tc>
      </w:tr>
      <w:tr>
        <w:tc>
          <w:tcPr>
            <w:tcW w:type="dxa" w:w="454"/>
          </w:tcPr>
          <w:p>
            <w:r>
              <w:rPr>
                <w:rFonts w:ascii="Times New Roman" w:hAnsi="Times New Roman"/>
                <w:sz w:val="18"/>
              </w:rPr>
              <w:t>17</w:t>
            </w:r>
          </w:p>
        </w:tc>
        <w:tc>
          <w:tcPr>
            <w:tcW w:type="dxa" w:w="1304"/>
          </w:tcPr>
          <w:p>
            <w:r>
              <w:rPr>
                <w:rFonts w:ascii="Times New Roman" w:hAnsi="Times New Roman"/>
                <w:sz w:val="18"/>
              </w:rPr>
              <w:t>Resultados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sz w:val="18"/>
              </w:rPr>
              <w:t>Características de cada estudo incluído.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sz w:val="18"/>
              </w:rPr>
              <w:t>Avaliação Experimental — Quadro 5 (por estudo)</w:t>
            </w:r>
          </w:p>
        </w:tc>
        <w:tc>
          <w:tcPr>
            <w:tcW w:type="dxa" w:w="1247"/>
            <w:shd w:fill="C6EFCE"/>
          </w:tcPr>
          <w:p>
            <w:r>
              <w:rPr>
                <w:rFonts w:ascii="Times New Roman" w:hAnsi="Times New Roman"/>
                <w:sz w:val="18"/>
              </w:rPr>
              <w:t>Atende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sz w:val="18"/>
              </w:rPr>
              <w:t>Quadro 5 já com citações no lugar dos IDs.</w:t>
            </w:r>
          </w:p>
        </w:tc>
      </w:tr>
      <w:tr>
        <w:tc>
          <w:tcPr>
            <w:tcW w:type="dxa" w:w="454"/>
          </w:tcPr>
          <w:p>
            <w:r>
              <w:rPr>
                <w:rFonts w:ascii="Times New Roman" w:hAnsi="Times New Roman"/>
                <w:sz w:val="18"/>
              </w:rPr>
              <w:t>18</w:t>
            </w:r>
          </w:p>
        </w:tc>
        <w:tc>
          <w:tcPr>
            <w:tcW w:type="dxa" w:w="1304"/>
          </w:tcPr>
          <w:p>
            <w:r>
              <w:rPr>
                <w:rFonts w:ascii="Times New Roman" w:hAnsi="Times New Roman"/>
                <w:sz w:val="18"/>
              </w:rPr>
              <w:t>Resultados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sz w:val="18"/>
              </w:rPr>
              <w:t>Risco de viés / qualidade por estudo.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sz w:val="18"/>
              </w:rPr>
              <w:t>Quadro B (C1–C6 full-text por estudo)</w:t>
            </w:r>
          </w:p>
        </w:tc>
        <w:tc>
          <w:tcPr>
            <w:tcW w:type="dxa" w:w="1247"/>
            <w:shd w:fill="C6EFCE"/>
          </w:tcPr>
          <w:p>
            <w:r>
              <w:rPr>
                <w:rFonts w:ascii="Times New Roman" w:hAnsi="Times New Roman"/>
                <w:sz w:val="18"/>
              </w:rPr>
              <w:t>Atende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sz w:val="18"/>
              </w:rPr>
              <w:t>6 Alta / 14 Moderada / 2 Baixa; médias por critério.</w:t>
            </w:r>
          </w:p>
        </w:tc>
      </w:tr>
      <w:tr>
        <w:tc>
          <w:tcPr>
            <w:tcW w:type="dxa" w:w="454"/>
          </w:tcPr>
          <w:p>
            <w:r>
              <w:rPr>
                <w:rFonts w:ascii="Times New Roman" w:hAnsi="Times New Roman"/>
                <w:sz w:val="18"/>
              </w:rPr>
              <w:t>19</w:t>
            </w:r>
          </w:p>
        </w:tc>
        <w:tc>
          <w:tcPr>
            <w:tcW w:type="dxa" w:w="1304"/>
          </w:tcPr>
          <w:p>
            <w:r>
              <w:rPr>
                <w:rFonts w:ascii="Times New Roman" w:hAnsi="Times New Roman"/>
                <w:sz w:val="18"/>
              </w:rPr>
              <w:t>Resultados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sz w:val="18"/>
              </w:rPr>
              <w:t>Resultados de cada estudo individual.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sz w:val="18"/>
              </w:rPr>
              <w:t>Quadro 5 (métrica principal por estudo)</w:t>
            </w:r>
          </w:p>
        </w:tc>
        <w:tc>
          <w:tcPr>
            <w:tcW w:type="dxa" w:w="1247"/>
            <w:shd w:fill="C6EFCE"/>
          </w:tcPr>
          <w:p>
            <w:r>
              <w:rPr>
                <w:rFonts w:ascii="Times New Roman" w:hAnsi="Times New Roman"/>
                <w:sz w:val="18"/>
              </w:rPr>
              <w:t>Atende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sz w:val="18"/>
              </w:rPr>
              <w:t>Métrica-chave por estudo (F1/R²/Acc).</w:t>
            </w:r>
          </w:p>
        </w:tc>
      </w:tr>
      <w:tr>
        <w:tc>
          <w:tcPr>
            <w:tcW w:type="dxa" w:w="454"/>
          </w:tcPr>
          <w:p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1304"/>
          </w:tcPr>
          <w:p>
            <w:r>
              <w:rPr>
                <w:rFonts w:ascii="Times New Roman" w:hAnsi="Times New Roman"/>
                <w:sz w:val="18"/>
              </w:rPr>
              <w:t>Resultados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sz w:val="18"/>
              </w:rPr>
              <w:t>Resultados das sínteses (20a–d).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sz w:val="18"/>
              </w:rPr>
              <w:t>Avaliação Experimental (MQR + SQ.1–8, quadros e figuras)</w:t>
            </w:r>
          </w:p>
        </w:tc>
        <w:tc>
          <w:tcPr>
            <w:tcW w:type="dxa" w:w="1247"/>
            <w:shd w:fill="C6EFCE"/>
          </w:tcPr>
          <w:p>
            <w:r>
              <w:rPr>
                <w:rFonts w:ascii="Times New Roman" w:hAnsi="Times New Roman"/>
                <w:sz w:val="18"/>
              </w:rPr>
              <w:t>Atende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sz w:val="18"/>
              </w:rPr>
              <w:t>Sínteses por questão; sem meta-análise (apropriado).</w:t>
            </w:r>
          </w:p>
        </w:tc>
      </w:tr>
      <w:tr>
        <w:tc>
          <w:tcPr>
            <w:tcW w:type="dxa" w:w="454"/>
          </w:tcPr>
          <w:p>
            <w:r>
              <w:rPr>
                <w:rFonts w:ascii="Times New Roman" w:hAnsi="Times New Roman"/>
                <w:sz w:val="18"/>
              </w:rPr>
              <w:t>21</w:t>
            </w:r>
          </w:p>
        </w:tc>
        <w:tc>
          <w:tcPr>
            <w:tcW w:type="dxa" w:w="1304"/>
          </w:tcPr>
          <w:p>
            <w:r>
              <w:rPr>
                <w:rFonts w:ascii="Times New Roman" w:hAnsi="Times New Roman"/>
                <w:sz w:val="18"/>
              </w:rPr>
              <w:t>Resultados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sz w:val="18"/>
              </w:rPr>
              <w:t>Vieses de relato (avaliação).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247"/>
            <w:shd w:fill="FCE4D6"/>
          </w:tcPr>
          <w:p>
            <w:r>
              <w:rPr>
                <w:rFonts w:ascii="Times New Roman" w:hAnsi="Times New Roman"/>
                <w:sz w:val="18"/>
              </w:rPr>
              <w:t>Não atende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sz w:val="18"/>
              </w:rPr>
              <w:t>LACUNA (ver item 14). Incluir breve avaliação/consideração.</w:t>
            </w:r>
          </w:p>
        </w:tc>
      </w:tr>
      <w:tr>
        <w:tc>
          <w:tcPr>
            <w:tcW w:type="dxa" w:w="454"/>
          </w:tcPr>
          <w:p>
            <w:r>
              <w:rPr>
                <w:rFonts w:ascii="Times New Roman" w:hAnsi="Times New Roman"/>
                <w:sz w:val="18"/>
              </w:rPr>
              <w:t>22</w:t>
            </w:r>
          </w:p>
        </w:tc>
        <w:tc>
          <w:tcPr>
            <w:tcW w:type="dxa" w:w="1304"/>
          </w:tcPr>
          <w:p>
            <w:r>
              <w:rPr>
                <w:rFonts w:ascii="Times New Roman" w:hAnsi="Times New Roman"/>
                <w:sz w:val="18"/>
              </w:rPr>
              <w:t>Resultados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sz w:val="18"/>
              </w:rPr>
              <w:t>Certeza da evidência por desfecho.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sz w:val="18"/>
              </w:rPr>
              <w:t>Achado transversal de qualidade (3,70/6)</w:t>
            </w:r>
          </w:p>
        </w:tc>
        <w:tc>
          <w:tcPr>
            <w:tcW w:type="dxa" w:w="1247"/>
            <w:shd w:fill="FFEB9C"/>
          </w:tcPr>
          <w:p>
            <w:r>
              <w:rPr>
                <w:rFonts w:ascii="Times New Roman" w:hAnsi="Times New Roman"/>
                <w:sz w:val="18"/>
              </w:rPr>
              <w:t>Parcial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sz w:val="18"/>
              </w:rPr>
              <w:t>Apresentada como qualidade metodológica global; não há certeza por desfecho (GRADE).</w:t>
            </w:r>
          </w:p>
        </w:tc>
      </w:tr>
      <w:tr>
        <w:tc>
          <w:tcPr>
            <w:tcW w:type="dxa" w:w="454"/>
          </w:tcPr>
          <w:p>
            <w:r>
              <w:rPr>
                <w:rFonts w:ascii="Times New Roman" w:hAnsi="Times New Roman"/>
                <w:sz w:val="18"/>
              </w:rPr>
              <w:t>23</w:t>
            </w:r>
          </w:p>
        </w:tc>
        <w:tc>
          <w:tcPr>
            <w:tcW w:type="dxa" w:w="1304"/>
          </w:tcPr>
          <w:p>
            <w:r>
              <w:rPr>
                <w:rFonts w:ascii="Times New Roman" w:hAnsi="Times New Roman"/>
                <w:sz w:val="18"/>
              </w:rPr>
              <w:t>Discussão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sz w:val="18"/>
              </w:rPr>
              <w:t>Discussão: 23a interpretação; 23b limitações da evidência; 23c limitações do processo; 23d implicações.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sz w:val="18"/>
              </w:rPr>
              <w:t>Conclusão + Avaliação Experimental; Metodologia §4 (ameaças)</w:t>
            </w:r>
          </w:p>
        </w:tc>
        <w:tc>
          <w:tcPr>
            <w:tcW w:type="dxa" w:w="1247"/>
            <w:shd w:fill="C6EFCE"/>
          </w:tcPr>
          <w:p>
            <w:r>
              <w:rPr>
                <w:rFonts w:ascii="Times New Roman" w:hAnsi="Times New Roman"/>
                <w:sz w:val="18"/>
              </w:rPr>
              <w:t>Atende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sz w:val="18"/>
              </w:rPr>
              <w:t>23a–d cobertos (interpretação, qualidade/reprodutibilidade, ameaças à validade, implicações/futuro).</w:t>
            </w:r>
          </w:p>
        </w:tc>
      </w:tr>
      <w:tr>
        <w:tc>
          <w:tcPr>
            <w:tcW w:type="dxa" w:w="454"/>
          </w:tcPr>
          <w:p>
            <w:r>
              <w:rPr>
                <w:rFonts w:ascii="Times New Roman" w:hAnsi="Times New Roman"/>
                <w:sz w:val="18"/>
              </w:rPr>
              <w:t>24</w:t>
            </w:r>
          </w:p>
        </w:tc>
        <w:tc>
          <w:tcPr>
            <w:tcW w:type="dxa" w:w="1304"/>
          </w:tcPr>
          <w:p>
            <w:r>
              <w:rPr>
                <w:rFonts w:ascii="Times New Roman" w:hAnsi="Times New Roman"/>
                <w:sz w:val="18"/>
              </w:rPr>
              <w:t>Outras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sz w:val="18"/>
              </w:rPr>
              <w:t>Registro e protocolo (24a–c).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247"/>
            <w:shd w:fill="FFEB9C"/>
          </w:tcPr>
          <w:p>
            <w:r>
              <w:rPr>
                <w:rFonts w:ascii="Times New Roman" w:hAnsi="Times New Roman"/>
                <w:sz w:val="18"/>
              </w:rPr>
              <w:t>Parcial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sz w:val="18"/>
              </w:rPr>
              <w:t>Não registrada em base pública; protocolo interno na planilha; WoS→ACM = emenda documentada. USAR o texto de Declarações abaixo.</w:t>
            </w:r>
          </w:p>
        </w:tc>
      </w:tr>
      <w:tr>
        <w:tc>
          <w:tcPr>
            <w:tcW w:type="dxa" w:w="454"/>
          </w:tcPr>
          <w:p>
            <w:r>
              <w:rPr>
                <w:rFonts w:ascii="Times New Roman" w:hAnsi="Times New Roman"/>
                <w:sz w:val="18"/>
              </w:rPr>
              <w:t>25</w:t>
            </w:r>
          </w:p>
        </w:tc>
        <w:tc>
          <w:tcPr>
            <w:tcW w:type="dxa" w:w="1304"/>
          </w:tcPr>
          <w:p>
            <w:r>
              <w:rPr>
                <w:rFonts w:ascii="Times New Roman" w:hAnsi="Times New Roman"/>
                <w:sz w:val="18"/>
              </w:rPr>
              <w:t>Outras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sz w:val="18"/>
              </w:rPr>
              <w:t>Apoio/Financiamento.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247"/>
            <w:shd w:fill="FCE4D6"/>
          </w:tcPr>
          <w:p>
            <w:r>
              <w:rPr>
                <w:rFonts w:ascii="Times New Roman" w:hAnsi="Times New Roman"/>
                <w:sz w:val="18"/>
              </w:rPr>
              <w:t>Não atende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sz w:val="18"/>
              </w:rPr>
              <w:t>Adicionar declaração (sem financiamento). Texto abaixo.</w:t>
            </w:r>
          </w:p>
        </w:tc>
      </w:tr>
      <w:tr>
        <w:tc>
          <w:tcPr>
            <w:tcW w:type="dxa" w:w="454"/>
          </w:tcPr>
          <w:p>
            <w:r>
              <w:rPr>
                <w:rFonts w:ascii="Times New Roman" w:hAnsi="Times New Roman"/>
                <w:sz w:val="18"/>
              </w:rPr>
              <w:t>26</w:t>
            </w:r>
          </w:p>
        </w:tc>
        <w:tc>
          <w:tcPr>
            <w:tcW w:type="dxa" w:w="1304"/>
          </w:tcPr>
          <w:p>
            <w:r>
              <w:rPr>
                <w:rFonts w:ascii="Times New Roman" w:hAnsi="Times New Roman"/>
                <w:sz w:val="18"/>
              </w:rPr>
              <w:t>Outras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sz w:val="18"/>
              </w:rPr>
              <w:t>Conflitos de interesse.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247"/>
            <w:shd w:fill="FCE4D6"/>
          </w:tcPr>
          <w:p>
            <w:r>
              <w:rPr>
                <w:rFonts w:ascii="Times New Roman" w:hAnsi="Times New Roman"/>
                <w:sz w:val="18"/>
              </w:rPr>
              <w:t>Não atende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sz w:val="18"/>
              </w:rPr>
              <w:t>Adicionar declaração (sem conflitos). Texto abaixo.</w:t>
            </w:r>
          </w:p>
        </w:tc>
      </w:tr>
      <w:tr>
        <w:tc>
          <w:tcPr>
            <w:tcW w:type="dxa" w:w="454"/>
          </w:tcPr>
          <w:p>
            <w:r>
              <w:rPr>
                <w:rFonts w:ascii="Times New Roman" w:hAnsi="Times New Roman"/>
                <w:sz w:val="18"/>
              </w:rPr>
              <w:t>27</w:t>
            </w:r>
          </w:p>
        </w:tc>
        <w:tc>
          <w:tcPr>
            <w:tcW w:type="dxa" w:w="1304"/>
          </w:tcPr>
          <w:p>
            <w:r>
              <w:rPr>
                <w:rFonts w:ascii="Times New Roman" w:hAnsi="Times New Roman"/>
                <w:sz w:val="18"/>
              </w:rPr>
              <w:t>Outras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sz w:val="18"/>
              </w:rPr>
              <w:t>Disponibilidade de dados, código e materiais (da revisão).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sz w:val="18"/>
              </w:rPr>
              <w:t>Planilha de consolidação + snapshots</w:t>
            </w:r>
          </w:p>
        </w:tc>
        <w:tc>
          <w:tcPr>
            <w:tcW w:type="dxa" w:w="1247"/>
            <w:shd w:fill="FFEB9C"/>
          </w:tcPr>
          <w:p>
            <w:r>
              <w:rPr>
                <w:rFonts w:ascii="Times New Roman" w:hAnsi="Times New Roman"/>
                <w:sz w:val="18"/>
              </w:rPr>
              <w:t>Parcial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sz w:val="18"/>
              </w:rPr>
              <w:t>Adicionar declaração de disponibilidade da revisão (distinta de SQ.5/SQ.6, que são dos estudos incluídos). Texto abaixo.</w:t>
            </w:r>
          </w:p>
        </w:tc>
      </w:tr>
    </w:tbl>
    <w:p>
      <w:pPr>
        <w:spacing w:before="160" w:after="120"/>
      </w:pPr>
      <w:r>
        <w:rPr>
          <w:b/>
          <w:sz w:val="24"/>
        </w:rPr>
        <w:t>Texto pronto para inserir — Declarações (cobre itens 24 a 27)</w:t>
      </w:r>
    </w:p>
    <w:p>
      <w:pPr>
        <w:spacing w:after="80"/>
        <w:jc w:val="both"/>
      </w:pPr>
      <w:r>
        <w:rPr>
          <w:b/>
          <w:sz w:val="22"/>
        </w:rPr>
        <w:t xml:space="preserve">Registro e protocolo. </w:t>
      </w:r>
      <w:r>
        <w:rPr>
          <w:sz w:val="22"/>
        </w:rPr>
        <w:t>Esta revisão sistemática não foi registrada em base pública (por exemplo, PROSPERO). O protocolo — perguntas de pesquisa, string de busca, critérios de inclusão/exclusão e decisões de triagem — foi documentado internamente na planilha de consolidação mantida ao longo do estudo. A substituição da base Web of Science pela ACM Digital Library, inicialmente prevista, constitui alteração de protocolo, devidamente documentada e justificada.</w:t>
      </w:r>
    </w:p>
    <w:p>
      <w:pPr>
        <w:spacing w:after="80"/>
        <w:jc w:val="both"/>
      </w:pPr>
      <w:r>
        <w:rPr>
          <w:b/>
          <w:sz w:val="22"/>
        </w:rPr>
        <w:t xml:space="preserve">Financiamento. </w:t>
      </w:r>
      <w:r>
        <w:rPr>
          <w:sz w:val="22"/>
        </w:rPr>
        <w:t>A pesquisa não recebeu financiamento específico de agências públicas, comerciais ou sem fins lucrativos.</w:t>
      </w:r>
    </w:p>
    <w:p>
      <w:pPr>
        <w:spacing w:after="80"/>
        <w:jc w:val="both"/>
      </w:pPr>
      <w:r>
        <w:rPr>
          <w:b/>
          <w:sz w:val="22"/>
        </w:rPr>
        <w:t xml:space="preserve">Conflitos de interesse. </w:t>
      </w:r>
      <w:r>
        <w:rPr>
          <w:sz w:val="22"/>
        </w:rPr>
        <w:t>O autor declara não haver conflitos de interesse.</w:t>
      </w:r>
    </w:p>
    <w:p>
      <w:pPr>
        <w:spacing w:after="80"/>
        <w:jc w:val="both"/>
      </w:pPr>
      <w:r>
        <w:rPr>
          <w:b/>
          <w:sz w:val="22"/>
        </w:rPr>
        <w:t xml:space="preserve">Disponibilidade de dados e materiais. </w:t>
      </w:r>
      <w:r>
        <w:rPr>
          <w:sz w:val="22"/>
        </w:rPr>
        <w:t>A planilha de consolidação, as strings de busca e os snapshots das buscas que sustentam os resultados estão disponíveis mediante solicitação ao autor.</w:t>
      </w:r>
    </w:p>
    <w:p>
      <w:pPr>
        <w:spacing w:before="160" w:after="120"/>
      </w:pPr>
      <w:r>
        <w:rPr>
          <w:b/>
          <w:sz w:val="24"/>
        </w:rPr>
        <w:t>Outras lacunas a endereçar no texto</w:t>
      </w:r>
    </w:p>
    <w:p>
      <w:pPr>
        <w:pStyle w:val="ListBullet"/>
      </w:pPr>
      <w:r>
        <w:rPr>
          <w:sz w:val="20"/>
        </w:rPr>
        <w:t>Item 7 — Apêndice com as strings de busca COMPLETAS e exatas por base (IEEE, Scopus, ACM).</w:t>
      </w:r>
    </w:p>
    <w:p>
      <w:pPr>
        <w:pStyle w:val="ListBullet"/>
      </w:pPr>
      <w:r>
        <w:rPr>
          <w:sz w:val="20"/>
        </w:rPr>
        <w:t>Itens 8 e 9 — Tornar explícito, nas seções de seleção e de extração, que foram conduzidas por revisor único (assistido por IA), com verificações de consistência.</w:t>
      </w:r>
    </w:p>
    <w:p>
      <w:pPr>
        <w:pStyle w:val="ListBullet"/>
      </w:pPr>
      <w:r>
        <w:rPr>
          <w:sz w:val="20"/>
        </w:rPr>
        <w:t>Itens 14 e 21 — Incluir frase sobre viés de relato/publicação: não avaliado formalmente; mitigação parcial pela análise dos 50 volumes de anais.</w:t>
      </w:r>
    </w:p>
    <w:p>
      <w:pPr>
        <w:pStyle w:val="ListBullet"/>
      </w:pPr>
      <w:r>
        <w:rPr>
          <w:sz w:val="20"/>
        </w:rPr>
        <w:t>Itens 15 e 22 — Posicionar a rubrica de qualidade C1–C6 como proxy de certeza/confiança da evidência (não há GRADE formal).</w:t>
      </w:r>
    </w:p>
    <w:p>
      <w:pPr>
        <w:pStyle w:val="ListBullet"/>
      </w:pPr>
      <w:r>
        <w:rPr>
          <w:sz w:val="20"/>
        </w:rPr>
        <w:t>Item 11 — Referenciar a rubrica C1–C6 explicitamente na Metodologia (hoje está no documento de qualidade).</w:t>
      </w:r>
    </w:p>
    <w:sectPr w:rsidR="00FC693F" w:rsidRPr="0006063C" w:rsidSect="00034616">
      <w:pgSz w:w="15840" w:h="12240" w:orient="landscape"/>
      <w:pgMar w:top="1417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