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png" ContentType="image/png"/>
  <Override PartName="/word/media/rId124.png" ContentType="image/png"/>
  <Override PartName="/word/media/rId136.png" ContentType="image/png"/>
  <Override PartName="/word/media/rId1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Network</w:t>
      </w:r>
      <w:r>
        <w:t xml:space="preserve"> </w:t>
      </w:r>
      <w:r>
        <w:t xml:space="preserve">changes</w:t>
      </w:r>
      <w:r>
        <w:t xml:space="preserve"> </w:t>
      </w:r>
      <w:r>
        <w:t xml:space="preserve">after</w:t>
      </w:r>
      <w:r>
        <w:t xml:space="preserve"> </w:t>
      </w:r>
      <w:r>
        <w:t xml:space="preserve">stroke</w:t>
      </w:r>
      <w:r>
        <w:t xml:space="preserve"> </w:t>
      </w:r>
      <w:r>
        <w:t xml:space="preserve">–</w:t>
      </w:r>
      <w:r>
        <w:t xml:space="preserve"> </w:t>
      </w:r>
      <w:r>
        <w:t xml:space="preserve">results</w:t>
      </w:r>
      <w:r>
        <w:t xml:space="preserve"> </w:t>
      </w:r>
      <w:r>
        <w:t xml:space="preserve">of</w:t>
      </w:r>
      <w:r>
        <w:t xml:space="preserve"> </w:t>
      </w:r>
      <w:r>
        <w:t xml:space="preserve">longitudinal</w:t>
      </w:r>
      <w:r>
        <w:t xml:space="preserve"> </w:t>
      </w:r>
      <w:r>
        <w:t xml:space="preserve">SFB</w:t>
      </w:r>
      <w:r>
        <w:t xml:space="preserve"> </w:t>
      </w:r>
      <w:r>
        <w:t xml:space="preserve">data</w:t>
      </w:r>
    </w:p>
    <w:p>
      <w:pPr>
        <w:pStyle w:val="Author"/>
      </w:pPr>
      <w:r>
        <w:t xml:space="preserve">Eckhard</w:t>
      </w:r>
      <w:r>
        <w:t xml:space="preserve"> </w:t>
      </w:r>
      <w:r>
        <w:t xml:space="preserve">Schlemm</w:t>
      </w:r>
    </w:p>
    <w:bookmarkStart w:id="20" w:name="redoc-codechunk-1"/>
    <w:p>
      <w:pPr>
        <w:pStyle w:val="redoc-codechunk-1"/>
        <w:rPr>
          <w:vanish/>
        </w:rPr>
      </w:pPr>
      <w:r>
        <w:rPr>
          <w:vanish/>
        </w:rPr>
        <w:t xml:space="preserve">RPLACEHOLDER</w:t>
      </w:r>
    </w:p>
    <w:bookmarkEnd w:id="20"/>
    <w:bookmarkStart w:id="21" w:name="redoc-codechunk-2"/>
    <w:p>
      <w:pPr>
        <w:pStyle w:val="redoc-codechunk-2"/>
        <w:rPr>
          <w:vanish/>
        </w:rPr>
      </w:pPr>
      <w:r>
        <w:rPr>
          <w:vanish/>
        </w:rPr>
        <w:t xml:space="preserve">RPLACEHOLDER</w:t>
      </w:r>
    </w:p>
    <w:bookmarkEnd w:id="21"/>
    <w:p>
      <w:pPr>
        <w:pStyle w:val="Heading1"/>
      </w:pPr>
      <w:bookmarkStart w:id="22" w:name="results"/>
      <w:r>
        <w:t xml:space="preserve">Results</w:t>
      </w:r>
      <w:bookmarkEnd w:id="22"/>
    </w:p>
    <w:p>
      <w:pPr>
        <w:pStyle w:val="FirstParagraph"/>
      </w:pPr>
      <w:r>
        <w:t xml:space="preserve">After initial screening of consecutive patients, a total of 59 patients were considered for inclusion in the study. At the end of the recruitment period, 30 patients with subcortical infarcts in the territory of the middle cerebral artery and diffusion MRI from at least two timepoints were available for analysis (Fig. 1). Further details of the available data are presented in the Supplement.</w:t>
      </w:r>
    </w:p>
    <w:bookmarkStart w:id="23" w:name="redoc-codechunk-3"/>
    <w:p>
      <w:pPr>
        <w:pStyle w:val="redoc-codechunk-3"/>
        <w:rPr>
          <w:vanish/>
        </w:rPr>
      </w:pPr>
      <w:r>
        <w:rPr>
          <w:vanish/>
        </w:rPr>
        <w:t xml:space="preserve">RPLACEHOLDER</w:t>
      </w:r>
    </w:p>
    <w:bookmarkEnd w:id="23"/>
    <w:p>
      <w:pPr>
        <w:pStyle w:val="BodyText"/>
      </w:pPr>
      <w:r>
        <w:t xml:space="preserve">Imaging and clinical testing in the acute phase took place after a median of</w:t>
      </w:r>
      <w:r>
        <w:t xml:space="preserve"> </w:t>
      </w:r>
      <w:bookmarkStart w:id="24" w:name="redoc-inlinecode-1"/>
      <w:r>
        <w:rPr>
          <w:rStyle w:val="redoc-inlinecode-1"/>
        </w:rPr>
        <w:t xml:space="preserve">4</w:t>
      </w:r>
      <w:bookmarkEnd w:id="24"/>
      <w:r>
        <w:t xml:space="preserve"> </w:t>
      </w:r>
      <w:r>
        <w:t xml:space="preserve">(IQR[</w:t>
      </w:r>
      <w:bookmarkStart w:id="25" w:name="redoc-inlinecode-2"/>
      <w:r>
        <w:rPr>
          <w:rStyle w:val="redoc-inlinecode-2"/>
        </w:rPr>
        <w:t xml:space="preserve">1</w:t>
      </w:r>
      <w:bookmarkEnd w:id="25"/>
      <w:r>
        <w:t xml:space="preserve">,</w:t>
      </w:r>
      <w:bookmarkStart w:id="26" w:name="redoc-inlinecode-3"/>
      <w:r>
        <w:rPr>
          <w:rStyle w:val="redoc-inlinecode-3"/>
        </w:rPr>
        <w:t xml:space="preserve">5</w:t>
      </w:r>
      <w:bookmarkEnd w:id="26"/>
      <w:r>
        <w:t xml:space="preserve">]) days. Assessment in the subacute and chronic phases was performed</w:t>
      </w:r>
      <w:r>
        <w:t xml:space="preserve"> </w:t>
      </w:r>
      <w:bookmarkStart w:id="27" w:name="redoc-inlinecode-4"/>
      <w:r>
        <w:rPr>
          <w:rStyle w:val="redoc-inlinecode-4"/>
        </w:rPr>
        <w:t xml:space="preserve">4.85714285714286</w:t>
      </w:r>
      <w:bookmarkEnd w:id="27"/>
      <w:r>
        <w:t xml:space="preserve"> </w:t>
      </w:r>
      <w:r>
        <w:t xml:space="preserve">([</w:t>
      </w:r>
      <w:bookmarkStart w:id="28" w:name="redoc-inlinecode-5"/>
      <w:r>
        <w:rPr>
          <w:rStyle w:val="redoc-inlinecode-5"/>
        </w:rPr>
        <w:t xml:space="preserve">4.28571428571429</w:t>
      </w:r>
      <w:bookmarkEnd w:id="28"/>
      <w:r>
        <w:t xml:space="preserve">,</w:t>
      </w:r>
      <w:bookmarkStart w:id="29" w:name="redoc-inlinecode-6"/>
      <w:r>
        <w:rPr>
          <w:rStyle w:val="redoc-inlinecode-6"/>
        </w:rPr>
        <w:t xml:space="preserve">6.14285714285714</w:t>
      </w:r>
      <w:bookmarkEnd w:id="29"/>
      <w:r>
        <w:t xml:space="preserve">]),</w:t>
      </w:r>
      <w:r>
        <w:t xml:space="preserve"> </w:t>
      </w:r>
      <w:bookmarkStart w:id="30" w:name="redoc-inlinecode-7"/>
      <w:r>
        <w:rPr>
          <w:rStyle w:val="redoc-inlinecode-7"/>
        </w:rPr>
        <w:t xml:space="preserve">14.7142857142857</w:t>
      </w:r>
      <w:bookmarkEnd w:id="30"/>
      <w:r>
        <w:t xml:space="preserve"> </w:t>
      </w:r>
      <w:r>
        <w:t xml:space="preserve">([</w:t>
      </w:r>
      <w:bookmarkStart w:id="31" w:name="redoc-inlinecode-8"/>
      <w:r>
        <w:rPr>
          <w:rStyle w:val="redoc-inlinecode-8"/>
        </w:rPr>
        <w:t xml:space="preserve">13.7142857142857</w:t>
      </w:r>
      <w:bookmarkEnd w:id="31"/>
      <w:r>
        <w:t xml:space="preserve">,</w:t>
      </w:r>
      <w:bookmarkStart w:id="32" w:name="redoc-inlinecode-9"/>
      <w:r>
        <w:rPr>
          <w:rStyle w:val="redoc-inlinecode-9"/>
        </w:rPr>
        <w:t xml:space="preserve">16.4642857142857</w:t>
      </w:r>
      <w:bookmarkEnd w:id="32"/>
      <w:r>
        <w:t xml:space="preserve">]) and</w:t>
      </w:r>
      <w:r>
        <w:t xml:space="preserve"> </w:t>
      </w:r>
      <w:bookmarkStart w:id="33" w:name="redoc-inlinecode-10"/>
      <w:r>
        <w:rPr>
          <w:rStyle w:val="redoc-inlinecode-10"/>
        </w:rPr>
        <w:t xml:space="preserve">52.0714285714286</w:t>
      </w:r>
      <w:bookmarkEnd w:id="33"/>
      <w:r>
        <w:t xml:space="preserve"> </w:t>
      </w:r>
      <w:r>
        <w:t xml:space="preserve">([</w:t>
      </w:r>
      <w:bookmarkStart w:id="34" w:name="redoc-inlinecode-11"/>
      <w:r>
        <w:rPr>
          <w:rStyle w:val="redoc-inlinecode-11"/>
        </w:rPr>
        <w:t xml:space="preserve">50.2857142857143</w:t>
      </w:r>
      <w:bookmarkEnd w:id="34"/>
      <w:r>
        <w:t xml:space="preserve">,</w:t>
      </w:r>
      <w:bookmarkStart w:id="35" w:name="redoc-inlinecode-12"/>
      <w:r>
        <w:rPr>
          <w:rStyle w:val="redoc-inlinecode-12"/>
        </w:rPr>
        <w:t xml:space="preserve">53.4285714285714</w:t>
      </w:r>
      <w:bookmarkEnd w:id="35"/>
      <w:r>
        <w:t xml:space="preserve">]) weeks after stroke, respectively.</w:t>
      </w:r>
    </w:p>
    <w:p>
      <w:pPr>
        <w:pStyle w:val="Heading2"/>
      </w:pPr>
      <w:bookmarkStart w:id="36" w:name="clinical-data"/>
      <w:r>
        <w:t xml:space="preserve">Clinical data</w:t>
      </w:r>
      <w:bookmarkEnd w:id="36"/>
    </w:p>
    <w:p>
      <w:pPr>
        <w:pStyle w:val="Heading3"/>
      </w:pPr>
      <w:bookmarkStart w:id="37" w:name="baseline-demographics"/>
      <w:r>
        <w:t xml:space="preserve">Baseline demographics</w:t>
      </w:r>
      <w:bookmarkEnd w:id="37"/>
    </w:p>
    <w:bookmarkStart w:id="38" w:name="redoc-codechunk-4"/>
    <w:p>
      <w:pPr>
        <w:pStyle w:val="redoc-codechunk-4"/>
        <w:rPr>
          <w:vanish/>
        </w:rPr>
      </w:pPr>
      <w:r>
        <w:rPr>
          <w:vanish/>
        </w:rPr>
        <w:t xml:space="preserve">RPLACEHOLDER</w:t>
      </w:r>
    </w:p>
    <w:bookmarkEnd w:id="38"/>
    <w:p>
      <w:pPr>
        <w:pStyle w:val="FirstParagraph"/>
      </w:pPr>
      <w:r>
        <w:t xml:space="preserve">Of the</w:t>
      </w:r>
      <w:r>
        <w:t xml:space="preserve"> </w:t>
      </w:r>
      <w:bookmarkStart w:id="39" w:name="redoc-inlinecode-13"/>
      <w:r>
        <w:rPr>
          <w:rStyle w:val="redoc-inlinecode-13"/>
        </w:rPr>
        <w:t xml:space="preserve">24</w:t>
      </w:r>
      <w:bookmarkEnd w:id="39"/>
      <w:r>
        <w:t xml:space="preserve"> </w:t>
      </w:r>
      <w:r>
        <w:t xml:space="preserve">stroke patients included in the study,</w:t>
      </w:r>
      <w:r>
        <w:t xml:space="preserve"> </w:t>
      </w:r>
      <w:bookmarkStart w:id="40" w:name="redoc-inlinecode-14"/>
      <w:r>
        <w:rPr>
          <w:rStyle w:val="redoc-inlinecode-14"/>
        </w:rPr>
        <w:t xml:space="preserve">9</w:t>
      </w:r>
      <w:bookmarkEnd w:id="40"/>
      <w:r>
        <w:t xml:space="preserve"> </w:t>
      </w:r>
      <w:r>
        <w:t xml:space="preserve">were female; their age was</w:t>
      </w:r>
      <w:r>
        <w:t xml:space="preserve"> </w:t>
      </w:r>
      <w:bookmarkStart w:id="41" w:name="redoc-inlinecode-15"/>
      <w:r>
        <w:rPr>
          <w:rStyle w:val="redoc-inlinecode-15"/>
        </w:rPr>
        <w:t xml:space="preserve">64.25</w:t>
      </w:r>
      <w:bookmarkEnd w:id="41"/>
      <w:r>
        <w:t xml:space="preserve"> </w:t>
      </w:r>
      <w:r>
        <w:t xml:space="preserve">+/-</w:t>
      </w:r>
      <w:r>
        <w:t xml:space="preserve"> </w:t>
      </w:r>
      <w:bookmarkStart w:id="42" w:name="redoc-inlinecode-16"/>
      <w:r>
        <w:rPr>
          <w:rStyle w:val="redoc-inlinecode-16"/>
        </w:rPr>
        <w:t xml:space="preserve">12.1306</w:t>
      </w:r>
      <w:bookmarkEnd w:id="42"/>
      <w:r>
        <w:t xml:space="preserve"> </w:t>
      </w:r>
      <w:r>
        <w:t xml:space="preserve">(mean +/- standard deviation);</w:t>
      </w:r>
      <w:r>
        <w:t xml:space="preserve"> </w:t>
      </w:r>
      <w:bookmarkStart w:id="43" w:name="redoc-inlinecode-17"/>
      <w:r>
        <w:rPr>
          <w:rStyle w:val="redoc-inlinecode-17"/>
        </w:rPr>
        <w:t xml:space="preserve">15</w:t>
      </w:r>
      <w:bookmarkEnd w:id="43"/>
      <w:r>
        <w:t xml:space="preserve"> </w:t>
      </w:r>
      <w:r>
        <w:t xml:space="preserve">(</w:t>
      </w:r>
      <w:bookmarkStart w:id="44" w:name="redoc-inlinecode-18"/>
      <w:r>
        <w:rPr>
          <w:rStyle w:val="redoc-inlinecode-18"/>
        </w:rPr>
        <w:t xml:space="preserve">62.5</w:t>
      </w:r>
      <w:bookmarkEnd w:id="44"/>
      <w:r>
        <w:t xml:space="preserve">%, CI</w:t>
      </w:r>
      <w:r>
        <w:rPr>
          <w:vertAlign w:val="subscript"/>
        </w:rPr>
        <w:t xml:space="preserve">95</w:t>
      </w:r>
      <w:r>
        <w:t xml:space="preserve"> </w:t>
      </w:r>
      <w:r>
        <w:t xml:space="preserve">[</w:t>
      </w:r>
      <w:bookmarkStart w:id="45" w:name="redoc-inlinecode-19"/>
      <w:r>
        <w:rPr>
          <w:rStyle w:val="redoc-inlinecode-19"/>
        </w:rPr>
        <w:t xml:space="preserve">40.7576</w:t>
      </w:r>
      <w:bookmarkEnd w:id="45"/>
      <w:r>
        <w:t xml:space="preserve">,</w:t>
      </w:r>
      <w:r>
        <w:t xml:space="preserve"> </w:t>
      </w:r>
      <w:bookmarkStart w:id="46" w:name="redoc-inlinecode-20"/>
      <w:r>
        <w:rPr>
          <w:rStyle w:val="redoc-inlinecode-20"/>
        </w:rPr>
        <w:t xml:space="preserve">80.4498</w:t>
      </w:r>
      <w:bookmarkEnd w:id="46"/>
      <w:r>
        <w:t xml:space="preserve">]%) had a lesion in the left hemisphere; the infarct volume as measured at the first time point, 3-5 days after stroke, ranged from</w:t>
      </w:r>
      <w:r>
        <w:t xml:space="preserve"> </w:t>
      </w:r>
      <w:bookmarkStart w:id="47" w:name="redoc-inlinecode-21"/>
      <w:r>
        <w:rPr>
          <w:rStyle w:val="redoc-inlinecode-21"/>
        </w:rPr>
        <w:t xml:space="preserve">0.61</w:t>
      </w:r>
      <w:bookmarkEnd w:id="47"/>
      <w:r>
        <w:t xml:space="preserve"> </w:t>
      </w:r>
      <w:r>
        <w:t xml:space="preserve">ml to</w:t>
      </w:r>
      <w:r>
        <w:t xml:space="preserve"> </w:t>
      </w:r>
      <w:bookmarkStart w:id="48" w:name="redoc-inlinecode-22"/>
      <w:r>
        <w:rPr>
          <w:rStyle w:val="redoc-inlinecode-22"/>
        </w:rPr>
        <w:t xml:space="preserve">69.15</w:t>
      </w:r>
      <w:bookmarkEnd w:id="48"/>
      <w:r>
        <w:t xml:space="preserve"> </w:t>
      </w:r>
      <w:r>
        <w:t xml:space="preserve">ml (median</w:t>
      </w:r>
      <w:r>
        <w:t xml:space="preserve"> </w:t>
      </w:r>
      <w:bookmarkStart w:id="49" w:name="redoc-inlinecode-23"/>
      <w:r>
        <w:rPr>
          <w:rStyle w:val="redoc-inlinecode-23"/>
        </w:rPr>
        <w:t xml:space="preserve">3.1</w:t>
      </w:r>
      <w:bookmarkEnd w:id="49"/>
      <w:r>
        <w:t xml:space="preserve"> </w:t>
      </w:r>
      <w:r>
        <w:t xml:space="preserve">ml, IQR [</w:t>
      </w:r>
      <w:bookmarkStart w:id="50" w:name="redoc-inlinecode-24"/>
      <w:r>
        <w:rPr>
          <w:rStyle w:val="redoc-inlinecode-24"/>
        </w:rPr>
        <w:t xml:space="preserve">1.565</w:t>
      </w:r>
      <w:bookmarkEnd w:id="50"/>
      <w:r>
        <w:t xml:space="preserve">,</w:t>
      </w:r>
      <w:r>
        <w:t xml:space="preserve"> </w:t>
      </w:r>
      <w:bookmarkStart w:id="51" w:name="redoc-inlinecode-25"/>
      <w:r>
        <w:rPr>
          <w:rStyle w:val="redoc-inlinecode-25"/>
        </w:rPr>
        <w:t xml:space="preserve">19.3325</w:t>
      </w:r>
      <w:bookmarkEnd w:id="51"/>
      <w:r>
        <w:t xml:space="preserve">] ml). The lesions were predominantly located in subcortical brain areas, involving the centrum ovale, the corona radiata and the internal capsule (Fig0). There was no statistically significant association of lesion volume with side of the lesion (d=</w:t>
      </w:r>
      <w:bookmarkStart w:id="52" w:name="redoc-inlinecode-26"/>
      <w:r>
        <w:rPr>
          <w:rStyle w:val="redoc-inlinecode-26"/>
        </w:rPr>
        <w:t xml:space="preserve">-0.3264</w:t>
      </w:r>
      <w:bookmarkEnd w:id="52"/>
      <w:r>
        <w:t xml:space="preserve">, t</w:t>
      </w:r>
      <w:bookmarkStart w:id="53" w:name="redoc-inlinecode-27"/>
      <w:r>
        <w:rPr>
          <w:rStyle w:val="redoc-inlinecode-27"/>
          <w:vertAlign w:val="subscript"/>
        </w:rPr>
        <w:t xml:space="preserve">22</w:t>
      </w:r>
      <w:bookmarkEnd w:id="53"/>
      <w:r>
        <w:t xml:space="preserve">=</w:t>
      </w:r>
      <w:bookmarkStart w:id="54" w:name="redoc-inlinecode-28"/>
      <w:r>
        <w:rPr>
          <w:rStyle w:val="redoc-inlinecode-28"/>
        </w:rPr>
        <w:t xml:space="preserve">0.7741</w:t>
      </w:r>
      <w:bookmarkEnd w:id="54"/>
      <w:r>
        <w:t xml:space="preserve">, p=</w:t>
      </w:r>
      <w:bookmarkStart w:id="55" w:name="redoc-inlinecode-29"/>
      <w:r>
        <w:rPr>
          <w:rStyle w:val="redoc-inlinecode-29"/>
        </w:rPr>
        <w:t xml:space="preserve">0.4471</w:t>
      </w:r>
      <w:bookmarkEnd w:id="55"/>
      <w:r>
        <w:t xml:space="preserve">).</w:t>
      </w:r>
      <w:r>
        <w:t xml:space="preserve"> </w:t>
      </w:r>
      <w:bookmarkStart w:id="56" w:name="redoc-htmlcomment-1"/>
      <w:r>
        <w:rPr>
          <w:rStyle w:val="redoc-htmlcomment-1"/>
          <w:vanish/>
        </w:rPr>
        <w:t xml:space="preserve">RPLACEHOLDER</w:t>
      </w:r>
      <w:bookmarkEnd w:id="56"/>
    </w:p>
    <w:bookmarkStart w:id="57" w:name="redoc-codechunk-5"/>
    <w:p>
      <w:pPr>
        <w:pStyle w:val="redoc-codechunk-5"/>
        <w:rPr>
          <w:vanish/>
        </w:rPr>
      </w:pPr>
      <w:r>
        <w:rPr>
          <w:vanish/>
        </w:rPr>
        <w:t xml:space="preserve">RPLACEHOLDER</w:t>
      </w:r>
    </w:p>
    <w:bookmarkEnd w:id="57"/>
    <w:bookmarkStart w:id="58" w:name="redoc-codechunk-6"/>
    <w:p>
      <w:pPr>
        <w:pStyle w:val="redoc-codechunk-6"/>
        <w:rPr>
          <w:vanish/>
        </w:rPr>
      </w:pPr>
      <w:r>
        <w:rPr>
          <w:vanish/>
        </w:rPr>
        <w:t xml:space="preserve">RPLACEHOLDER</w:t>
      </w:r>
    </w:p>
    <w:bookmarkEnd w:id="58"/>
    <w:p>
      <w:pPr>
        <w:pStyle w:val="BodyText"/>
      </w:pPr>
      <w:r>
        <w:t xml:space="preserve">Initial severity of stroke symptoms ranged from</w:t>
      </w:r>
      <w:r>
        <w:t xml:space="preserve"> </w:t>
      </w:r>
      <w:bookmarkStart w:id="59" w:name="redoc-inlinecode-38"/>
      <w:r>
        <w:rPr>
          <w:rStyle w:val="redoc-inlinecode-38"/>
        </w:rPr>
        <w:t xml:space="preserve">0</w:t>
      </w:r>
      <w:bookmarkEnd w:id="59"/>
      <w:r>
        <w:t xml:space="preserve"> </w:t>
      </w:r>
      <w:r>
        <w:t xml:space="preserve">to</w:t>
      </w:r>
      <w:r>
        <w:t xml:space="preserve"> </w:t>
      </w:r>
      <w:bookmarkStart w:id="60" w:name="redoc-inlinecode-39"/>
      <w:r>
        <w:rPr>
          <w:rStyle w:val="redoc-inlinecode-39"/>
        </w:rPr>
        <w:t xml:space="preserve">13</w:t>
      </w:r>
      <w:bookmarkEnd w:id="60"/>
      <w:r>
        <w:t xml:space="preserve"> </w:t>
      </w:r>
      <w:r>
        <w:t xml:space="preserve">on the NIH Stroke Scale (median</w:t>
      </w:r>
      <w:r>
        <w:t xml:space="preserve"> </w:t>
      </w:r>
      <w:bookmarkStart w:id="61" w:name="redoc-inlinecode-40"/>
      <w:r>
        <w:rPr>
          <w:rStyle w:val="redoc-inlinecode-40"/>
        </w:rPr>
        <w:t xml:space="preserve">3</w:t>
      </w:r>
      <w:bookmarkEnd w:id="61"/>
      <w:r>
        <w:t xml:space="preserve">, IQR [</w:t>
      </w:r>
      <w:bookmarkStart w:id="62" w:name="redoc-inlinecode-41"/>
      <w:r>
        <w:rPr>
          <w:rStyle w:val="redoc-inlinecode-41"/>
        </w:rPr>
        <w:t xml:space="preserve">1.5</w:t>
      </w:r>
      <w:bookmarkEnd w:id="62"/>
      <w:r>
        <w:t xml:space="preserve">,</w:t>
      </w:r>
      <w:bookmarkStart w:id="63" w:name="redoc-inlinecode-42"/>
      <w:r>
        <w:rPr>
          <w:rStyle w:val="redoc-inlinecode-42"/>
        </w:rPr>
        <w:t xml:space="preserve">7</w:t>
      </w:r>
      <w:bookmarkEnd w:id="63"/>
      <w:r>
        <w:t xml:space="preserve">]). Quasi-Poisson regressions indicated that patients with larger infarct volumes were affected more severely at the acute (p</w:t>
      </w:r>
      <w:r>
        <w:rPr>
          <w:vertAlign w:val="subscript"/>
        </w:rPr>
        <w:t xml:space="preserve">3-5d</w:t>
      </w:r>
      <w:r>
        <w:t xml:space="preserve">=</w:t>
      </w:r>
      <w:bookmarkStart w:id="64" w:name="redoc-inlinecode-43"/>
      <w:r>
        <w:rPr>
          <w:rStyle w:val="redoc-inlinecode-43"/>
        </w:rPr>
        <w:t xml:space="preserve">0.0268</w:t>
      </w:r>
      <w:bookmarkEnd w:id="64"/>
      <w:r>
        <w:t xml:space="preserve">), but not at the later time points at one, three or twelve months after stroke. There was no effect of side of the lesion, nor age or sex of the patient on stroke severity.</w:t>
      </w:r>
    </w:p>
    <w:bookmarkStart w:id="65" w:name="redoc-codechunk-7"/>
    <w:p>
      <w:pPr>
        <w:pStyle w:val="redoc-codechunk-7"/>
        <w:rPr>
          <w:vanish/>
        </w:rPr>
      </w:pPr>
      <w:r>
        <w:rPr>
          <w:vanish/>
        </w:rPr>
        <w:t xml:space="preserve">RPLACEHOLDER</w:t>
      </w:r>
    </w:p>
    <w:bookmarkEnd w:id="65"/>
    <w:p>
      <w:pPr>
        <w:pStyle w:val="BodyText"/>
      </w:pPr>
      <w:r>
        <w:t xml:space="preserve">Impairments in strength and dexterity of the affected hand were quantified in the acute phase as relative grip strength ranging from</w:t>
      </w:r>
      <w:r>
        <w:t xml:space="preserve"> </w:t>
      </w:r>
      <w:bookmarkStart w:id="66" w:name="redoc-inlinecode-44"/>
      <w:r>
        <w:rPr>
          <w:rStyle w:val="redoc-inlinecode-44"/>
        </w:rPr>
        <w:t xml:space="preserve">0</w:t>
      </w:r>
      <w:bookmarkEnd w:id="66"/>
      <w:r>
        <w:t xml:space="preserve"> </w:t>
      </w:r>
      <w:r>
        <w:t xml:space="preserve">to</w:t>
      </w:r>
      <w:r>
        <w:t xml:space="preserve"> </w:t>
      </w:r>
      <w:bookmarkStart w:id="67" w:name="redoc-inlinecode-45"/>
      <w:r>
        <w:rPr>
          <w:rStyle w:val="redoc-inlinecode-45"/>
        </w:rPr>
        <w:t xml:space="preserve">1.12</w:t>
      </w:r>
      <w:bookmarkEnd w:id="67"/>
      <w:r>
        <w:t xml:space="preserve"> </w:t>
      </w:r>
      <w:r>
        <w:t xml:space="preserve">(median</w:t>
      </w:r>
      <w:r>
        <w:t xml:space="preserve"> </w:t>
      </w:r>
      <w:bookmarkStart w:id="68" w:name="redoc-inlinecode-46"/>
      <w:r>
        <w:rPr>
          <w:rStyle w:val="redoc-inlinecode-46"/>
        </w:rPr>
        <w:t xml:space="preserve">0.73</w:t>
      </w:r>
      <w:bookmarkEnd w:id="68"/>
      <w:r>
        <w:t xml:space="preserve">, IQR [</w:t>
      </w:r>
      <w:bookmarkStart w:id="69" w:name="redoc-inlinecode-47"/>
      <w:r>
        <w:rPr>
          <w:rStyle w:val="redoc-inlinecode-47"/>
        </w:rPr>
        <w:t xml:space="preserve">0.38</w:t>
      </w:r>
      <w:bookmarkEnd w:id="69"/>
      <w:r>
        <w:t xml:space="preserve">,</w:t>
      </w:r>
      <w:r>
        <w:t xml:space="preserve"> </w:t>
      </w:r>
      <w:bookmarkStart w:id="70" w:name="redoc-inlinecode-48"/>
      <w:r>
        <w:rPr>
          <w:rStyle w:val="redoc-inlinecode-48"/>
        </w:rPr>
        <w:t xml:space="preserve">0.8425</w:t>
      </w:r>
      <w:bookmarkEnd w:id="70"/>
      <w:r>
        <w:t xml:space="preserve">]) and Fugl-Meyer score ranging from</w:t>
      </w:r>
      <w:r>
        <w:t xml:space="preserve"> </w:t>
      </w:r>
      <w:bookmarkStart w:id="71" w:name="redoc-inlinecode-49"/>
      <w:r>
        <w:rPr>
          <w:rStyle w:val="redoc-inlinecode-49"/>
        </w:rPr>
        <w:t xml:space="preserve">4</w:t>
      </w:r>
      <w:bookmarkEnd w:id="71"/>
      <w:r>
        <w:t xml:space="preserve"> </w:t>
      </w:r>
      <w:r>
        <w:t xml:space="preserve">to</w:t>
      </w:r>
      <w:r>
        <w:t xml:space="preserve"> </w:t>
      </w:r>
      <w:bookmarkStart w:id="72" w:name="redoc-inlinecode-50"/>
      <w:r>
        <w:rPr>
          <w:rStyle w:val="redoc-inlinecode-50"/>
        </w:rPr>
        <w:t xml:space="preserve">66</w:t>
      </w:r>
      <w:bookmarkEnd w:id="72"/>
      <w:r>
        <w:t xml:space="preserve"> </w:t>
      </w:r>
      <w:r>
        <w:t xml:space="preserve">(median</w:t>
      </w:r>
      <w:r>
        <w:t xml:space="preserve"> </w:t>
      </w:r>
      <w:bookmarkStart w:id="73" w:name="redoc-inlinecode-51"/>
      <w:r>
        <w:rPr>
          <w:rStyle w:val="redoc-inlinecode-51"/>
        </w:rPr>
        <w:t xml:space="preserve">57</w:t>
      </w:r>
      <w:bookmarkEnd w:id="73"/>
      <w:r>
        <w:t xml:space="preserve">, IQR [</w:t>
      </w:r>
      <w:bookmarkStart w:id="74" w:name="redoc-inlinecode-52"/>
      <w:r>
        <w:rPr>
          <w:rStyle w:val="redoc-inlinecode-52"/>
        </w:rPr>
        <w:t xml:space="preserve">34.5</w:t>
      </w:r>
      <w:bookmarkEnd w:id="74"/>
      <w:r>
        <w:t xml:space="preserve">,</w:t>
      </w:r>
      <w:r>
        <w:t xml:space="preserve"> </w:t>
      </w:r>
      <w:bookmarkStart w:id="75" w:name="redoc-inlinecode-53"/>
      <w:r>
        <w:rPr>
          <w:rStyle w:val="redoc-inlinecode-53"/>
        </w:rPr>
        <w:t xml:space="preserve">64</w:t>
      </w:r>
      <w:bookmarkEnd w:id="75"/>
      <w:r>
        <w:t xml:space="preserve">]). In these motor specific outcome measures there was no statistically significant association with volume or side of the lesion, nor with age or sex of the patient.</w:t>
      </w:r>
    </w:p>
    <w:p>
      <w:pPr>
        <w:pStyle w:val="Heading3"/>
      </w:pPr>
      <w:bookmarkStart w:id="76" w:name="time-course-of-symptom-severity-and-motor-function"/>
      <w:r>
        <w:t xml:space="preserve">Time course of symptom severity and motor function</w:t>
      </w:r>
      <w:bookmarkEnd w:id="76"/>
    </w:p>
    <w:bookmarkStart w:id="77" w:name="redoc-codechunk-8"/>
    <w:p>
      <w:pPr>
        <w:pStyle w:val="redoc-codechunk-8"/>
        <w:rPr>
          <w:vanish/>
        </w:rPr>
      </w:pPr>
      <w:r>
        <w:rPr>
          <w:vanish/>
        </w:rPr>
        <w:t xml:space="preserve">RPLACEHOLDER</w:t>
      </w:r>
    </w:p>
    <w:bookmarkEnd w:id="77"/>
    <w:bookmarkStart w:id="78" w:name="redoc-codechunk-9"/>
    <w:p>
      <w:pPr>
        <w:pStyle w:val="redoc-codechunk-9"/>
        <w:rPr>
          <w:vanish/>
        </w:rPr>
      </w:pPr>
      <w:r>
        <w:rPr>
          <w:vanish/>
        </w:rPr>
        <w:t xml:space="preserve">RPLACEHOLDER</w:t>
      </w:r>
    </w:p>
    <w:bookmarkEnd w:id="78"/>
    <w:p>
      <w:pPr>
        <w:pStyle w:val="FirstParagraph"/>
      </w:pPr>
      <w:r>
        <w:t xml:space="preserve">Over the course of the study most patients improved clinically. The median NIHSS score, median ratio of grip strength in affected to unaffected hand, and median FM score improved to</w:t>
      </w:r>
      <w:r>
        <w:t xml:space="preserve"> </w:t>
      </w:r>
      <w:bookmarkStart w:id="79" w:name="redoc-inlinecode-54"/>
      <w:r>
        <w:rPr>
          <w:rStyle w:val="redoc-inlinecode-54"/>
        </w:rPr>
        <w:t xml:space="preserve">0</w:t>
      </w:r>
      <w:bookmarkEnd w:id="79"/>
      <w:r>
        <w:t xml:space="preserve"> </w:t>
      </w:r>
      <w:r>
        <w:t xml:space="preserve">(IQR [</w:t>
      </w:r>
      <w:bookmarkStart w:id="80" w:name="redoc-inlinecode-55"/>
      <w:r>
        <w:rPr>
          <w:rStyle w:val="redoc-inlinecode-55"/>
        </w:rPr>
        <w:t xml:space="preserve">0</w:t>
      </w:r>
      <w:bookmarkEnd w:id="80"/>
      <w:r>
        <w:t xml:space="preserve">,</w:t>
      </w:r>
      <w:r>
        <w:t xml:space="preserve"> </w:t>
      </w:r>
      <w:bookmarkStart w:id="81" w:name="redoc-inlinecode-56"/>
      <w:r>
        <w:rPr>
          <w:rStyle w:val="redoc-inlinecode-56"/>
        </w:rPr>
        <w:t xml:space="preserve">3</w:t>
      </w:r>
      <w:bookmarkEnd w:id="81"/>
      <w:r>
        <w:t xml:space="preserve">]),</w:t>
      </w:r>
      <w:r>
        <w:t xml:space="preserve"> </w:t>
      </w:r>
      <w:bookmarkStart w:id="82" w:name="redoc-inlinecode-57"/>
      <w:r>
        <w:rPr>
          <w:rStyle w:val="redoc-inlinecode-57"/>
        </w:rPr>
        <w:t xml:space="preserve">0.91</w:t>
      </w:r>
      <w:bookmarkEnd w:id="82"/>
      <w:r>
        <w:t xml:space="preserve"> </w:t>
      </w:r>
      <w:r>
        <w:t xml:space="preserve">(IQR [</w:t>
      </w:r>
      <w:bookmarkStart w:id="83" w:name="redoc-inlinecode-58"/>
      <w:r>
        <w:rPr>
          <w:rStyle w:val="redoc-inlinecode-58"/>
        </w:rPr>
        <w:t xml:space="preserve">0.82</w:t>
      </w:r>
      <w:bookmarkEnd w:id="83"/>
      <w:r>
        <w:t xml:space="preserve">,</w:t>
      </w:r>
      <w:r>
        <w:t xml:space="preserve"> </w:t>
      </w:r>
      <w:bookmarkStart w:id="84" w:name="redoc-inlinecode-59"/>
      <w:r>
        <w:rPr>
          <w:rStyle w:val="redoc-inlinecode-59"/>
        </w:rPr>
        <w:t xml:space="preserve">1</w:t>
      </w:r>
      <w:bookmarkEnd w:id="84"/>
      <w:r>
        <w:t xml:space="preserve">]) and</w:t>
      </w:r>
      <w:r>
        <w:t xml:space="preserve"> </w:t>
      </w:r>
      <w:bookmarkStart w:id="85" w:name="redoc-inlinecode-60"/>
      <w:r>
        <w:rPr>
          <w:rStyle w:val="redoc-inlinecode-60"/>
        </w:rPr>
        <w:t xml:space="preserve">66</w:t>
      </w:r>
      <w:bookmarkEnd w:id="85"/>
      <w:r>
        <w:t xml:space="preserve"> </w:t>
      </w:r>
      <w:r>
        <w:t xml:space="preserve">(IQR [</w:t>
      </w:r>
      <w:bookmarkStart w:id="86" w:name="redoc-inlinecode-61"/>
      <w:r>
        <w:rPr>
          <w:rStyle w:val="redoc-inlinecode-61"/>
        </w:rPr>
        <w:t xml:space="preserve">57.5</w:t>
      </w:r>
      <w:bookmarkEnd w:id="86"/>
      <w:r>
        <w:t xml:space="preserve">,</w:t>
      </w:r>
      <w:r>
        <w:t xml:space="preserve"> </w:t>
      </w:r>
      <w:bookmarkStart w:id="87" w:name="redoc-inlinecode-62"/>
      <w:r>
        <w:rPr>
          <w:rStyle w:val="redoc-inlinecode-62"/>
        </w:rPr>
        <w:t xml:space="preserve">66</w:t>
      </w:r>
      <w:bookmarkEnd w:id="87"/>
      <w:r>
        <w:t xml:space="preserve">]) at 12 months follow-up, respectively (</w:t>
      </w:r>
      <w:bookmarkStart w:id="88" w:name="redoc-inlinecode-63"/>
      <w:r>
        <w:rPr>
          <w:rStyle w:val="redoc-inlinecode-63"/>
        </w:rPr>
        <w:t xml:space="preserve">Fig. 1</w:t>
      </w:r>
      <w:bookmarkEnd w:id="88"/>
      <w:r>
        <w:t xml:space="preserve">). Growth curve analyses indicated statistical superiority of exponential models (AIC</w:t>
      </w:r>
      <w:r>
        <w:rPr>
          <w:vertAlign w:val="subscript"/>
        </w:rPr>
        <w:t xml:space="preserve">exp</w:t>
      </w:r>
      <w:r>
        <w:rPr>
          <w:vertAlign w:val="superscript"/>
        </w:rPr>
        <w:t xml:space="preserve">NIHSS</w:t>
      </w:r>
      <w:r>
        <w:t xml:space="preserve"> </w:t>
      </w:r>
      <w:r>
        <w:t xml:space="preserve">=</w:t>
      </w:r>
      <w:r>
        <w:t xml:space="preserve"> </w:t>
      </w:r>
      <w:bookmarkStart w:id="89" w:name="redoc-inlinecode-64"/>
      <w:r>
        <w:rPr>
          <w:rStyle w:val="redoc-inlinecode-64"/>
        </w:rPr>
        <w:t xml:space="preserve">407.7332</w:t>
      </w:r>
      <w:bookmarkEnd w:id="89"/>
      <w:r>
        <w:t xml:space="preserve">, AIC</w:t>
      </w:r>
      <w:r>
        <w:rPr>
          <w:vertAlign w:val="subscript"/>
        </w:rPr>
        <w:t xml:space="preserve">exp</w:t>
      </w:r>
      <w:r>
        <w:rPr>
          <w:vertAlign w:val="superscript"/>
        </w:rPr>
        <w:t xml:space="preserve">GS</w:t>
      </w:r>
      <w:r>
        <w:t xml:space="preserve"> </w:t>
      </w:r>
      <w:r>
        <w:t xml:space="preserve">=</w:t>
      </w:r>
      <w:r>
        <w:t xml:space="preserve"> </w:t>
      </w:r>
      <w:bookmarkStart w:id="90" w:name="redoc-inlinecode-65"/>
      <w:r>
        <w:rPr>
          <w:rStyle w:val="redoc-inlinecode-65"/>
        </w:rPr>
        <w:t xml:space="preserve">-17.2254</w:t>
      </w:r>
      <w:bookmarkEnd w:id="90"/>
      <w:r>
        <w:t xml:space="preserve">, AIC</w:t>
      </w:r>
      <w:r>
        <w:rPr>
          <w:vertAlign w:val="subscript"/>
        </w:rPr>
        <w:t xml:space="preserve">exp</w:t>
      </w:r>
      <w:r>
        <w:rPr>
          <w:vertAlign w:val="superscript"/>
        </w:rPr>
        <w:t xml:space="preserve">FM</w:t>
      </w:r>
      <w:r>
        <w:t xml:space="preserve"> </w:t>
      </w:r>
      <w:r>
        <w:t xml:space="preserve">=</w:t>
      </w:r>
      <w:r>
        <w:t xml:space="preserve"> </w:t>
      </w:r>
      <w:bookmarkStart w:id="91" w:name="redoc-inlinecode-66"/>
      <w:r>
        <w:rPr>
          <w:rStyle w:val="redoc-inlinecode-66"/>
        </w:rPr>
        <w:t xml:space="preserve">710.1139</w:t>
      </w:r>
      <w:bookmarkEnd w:id="91"/>
      <w:r>
        <w:t xml:space="preserve">) over linear fits (AIC</w:t>
      </w:r>
      <w:r>
        <w:rPr>
          <w:vertAlign w:val="subscript"/>
        </w:rPr>
        <w:t xml:space="preserve">lin</w:t>
      </w:r>
      <w:r>
        <w:rPr>
          <w:vertAlign w:val="superscript"/>
        </w:rPr>
        <w:t xml:space="preserve">NIHSS</w:t>
      </w:r>
      <w:r>
        <w:t xml:space="preserve"> </w:t>
      </w:r>
      <w:r>
        <w:t xml:space="preserve">=</w:t>
      </w:r>
      <w:r>
        <w:t xml:space="preserve"> </w:t>
      </w:r>
      <w:bookmarkStart w:id="92" w:name="redoc-inlinecode-67"/>
      <w:r>
        <w:rPr>
          <w:rStyle w:val="redoc-inlinecode-67"/>
        </w:rPr>
        <w:t xml:space="preserve">430.7945</w:t>
      </w:r>
      <w:bookmarkEnd w:id="92"/>
      <w:r>
        <w:t xml:space="preserve">, AIC</w:t>
      </w:r>
      <w:r>
        <w:rPr>
          <w:vertAlign w:val="subscript"/>
        </w:rPr>
        <w:t xml:space="preserve">lin</w:t>
      </w:r>
      <w:r>
        <w:rPr>
          <w:vertAlign w:val="superscript"/>
        </w:rPr>
        <w:t xml:space="preserve">GS</w:t>
      </w:r>
      <w:r>
        <w:t xml:space="preserve"> </w:t>
      </w:r>
      <w:r>
        <w:t xml:space="preserve">=</w:t>
      </w:r>
      <w:r>
        <w:t xml:space="preserve"> </w:t>
      </w:r>
      <w:bookmarkStart w:id="93" w:name="redoc-inlinecode-68"/>
      <w:r>
        <w:rPr>
          <w:rStyle w:val="redoc-inlinecode-68"/>
        </w:rPr>
        <w:t xml:space="preserve">2.5221</w:t>
      </w:r>
      <w:bookmarkEnd w:id="93"/>
      <w:r>
        <w:t xml:space="preserve">, AIC</w:t>
      </w:r>
      <w:r>
        <w:rPr>
          <w:vertAlign w:val="subscript"/>
        </w:rPr>
        <w:t xml:space="preserve">lin</w:t>
      </w:r>
      <w:r>
        <w:rPr>
          <w:vertAlign w:val="superscript"/>
        </w:rPr>
        <w:t xml:space="preserve">FM</w:t>
      </w:r>
      <w:r>
        <w:t xml:space="preserve"> </w:t>
      </w:r>
      <w:r>
        <w:t xml:space="preserve">=</w:t>
      </w:r>
      <w:r>
        <w:t xml:space="preserve"> </w:t>
      </w:r>
      <w:bookmarkStart w:id="94" w:name="redoc-inlinecode-69"/>
      <w:r>
        <w:rPr>
          <w:rStyle w:val="redoc-inlinecode-69"/>
        </w:rPr>
        <w:t xml:space="preserve">731.7832</w:t>
      </w:r>
      <w:bookmarkEnd w:id="94"/>
      <w:r>
        <w:t xml:space="preserve">) for each of the three outcome variables (</w:t>
      </w:r>
      <w:bookmarkStart w:id="95" w:name="redoc-inlinecode-70"/>
      <w:r>
        <w:rPr>
          <w:rStyle w:val="redoc-inlinecode-70"/>
        </w:rPr>
        <w:t xml:space="preserve">Tab. 1</w:t>
      </w:r>
      <w:bookmarkEnd w:id="95"/>
      <w:r>
        <w:t xml:space="preserve">).</w:t>
      </w:r>
    </w:p>
    <w:bookmarkStart w:id="97" w:name="redoc-codechunk-10"/>
    <w:p>
      <w:pPr>
        <w:pStyle w:val="CaptionedFigure"/>
        <w:pStyle w:val="redoc-codechunk-10"/>
      </w:pPr>
      <w:r>
        <w:drawing>
          <wp:inline>
            <wp:extent cx="5334000" cy="1778000"/>
            <wp:effectExtent b="0" l="0" r="0" t="0"/>
            <wp:docPr descr="Fig. 1: Temporal profiles of clinical outcome parameters. Horizontal axes indicate time after stroke. Thin lines represent linearly interpolated profiles for individual patients. Circles and bars denote cross-sectional means and asymptotic standard errors, respectively. Thick lines visualize the non-linear model \mathrm{Outcome}_t\sim a + \Delta(1-\exp(-b\,t)). NIHSS = National Institutes of Health Stroke Scale, d = days, m = months." title="" id="1" name="Picture"/>
            <a:graphic>
              <a:graphicData uri="http://schemas.openxmlformats.org/drawingml/2006/picture">
                <pic:pic>
                  <pic:nvPicPr>
                    <pic:cNvPr descr="results-clinical_files/figure-docx/unnamed-chunk-10-1.png" id="2" name="Picture"/>
                    <pic:cNvPicPr>
                      <a:picLocks noChangeArrowheads="1" noChangeAspect="1"/>
                    </pic:cNvPicPr>
                  </pic:nvPicPr>
                  <pic:blipFill>
                    <a:blip r:embed="rId96"/>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Style w:val="redoc-codechunk-10"/>
      </w:pPr>
      <w:r>
        <w:t xml:space="preserve">Fig. 1: Temporal profiles of clinical outcome parameters. Horizontal axes indicate time after stroke. Thin lines represent linearly interpolated profiles for individual patients. Circles and bars denote cross-sectional means and asymptotic standard errors, respectively. Thick lines visualize the non-linear model</w:t>
      </w:r>
      <w:r>
        <w:t xml:space="preserve"> </w:t>
      </w:r>
      <m:oMath>
        <m:sSub>
          <m:e>
            <m:r>
              <m:rPr>
                <m:sty m:val="p"/>
              </m:rPr>
              <m:t>O</m:t>
            </m:r>
            <m:r>
              <m:rPr>
                <m:sty m:val="p"/>
              </m:rPr>
              <m:t>u</m:t>
            </m:r>
            <m:r>
              <m:rPr>
                <m:sty m:val="p"/>
              </m:rPr>
              <m:t>t</m:t>
            </m:r>
            <m:r>
              <m:rPr>
                <m:sty m:val="p"/>
              </m:rPr>
              <m:t>c</m:t>
            </m:r>
            <m:r>
              <m:rPr>
                <m:sty m:val="p"/>
              </m:rPr>
              <m:t>o</m:t>
            </m:r>
            <m:r>
              <m:rPr>
                <m:sty m:val="p"/>
              </m:rPr>
              <m:t>m</m:t>
            </m:r>
            <m:r>
              <m:rPr>
                <m:sty m:val="p"/>
              </m:rPr>
              <m:t>e</m:t>
            </m:r>
          </m:e>
          <m:sub>
            <m:r>
              <m:t>t</m:t>
            </m:r>
          </m:sub>
        </m:sSub>
        <m:r>
          <m:t>∼</m:t>
        </m:r>
        <m:r>
          <m:t>a</m:t>
        </m:r>
        <m:r>
          <m:t>+</m:t>
        </m:r>
        <m:r>
          <m:t>Δ</m:t>
        </m:r>
        <m:r>
          <m:t>(</m:t>
        </m:r>
        <m:r>
          <m:t>1</m:t>
        </m:r>
        <m:r>
          <m:t>−</m:t>
        </m:r>
        <m:r>
          <m:rPr>
            <m:sty m:val="p"/>
          </m:rPr>
          <m:t>exp</m:t>
        </m:r>
        <m:r>
          <m:t>(</m:t>
        </m:r>
        <m:r>
          <m:t>−</m:t>
        </m:r>
        <m:r>
          <m:t>b</m:t>
        </m:r>
        <m:r>
          <m:t> </m:t>
        </m:r>
        <m:r>
          <m:t>t</m:t>
        </m:r>
        <m:r>
          <m:t>)</m:t>
        </m:r>
        <m:r>
          <m:t>)</m:t>
        </m:r>
      </m:oMath>
      <w:r>
        <w:t xml:space="preserve">. NIHSS = National Institutes of Health Stroke Scale, d = days, m = months.</w:t>
      </w:r>
    </w:p>
    <w:bookmarkEnd w:id="97"/>
    <w:bookmarkStart w:id="98" w:name="redoc-codechunk-11"/>
    <w:p>
      <w:pPr>
        <w:pStyle w:val="SourceCode"/>
        <w:pStyle w:val="redoc-codechunk-11"/>
      </w:pPr>
      <w:r>
        <w:rPr>
          <w:rStyle w:val="NormalTok"/>
        </w:rPr>
        <w:t xml:space="preserve">temp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691"/>
        <w:gridCol w:w="318"/>
        <w:gridCol w:w="1471"/>
        <w:gridCol w:w="1481"/>
        <w:gridCol w:w="908"/>
      </w:tblGrid>
      <w:tr>
        <w:trPr>
          <w:cantSplit/>
          <w:trHeight w:val="415"/>
          <w:tblHeader/>
        </w:trPr>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Clinical outcome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point estimate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standard error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w:t>
            </w:r>
          </w:p>
        </w:tc>
      </w:tr>
      <w:tr>
        <w:trPr>
          <w:cantSplit/>
          <w:trHeight w:val="331"/>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NIHSS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4.609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0.621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2.31e-10</w:t>
            </w:r>
          </w:p>
        </w:tc>
      </w:tr>
      <w:tr>
        <w:trPr>
          <w:cantSplit/>
          <w:trHeight w:val="329"/>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1.549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0.553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6.59e-03</w:t>
            </w:r>
          </w:p>
        </w:tc>
      </w:tr>
      <w:tr>
        <w:trPr>
          <w:cantSplit/>
          <w:trHeight w:val="329"/>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-3.009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0.366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7.71e-12</w:t>
            </w:r>
          </w:p>
        </w:tc>
      </w:tr>
      <w:tr>
        <w:trPr>
          <w:cantSplit/>
          <w:trHeight w:val="331"/>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rGS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0.514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3.75e-08</w:t>
            </w:r>
          </w:p>
        </w:tc>
      </w:tr>
      <w:tr>
        <w:trPr>
          <w:cantSplit/>
          <w:trHeight w:val="329"/>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1.009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0.360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6.86e-03</w:t>
            </w:r>
          </w:p>
        </w:tc>
      </w:tr>
      <w:tr>
        <w:trPr>
          <w:cantSplit/>
          <w:trHeight w:val="329"/>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0.277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8.50e-10</w:t>
            </w:r>
          </w:p>
        </w:tc>
      </w:tr>
      <w:tr>
        <w:trPr>
          <w:cantSplit/>
          <w:trHeight w:val="329"/>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FM</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42.930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4.814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4.23e-13</w:t>
            </w:r>
          </w:p>
        </w:tc>
      </w:tr>
      <w:tr>
        <w:trPr>
          <w:cantSplit/>
          <w:trHeight w:val="329"/>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4.302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10.820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6.92e-01</w:t>
            </w:r>
          </w:p>
        </w:tc>
      </w:tr>
      <w:tr>
        <w:trPr>
          <w:cantSplit/>
          <w:trHeight w:val="329"/>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9.885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1.483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5.29e-09</w:t>
            </w:r>
          </w:p>
        </w:tc>
      </w:tr>
    </w:tbl>
    <w:bookmarkEnd w:id="98"/>
    <w:p>
      <w:pPr>
        <w:pStyle w:val="FirstParagraph"/>
      </w:pPr>
      <w:bookmarkStart w:id="99" w:name="redoc-inlinecode-71"/>
      <w:r>
        <w:rPr>
          <w:rStyle w:val="redoc-inlinecode-71"/>
        </w:rPr>
        <w:t xml:space="preserve">Tab. 1: Point estimates, standard errors and p-values for model parameters</w:t>
      </w:r>
      <w:r>
        <w:rPr>
          <w:rStyle w:val="redoc-inlinecode-71"/>
        </w:rPr>
        <w:t xml:space="preserve"> </w:t>
      </w:r>
      <m:oMath>
        <m:r>
          <m:t>a</m:t>
        </m:r>
      </m:oMath>
      <w:r>
        <w:rPr>
          <w:rStyle w:val="redoc-inlinecode-71"/>
        </w:rPr>
        <w:t xml:space="preserve"> </w:t>
      </w:r>
      <w:r>
        <w:rPr>
          <w:rStyle w:val="redoc-inlinecode-71"/>
        </w:rPr>
        <w:t xml:space="preserve">(initial value),</w:t>
      </w:r>
      <w:r>
        <w:rPr>
          <w:rStyle w:val="redoc-inlinecode-71"/>
        </w:rPr>
        <w:t xml:space="preserve"> </w:t>
      </w:r>
      <m:oMath>
        <m:r>
          <m:t>b</m:t>
        </m:r>
      </m:oMath>
      <w:r>
        <w:rPr>
          <w:rStyle w:val="redoc-inlinecode-71"/>
        </w:rPr>
        <w:t xml:space="preserve"> </w:t>
      </w:r>
      <w:r>
        <w:rPr>
          <w:rStyle w:val="redoc-inlinecode-71"/>
        </w:rPr>
        <w:t xml:space="preserve">(rate of change), and Δ (total amount of change) obtained from fitting the exponential model (1) to temporal profiles of clinical outcome parameters. Standard errors and</w:t>
      </w:r>
      <w:r>
        <w:rPr>
          <w:rStyle w:val="redoc-inlinecode-71"/>
        </w:rPr>
        <w:t xml:space="preserve"> </w:t>
      </w:r>
      <m:oMath>
        <m:r>
          <m:t>p</m:t>
        </m:r>
      </m:oMath>
      <w:r>
        <w:rPr>
          <w:rStyle w:val="redoc-inlinecode-71"/>
        </w:rPr>
        <w:t xml:space="preserve">-values result from non-linear mixed-effects regressions fit using the R package nlme. FM = Fugl-Meyer, NIHSS = National Institutes of Health Stroke Scale, rGS = relative grip strength.</w:t>
      </w:r>
      <w:bookmarkEnd w:id="99"/>
    </w:p>
    <w:p>
      <w:pPr>
        <w:pStyle w:val="Heading2"/>
      </w:pPr>
      <w:bookmarkStart w:id="100" w:name="network-properties"/>
      <w:r>
        <w:t xml:space="preserve">Network properties</w:t>
      </w:r>
      <w:bookmarkEnd w:id="100"/>
    </w:p>
    <w:p>
      <w:pPr>
        <w:pStyle w:val="FirstParagraph"/>
      </w:pPr>
      <w:r>
        <w:t xml:space="preserve">The mean network density, i.e. the proportion of non-zero connections, was (95.6 +/- 1.8) % with no significant differences between left and right hemispheres or between time points.</w:t>
      </w:r>
    </w:p>
    <w:p>
      <w:pPr>
        <w:pStyle w:val="Heading3"/>
      </w:pPr>
      <w:bookmarkStart w:id="101" w:name="effects-of-time-and-lesion-status"/>
      <w:r>
        <w:t xml:space="preserve">Effects of time and lesion status</w:t>
      </w:r>
      <w:bookmarkEnd w:id="101"/>
    </w:p>
    <w:p>
      <w:pPr>
        <w:pStyle w:val="Heading4"/>
      </w:pPr>
      <w:bookmarkStart w:id="102" w:name="numerical-global-connectivity"/>
      <w:r>
        <w:t xml:space="preserve">Numerical global connectivity</w:t>
      </w:r>
      <w:bookmarkEnd w:id="102"/>
    </w:p>
    <w:bookmarkStart w:id="103" w:name="redoc-codechunk-12"/>
    <w:p>
      <w:pPr>
        <w:pStyle w:val="redoc-codechunk-12"/>
        <w:rPr>
          <w:vanish/>
        </w:rPr>
      </w:pPr>
      <w:r>
        <w:rPr>
          <w:vanish/>
        </w:rPr>
        <w:t xml:space="preserve">RPLACEHOLDER</w:t>
      </w:r>
    </w:p>
    <w:bookmarkEnd w:id="103"/>
    <w:p>
      <w:pPr>
        <w:pStyle w:val="FirstParagraph"/>
      </w:pPr>
      <w:r>
        <w:t xml:space="preserve">Analysis of numerical measures of intrahemispheric connectivity revealed that, based on the Akaike information criterion (AIC), the time course of median edge weight was better described by an exponential than a linear model (AIC</w:t>
      </w:r>
      <w:r>
        <w:rPr>
          <w:vertAlign w:val="subscript"/>
        </w:rPr>
        <w:t xml:space="preserve">exp</w:t>
      </w:r>
      <w:r>
        <w:t xml:space="preserve"> </w:t>
      </w:r>
      <w:r>
        <w:t xml:space="preserve">=</w:t>
      </w:r>
      <w:r>
        <w:t xml:space="preserve"> </w:t>
      </w:r>
      <w:bookmarkStart w:id="104" w:name="redoc-inlinecode-72"/>
      <w:r>
        <w:rPr>
          <w:rStyle w:val="redoc-inlinecode-72"/>
        </w:rPr>
        <w:t xml:space="preserve">-892.6196</w:t>
      </w:r>
      <w:bookmarkEnd w:id="104"/>
      <w:r>
        <w:t xml:space="preserve">, AIC</w:t>
      </w:r>
      <w:r>
        <w:rPr>
          <w:vertAlign w:val="subscript"/>
        </w:rPr>
        <w:t xml:space="preserve">lin</w:t>
      </w:r>
      <w:r>
        <w:t xml:space="preserve"> </w:t>
      </w:r>
      <w:r>
        <w:t xml:space="preserve">=</w:t>
      </w:r>
      <w:r>
        <w:t xml:space="preserve"> </w:t>
      </w:r>
      <w:bookmarkStart w:id="105" w:name="redoc-inlinecode-73"/>
      <w:r>
        <w:rPr>
          <w:rStyle w:val="redoc-inlinecode-73"/>
        </w:rPr>
        <w:t xml:space="preserve">-846.334</w:t>
      </w:r>
      <w:bookmarkEnd w:id="105"/>
      <w:r>
        <w:t xml:space="preserve">). The temporal profiles of intrahemispheric</w:t>
      </w:r>
      <w:r>
        <w:t xml:space="preserve"> </w:t>
      </w:r>
      <m:oMath>
        <m:sSub>
          <m:e>
            <m:r>
              <m:t>q</m:t>
            </m:r>
          </m:e>
          <m:sub>
            <m:r>
              <m:t>50</m:t>
            </m:r>
          </m:sub>
        </m:sSub>
      </m:oMath>
      <w:r>
        <w:t xml:space="preserve"> </w:t>
      </w:r>
      <w:r>
        <w:t xml:space="preserve">(</w:t>
      </w:r>
      <w:bookmarkStart w:id="106" w:name="redoc-inlinecode-74"/>
      <w:r>
        <w:rPr>
          <w:rStyle w:val="redoc-inlinecode-74"/>
        </w:rPr>
        <w:t xml:space="preserve">Fig. 3</w:t>
      </w:r>
      <w:bookmarkEnd w:id="106"/>
      <w:r>
        <w:t xml:space="preserve">) did not differ significantly between ipsi- and contralesional hemispheres with a trend towards larger decline in stroke hemispheres (Δ</w:t>
      </w:r>
      <w:r>
        <w:rPr>
          <w:vertAlign w:val="subscript"/>
        </w:rPr>
        <w:t xml:space="preserve">ipsi</w:t>
      </w:r>
      <w:r>
        <w:t xml:space="preserve">=</w:t>
      </w:r>
      <w:bookmarkStart w:id="107" w:name="redoc-inlinecode-75"/>
      <w:r>
        <w:rPr>
          <w:rStyle w:val="redoc-inlinecode-75"/>
        </w:rPr>
        <w:t xml:space="preserve">-0.002</w:t>
      </w:r>
      <w:bookmarkEnd w:id="107"/>
      <w:r>
        <w:t xml:space="preserve"> </w:t>
      </w:r>
      <w:r>
        <w:t xml:space="preserve">+/-</w:t>
      </w:r>
      <w:r>
        <w:t xml:space="preserve"> </w:t>
      </w:r>
      <w:bookmarkStart w:id="108" w:name="redoc-inlinecode-76"/>
      <w:r>
        <w:rPr>
          <w:rStyle w:val="redoc-inlinecode-76"/>
        </w:rPr>
        <w:t xml:space="preserve">0.0038</w:t>
      </w:r>
      <w:bookmarkEnd w:id="108"/>
      <w:r>
        <w:t xml:space="preserve">, p=</w:t>
      </w:r>
      <w:bookmarkStart w:id="109" w:name="redoc-inlinecode-77"/>
      <w:r>
        <w:rPr>
          <w:rStyle w:val="redoc-inlinecode-77"/>
        </w:rPr>
        <w:t xml:space="preserve">0.604</w:t>
      </w:r>
      <w:bookmarkEnd w:id="109"/>
      <w:r>
        <w:t xml:space="preserve">).</w:t>
      </w:r>
      <w:r>
        <w:t xml:space="preserve"> </w:t>
      </w:r>
      <w:r>
        <w:t xml:space="preserve">Subgroup modelling showed a significant exponential decline of median edge weight in stroke hemispheres (Δ=</w:t>
      </w:r>
      <w:bookmarkStart w:id="110" w:name="redoc-inlinecode-78"/>
      <w:r>
        <w:rPr>
          <w:rStyle w:val="redoc-inlinecode-78"/>
        </w:rPr>
        <w:t xml:space="preserve">-0.0061</w:t>
      </w:r>
      <w:bookmarkEnd w:id="110"/>
      <w:r>
        <w:t xml:space="preserve"> </w:t>
      </w:r>
      <w:r>
        <w:t xml:space="preserve">+/-</w:t>
      </w:r>
      <w:r>
        <w:t xml:space="preserve"> </w:t>
      </w:r>
      <w:bookmarkStart w:id="111" w:name="redoc-inlinecode-79"/>
      <w:r>
        <w:rPr>
          <w:rStyle w:val="redoc-inlinecode-79"/>
        </w:rPr>
        <w:t xml:space="preserve">0.0039</w:t>
      </w:r>
      <w:bookmarkEnd w:id="111"/>
      <w:r>
        <w:t xml:space="preserve">, p=</w:t>
      </w:r>
      <w:bookmarkStart w:id="112" w:name="redoc-inlinecode-80"/>
      <w:r>
        <w:rPr>
          <w:rStyle w:val="redoc-inlinecode-80"/>
        </w:rPr>
        <w:t xml:space="preserve">0.1246</w:t>
      </w:r>
      <w:bookmarkEnd w:id="112"/>
      <w:r>
        <w:t xml:space="preserve">; AIC</w:t>
      </w:r>
      <w:r>
        <w:rPr>
          <w:vertAlign w:val="subscript"/>
        </w:rPr>
        <w:t xml:space="preserve">exp</w:t>
      </w:r>
      <w:r>
        <w:t xml:space="preserve"> </w:t>
      </w:r>
      <w:r>
        <w:t xml:space="preserve">=</w:t>
      </w:r>
      <w:r>
        <w:t xml:space="preserve"> </w:t>
      </w:r>
      <w:bookmarkStart w:id="113" w:name="redoc-inlinecode-81"/>
      <w:r>
        <w:rPr>
          <w:rStyle w:val="redoc-inlinecode-81"/>
        </w:rPr>
        <w:t xml:space="preserve">-472.6425</w:t>
      </w:r>
      <w:bookmarkEnd w:id="113"/>
      <w:r>
        <w:t xml:space="preserve">, AIC</w:t>
      </w:r>
      <w:r>
        <w:rPr>
          <w:vertAlign w:val="subscript"/>
        </w:rPr>
        <w:t xml:space="preserve">lin</w:t>
      </w:r>
      <w:r>
        <w:t xml:space="preserve"> </w:t>
      </w:r>
      <w:r>
        <w:t xml:space="preserve">=</w:t>
      </w:r>
      <w:r>
        <w:t xml:space="preserve"> </w:t>
      </w:r>
      <w:bookmarkStart w:id="114" w:name="redoc-inlinecode-82"/>
      <w:r>
        <w:rPr>
          <w:rStyle w:val="redoc-inlinecode-82"/>
        </w:rPr>
        <w:t xml:space="preserve">-451.7549</w:t>
      </w:r>
      <w:bookmarkEnd w:id="114"/>
      <w:r>
        <w:t xml:space="preserve">), but did not reveal a significant effect of time on connectivity in contralesional hemispheres (Δ=</w:t>
      </w:r>
      <w:bookmarkStart w:id="115" w:name="redoc-inlinecode-83"/>
      <w:r>
        <w:rPr>
          <w:rStyle w:val="redoc-inlinecode-83"/>
        </w:rPr>
        <w:t xml:space="preserve">-0.0027</w:t>
      </w:r>
      <w:bookmarkEnd w:id="115"/>
      <w:r>
        <w:t xml:space="preserve"> </w:t>
      </w:r>
      <w:r>
        <w:t xml:space="preserve">+/-</w:t>
      </w:r>
      <w:r>
        <w:t xml:space="preserve"> </w:t>
      </w:r>
      <w:bookmarkStart w:id="116" w:name="redoc-inlinecode-84"/>
      <w:r>
        <w:rPr>
          <w:rStyle w:val="redoc-inlinecode-84"/>
        </w:rPr>
        <w:t xml:space="preserve">0.0049</w:t>
      </w:r>
      <w:bookmarkEnd w:id="116"/>
      <w:r>
        <w:t xml:space="preserve">, p=</w:t>
      </w:r>
      <w:bookmarkStart w:id="117" w:name="redoc-inlinecode-85"/>
      <w:r>
        <w:rPr>
          <w:rStyle w:val="redoc-inlinecode-85"/>
        </w:rPr>
        <w:t xml:space="preserve">0.5846</w:t>
      </w:r>
      <w:bookmarkEnd w:id="117"/>
      <w:r>
        <w:t xml:space="preserve">; AIC</w:t>
      </w:r>
      <w:r>
        <w:rPr>
          <w:vertAlign w:val="subscript"/>
        </w:rPr>
        <w:t xml:space="preserve">exp</w:t>
      </w:r>
      <w:r>
        <w:t xml:space="preserve"> </w:t>
      </w:r>
      <w:r>
        <w:t xml:space="preserve">=</w:t>
      </w:r>
      <w:r>
        <w:t xml:space="preserve"> </w:t>
      </w:r>
      <w:bookmarkStart w:id="118" w:name="redoc-inlinecode-86"/>
      <w:r>
        <w:rPr>
          <w:rStyle w:val="redoc-inlinecode-86"/>
        </w:rPr>
        <w:t xml:space="preserve">-425.9348</w:t>
      </w:r>
      <w:bookmarkEnd w:id="118"/>
      <w:r>
        <w:t xml:space="preserve">, AIC</w:t>
      </w:r>
      <w:r>
        <w:rPr>
          <w:vertAlign w:val="subscript"/>
        </w:rPr>
        <w:t xml:space="preserve">lin</w:t>
      </w:r>
      <w:r>
        <w:t xml:space="preserve"> </w:t>
      </w:r>
      <w:r>
        <w:t xml:space="preserve">=</w:t>
      </w:r>
      <w:r>
        <w:t xml:space="preserve"> </w:t>
      </w:r>
      <w:bookmarkStart w:id="119" w:name="redoc-inlinecode-87"/>
      <w:r>
        <w:rPr>
          <w:rStyle w:val="redoc-inlinecode-87"/>
        </w:rPr>
        <w:t xml:space="preserve">-405.1475</w:t>
      </w:r>
      <w:bookmarkEnd w:id="119"/>
      <w:r>
        <w:t xml:space="preserve">). Further details, including estimates of the nuisance model parameters a and b are given in supplementary table S-Tab. 2.</w:t>
      </w:r>
    </w:p>
    <w:p>
      <w:pPr>
        <w:pStyle w:val="Heading4"/>
      </w:pPr>
      <w:bookmarkStart w:id="120" w:name="global-network-architecture"/>
      <w:r>
        <w:t xml:space="preserve">Global network architecture</w:t>
      </w:r>
      <w:bookmarkEnd w:id="120"/>
    </w:p>
    <w:bookmarkStart w:id="121" w:name="redoc-codechunk-13"/>
    <w:p>
      <w:pPr>
        <w:pStyle w:val="redoc-codechunk-13"/>
        <w:rPr>
          <w:vanish/>
        </w:rPr>
      </w:pPr>
      <w:r>
        <w:rPr>
          <w:vanish/>
        </w:rPr>
        <w:t xml:space="preserve">RPLACEHOLDER</w:t>
      </w:r>
    </w:p>
    <w:bookmarkEnd w:id="121"/>
    <w:p>
      <w:pPr>
        <w:pStyle w:val="Compact"/>
      </w:pPr>
      <w:r>
        <w:t xml:space="preserve">Growth curve analysis of whole-brain global graph parameters using non-linear mixed-effects regression modelling revealed consistent effects of time (</w:t>
      </w:r>
      <w:bookmarkStart w:id="122" w:name="redoc-inlinecode-88"/>
      <w:r>
        <w:rPr>
          <w:rStyle w:val="redoc-inlinecode-88"/>
        </w:rPr>
        <w:t xml:space="preserve">Fig. 3</w:t>
      </w:r>
      <w:bookmarkEnd w:id="122"/>
      <w:r>
        <w:t xml:space="preserve">,</w:t>
      </w:r>
      <w:r>
        <w:t xml:space="preserve"> </w:t>
      </w:r>
      <w:bookmarkStart w:id="123" w:name="redoc-inlinecode-89"/>
      <w:r>
        <w:rPr>
          <w:rStyle w:val="redoc-inlinecode-89"/>
        </w:rPr>
        <w:t xml:space="preserve">Tab. 2</w:t>
      </w:r>
      <w:bookmarkEnd w:id="123"/>
      <w:r>
        <w:t xml:space="preserve">). Global efficiency declined exponentially over time in stroke but not intact hemispheres. Modularity increased significantly in both stroke and intact hemispheres, with a numerically larger effect ipsilesionally. These effects were not sensitive to the choice of network density and persisted over a wide range of thresholds (Supplement). Inclusion of age and sex as nuisance regressors did not substantially change the results (not shown).</w:t>
      </w:r>
    </w:p>
    <w:bookmarkStart w:id="125" w:name="redoc-codechunk-14"/>
    <w:p>
      <w:pPr>
        <w:pStyle w:val="CaptionedFigure"/>
        <w:pStyle w:val="redoc-codechunk-14"/>
      </w:pPr>
      <w:r>
        <w:drawing>
          <wp:inline>
            <wp:extent cx="5334000" cy="1600200"/>
            <wp:effectExtent b="0" l="0" r="0" t="0"/>
            <wp:docPr descr="Fig. 3: Temporal profile of intrahemispheric global network measures in ipsilesional (orange) and contralesional (red) hemispheres. Horizontal axes indicate time after stroke. Circles and bars represent cross-sectional means and standard errors, respectively. Thick lines visualize modelled exponential change. q50 = Median connectivity, d = days, m = months." title="" id="3" name="Picture"/>
            <a:graphic>
              <a:graphicData uri="http://schemas.openxmlformats.org/drawingml/2006/picture">
                <pic:pic>
                  <pic:nvPicPr>
                    <pic:cNvPr descr="results-clinical_files/figure-docx/unnamed-chunk-14-1.png" id="4" name="Picture"/>
                    <pic:cNvPicPr>
                      <a:picLocks noChangeArrowheads="1" noChangeAspect="1"/>
                    </pic:cNvPicPr>
                  </pic:nvPicPr>
                  <pic:blipFill>
                    <a:blip r:embed="rId124"/>
                    <a:stretch>
                      <a:fillRect/>
                    </a:stretch>
                  </pic:blipFill>
                  <pic:spPr bwMode="auto">
                    <a:xfrm>
                      <a:off x="0" y="0"/>
                      <a:ext cx="5334000" cy="1600200"/>
                    </a:xfrm>
                    <a:prstGeom prst="rect">
                      <a:avLst/>
                    </a:prstGeom>
                    <a:noFill/>
                    <a:ln w="9525">
                      <a:noFill/>
                      <a:headEnd/>
                      <a:tailEnd/>
                    </a:ln>
                  </pic:spPr>
                </pic:pic>
              </a:graphicData>
            </a:graphic>
          </wp:inline>
        </w:drawing>
      </w:r>
    </w:p>
    <w:p>
      <w:pPr>
        <w:pStyle w:val="ImageCaption"/>
        <w:pStyle w:val="redoc-codechunk-14"/>
      </w:pPr>
      <w:r>
        <w:t xml:space="preserve">Fig. 3: Temporal profile of intrahemispheric global network measures in ipsilesional (orange) and contralesional (red) hemispheres. Horizontal axes indicate time after stroke. Circles and bars represent cross-sectional means and standard errors, respectively. Thick lines visualize modelled exponential change. q50 = Median connectivity, d = days, m = months.</w:t>
      </w:r>
    </w:p>
    <w:bookmarkEnd w:id="125"/>
    <w:bookmarkStart w:id="126" w:name="redoc-codechunk-15"/>
    <w:p>
      <w:pPr>
        <w:pStyle w:val="redoc-codechunk-15"/>
        <w:rPr>
          <w:vanish/>
        </w:rPr>
      </w:pPr>
      <w:r>
        <w:rPr>
          <w:vanish/>
        </w:rPr>
        <w:t xml:space="preserve">RPLACEHOLDER</w:t>
      </w:r>
    </w:p>
    <w:bookmarkEnd w:id="126"/>
    <w:bookmarkStart w:id="127" w:name="redoc-codechunk-16"/>
    <w:p>
      <w:pPr>
        <w:pStyle w:val="SourceCode"/>
        <w:pStyle w:val="redoc-codechunk-16"/>
      </w:pPr>
      <w:r>
        <w:rPr>
          <w:rStyle w:val="NormalTok"/>
        </w:rPr>
        <w:t xml:space="preserve">temp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28"/>
        <w:gridCol w:w="1121"/>
        <w:gridCol w:w="1014"/>
        <w:gridCol w:w="648"/>
        <w:gridCol w:w="1008"/>
        <w:gridCol w:w="1024"/>
        <w:gridCol w:w="648"/>
        <w:gridCol w:w="1008"/>
        <w:gridCol w:w="1255"/>
        <w:gridCol w:w="648"/>
        <w:gridCol w:w="908"/>
      </w:tblGrid>
      <w:tr>
        <w:trPr>
          <w:cantSplit/>
          <w:trHeight w:val="311"/>
          <w:tblHeader/>
        </w:trPr>
        <w:tc>
          <w:tcPr>
            <w:vMerge w:val="restart"/>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vMerge w:val="restart"/>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gridSpan w:val="3"/>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joint model</w:t>
            </w:r>
          </w:p>
        </w:tc>
        <w:tc>
          <w:tcPr>
            <w:gridSpan w:val="3"/>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ipsilesional</w:t>
            </w:r>
          </w:p>
        </w:tc>
        <w:tc>
          <w:tcPr>
            <w:gridSpan w:val="3"/>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contralesional</w:t>
            </w:r>
          </w:p>
        </w:tc>
      </w:tr>
      <w:tr>
        <w:trPr>
          <w:cantSplit/>
          <w:trHeight w:val="412"/>
          <w:tblHeader/>
        </w:trPr>
        <w:tc>
          <w:tcPr>
            <w:vMerge/>
            <w:tcBorders/>
            <w:shd w:val="clear" w:color="auto" w:fill="FFFFFF"/>
            <w:tcMar>
              <w:top w:w="0" w:type="dxa"/>
              <w:bottom w:w="0" w:type="dxa"/>
              <w:left w:w="0" w:type="dxa"/>
              <w:right w:w="0" w:type="dxa"/>
            </w:tcMar>
            <w:vAlign w:val="center"/>
          </w:tcPr>
          <w:p>
            <w:pPr>
              <w:jc w:val="center"/>
              <w:spacing w:after="40" w:before="40"/>
              <w:ind w:firstLine="0" w:left="40" w:right="40"/>
            </w:pPr>
          </w:p>
        </w:tc>
        <w:tc>
          <w:tcPr>
            <w:vMerge/>
            <w:tcBorders/>
            <w:shd w:val="clear" w:color="auto" w:fill="FFFFFF"/>
            <w:tcMar>
              <w:top w:w="0" w:type="dxa"/>
              <w:bottom w:w="0" w:type="dxa"/>
              <w:left w:w="0" w:type="dxa"/>
              <w:right w:w="0" w:type="dxa"/>
            </w:tcMar>
            <w:vAlign w:val="center"/>
          </w:tcPr>
          <w:p>
            <w:pPr>
              <w:jc w:val="center"/>
              <w:spacing w:after="40" w:before="40"/>
              <w:ind w:firstLine="0" w:left="40" w:right="40"/>
            </w:pP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estimate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estimate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estimate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w:t>
            </w:r>
          </w:p>
        </w:tc>
      </w:tr>
      <w:tr>
        <w:trPr>
          <w:cantSplit/>
          <w:trHeight w:val="366"/>
        </w:trPr>
        <w:tc>
          <w:tcPr>
            <w:vMerge w:val="restart"/>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7.026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5.08e-203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7.021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3.39e-100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7.031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2.86e-94</w:t>
            </w:r>
          </w:p>
        </w:tc>
      </w:tr>
      <w:tr>
        <w:trPr>
          <w:cantSplit/>
          <w:trHeight w:val="366"/>
        </w:trPr>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1.083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1.382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0.4345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1.095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1.327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0.4119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1.070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2.033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0.6002</w:t>
            </w:r>
          </w:p>
        </w:tc>
      </w:tr>
      <w:tr>
        <w:trPr>
          <w:cantSplit/>
          <w:trHeight w:val="366"/>
        </w:trPr>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0.0302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0.1641</w:t>
            </w:r>
          </w:p>
        </w:tc>
      </w:tr>
      <w:tr>
        <w:trPr>
          <w:cantSplit/>
          <w:trHeight w:val="366"/>
        </w:trPr>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Δ~ipsi~</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4"/>
        </w:trPr>
        <w:tc>
          <w:tcPr>
            <w:vMerge w:val="restart"/>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Modularity</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1.60e-29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8.83e-23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2.92e-17</w:t>
            </w:r>
          </w:p>
        </w:tc>
      </w:tr>
      <w:tr>
        <w:trPr>
          <w:cantSplit/>
          <w:trHeight w:val="364"/>
        </w:trPr>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0.699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0.1549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0.999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0.575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0.0868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1.209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0.4107</w:t>
            </w:r>
          </w:p>
        </w:tc>
      </w:tr>
      <w:tr>
        <w:trPr>
          <w:cantSplit/>
          <w:trHeight w:val="364"/>
        </w:trPr>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0.0012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1.86e-05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0.0319</w:t>
            </w:r>
          </w:p>
        </w:tc>
      </w:tr>
      <w:tr>
        <w:trPr>
          <w:cantSplit/>
          <w:trHeight w:val="364"/>
        </w:trPr>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Δ~ipsi~</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0.8845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bl>
    <w:bookmarkEnd w:id="127"/>
    <w:p>
      <w:pPr>
        <w:pStyle w:val="FirstParagraph"/>
      </w:pPr>
      <w:bookmarkStart w:id="128" w:name="redoc-inlinecode-90"/>
      <w:r>
        <w:rPr>
          <w:rStyle w:val="redoc-inlinecode-90"/>
        </w:rPr>
        <w:t xml:space="preserve">Tab. 2: Point estimates, standard errors, and p-values of model parameters obtained from fitting the exponential model (1) to temporal profiles of intrahemispheric global graph parameters. In the joint model , the parameter of topological change, Δ, was allowed to vary between stroke and intact hemispheres. Standard errors and</w:t>
      </w:r>
      <w:r>
        <w:rPr>
          <w:rStyle w:val="redoc-inlinecode-90"/>
        </w:rPr>
        <w:t xml:space="preserve"> </w:t>
      </w:r>
      <m:oMath>
        <m:r>
          <m:t>p</m:t>
        </m:r>
      </m:oMath>
      <w:r>
        <w:rPr>
          <w:rStyle w:val="redoc-inlinecode-90"/>
        </w:rPr>
        <w:t xml:space="preserve">-values result from non-linear mixed-effects regressions fit either jointly (</w:t>
      </w:r>
      <w:r>
        <w:rPr>
          <w:rStyle w:val="redoc-inlinecode-90"/>
        </w:rPr>
        <w:t xml:space="preserve">‘</w:t>
      </w:r>
      <w:r>
        <w:rPr>
          <w:rStyle w:val="redoc-inlinecode-90"/>
        </w:rPr>
        <w:t xml:space="preserve">joint model</w:t>
      </w:r>
      <w:r>
        <w:rPr>
          <w:rStyle w:val="redoc-inlinecode-90"/>
        </w:rPr>
        <w:t xml:space="preserve">’</w:t>
      </w:r>
      <w:r>
        <w:rPr>
          <w:rStyle w:val="redoc-inlinecode-90"/>
        </w:rPr>
        <w:t xml:space="preserve">) or separately for stroke (</w:t>
      </w:r>
      <w:r>
        <w:rPr>
          <w:rStyle w:val="redoc-inlinecode-90"/>
        </w:rPr>
        <w:t xml:space="preserve">‘</w:t>
      </w:r>
      <w:r>
        <w:rPr>
          <w:rStyle w:val="redoc-inlinecode-90"/>
        </w:rPr>
        <w:t xml:space="preserve">ipsilesional</w:t>
      </w:r>
      <w:r>
        <w:rPr>
          <w:rStyle w:val="redoc-inlinecode-90"/>
        </w:rPr>
        <w:t xml:space="preserve">’</w:t>
      </w:r>
      <w:r>
        <w:rPr>
          <w:rStyle w:val="redoc-inlinecode-90"/>
        </w:rPr>
        <w:t xml:space="preserve">) and intact (</w:t>
      </w:r>
      <w:r>
        <w:rPr>
          <w:rStyle w:val="redoc-inlinecode-90"/>
        </w:rPr>
        <w:t xml:space="preserve">‘</w:t>
      </w:r>
      <w:r>
        <w:rPr>
          <w:rStyle w:val="redoc-inlinecode-90"/>
        </w:rPr>
        <w:t xml:space="preserve">contralesional</w:t>
      </w:r>
      <w:r>
        <w:rPr>
          <w:rStyle w:val="redoc-inlinecode-90"/>
        </w:rPr>
        <w:t xml:space="preserve">’</w:t>
      </w:r>
      <w:r>
        <w:rPr>
          <w:rStyle w:val="redoc-inlinecode-90"/>
        </w:rPr>
        <w:t xml:space="preserve">) hemispheres, using the R package nlme. GGP = Global graph parameter, s.e. = standard error.</w:t>
      </w:r>
      <w:bookmarkEnd w:id="128"/>
    </w:p>
    <w:p>
      <w:pPr>
        <w:pStyle w:val="BodyText"/>
      </w:pPr>
      <w:bookmarkStart w:id="129" w:name="redoc-htmlcomment-2"/>
      <w:r>
        <w:rPr>
          <w:rStyle w:val="redoc-htmlcomment-2"/>
          <w:vanish/>
        </w:rPr>
        <w:t xml:space="preserve">RPLACEHOLDER</w:t>
      </w:r>
      <w:bookmarkEnd w:id="129"/>
    </w:p>
    <w:p>
      <w:pPr>
        <w:pStyle w:val="Heading4"/>
      </w:pPr>
      <w:bookmarkStart w:id="130" w:name="local-network-architecture"/>
      <w:r>
        <w:t xml:space="preserve">Local network architecture</w:t>
      </w:r>
      <w:bookmarkEnd w:id="130"/>
    </w:p>
    <w:p>
      <w:pPr>
        <w:pStyle w:val="FirstParagraph"/>
      </w:pPr>
      <w:r>
        <w:t xml:space="preserve">As detailed in the Supplement, changes in the local graph parameters strength, efficiency and clustering were more pronounced in stroke hemispheres than contralesionally, and most pronounced in parts of the frontal, parietal and limbic lobes involving primary motor, premotor and supplementary motor areas as well as the cingulate cortex.</w:t>
      </w:r>
    </w:p>
    <w:p>
      <w:pPr>
        <w:pStyle w:val="Heading3"/>
      </w:pPr>
      <w:bookmarkStart w:id="131" w:name="association-of-network-properties-with-lesion-volume"/>
      <w:r>
        <w:t xml:space="preserve">Association of network properties with lesion volume</w:t>
      </w:r>
      <w:bookmarkEnd w:id="131"/>
    </w:p>
    <w:p>
      <w:pPr>
        <w:pStyle w:val="Heading4"/>
      </w:pPr>
      <w:bookmarkStart w:id="132" w:name="numerical-connectivity-and-global-graph-parameters"/>
      <w:r>
        <w:t xml:space="preserve">Numerical connectivity and global graph parameters</w:t>
      </w:r>
      <w:bookmarkEnd w:id="132"/>
    </w:p>
    <w:bookmarkStart w:id="133" w:name="redoc-codechunk-17"/>
    <w:p>
      <w:pPr>
        <w:pStyle w:val="redoc-codechunk-17"/>
        <w:rPr>
          <w:vanish/>
        </w:rPr>
      </w:pPr>
      <w:r>
        <w:rPr>
          <w:vanish/>
        </w:rPr>
        <w:t xml:space="preserve">RPLACEHOLDER</w:t>
      </w:r>
    </w:p>
    <w:bookmarkEnd w:id="133"/>
    <w:p>
      <w:pPr>
        <w:pStyle w:val="FirstParagraph"/>
      </w:pPr>
      <w:r>
        <w:t xml:space="preserve">Global networks measures at different time points after stroke are depicted in relation to lesion volume in</w:t>
      </w:r>
      <w:r>
        <w:t xml:space="preserve"> </w:t>
      </w:r>
      <w:bookmarkStart w:id="134" w:name="redoc-inlinecode-91"/>
      <w:r>
        <w:rPr>
          <w:rStyle w:val="redoc-inlinecode-91"/>
        </w:rPr>
        <w:t xml:space="preserve">Fig. 4</w:t>
      </w:r>
      <w:bookmarkEnd w:id="134"/>
      <w:r>
        <w:t xml:space="preserve">. Non-linear-mixed effects modelling revealed a significant positive association between lesion volume and global connectivity decline in ipsilesional but not contralesional hemispheres. This effect did not depend on age or sex of the patient, nor on the side of the lesion. Specifically, larger declines in ipsilesional median connectivity over time were observed in patients with larger stroke lesions, while there was no significant decline in patients with very small lesions. Orthogonally, median connectivity in stroke hemispheres did not depend on lesion volume in the acute phase, but a significant negative association was observed at all three later time points. Similar effects were observed for global graph parameters. Specifically, larger lesion volumes were associated with a larger decline in ipsilesional global efficiency, as well as a larger increase in ipsilesional modularity. Ipsilesional measures of network topology were associated with lesion volume in the subacute and chronic, but not the acute phase. There was no evidence of a relationship between size of the infarct and contralesional network metrics. Statistical details are provided in</w:t>
      </w:r>
      <w:r>
        <w:t xml:space="preserve"> </w:t>
      </w:r>
      <w:bookmarkStart w:id="135" w:name="redoc-inlinecode-92"/>
      <w:r>
        <w:rPr>
          <w:rStyle w:val="redoc-inlinecode-92"/>
        </w:rPr>
        <w:t xml:space="preserve">Tab. 4</w:t>
      </w:r>
      <w:bookmarkEnd w:id="135"/>
      <w:r>
        <w:t xml:space="preserve">.</w:t>
      </w:r>
    </w:p>
    <w:bookmarkStart w:id="137" w:name="redoc-codechunk-18"/>
    <w:p>
      <w:pPr>
        <w:pStyle w:val="CaptionedFigure"/>
        <w:pStyle w:val="redoc-codechunk-18"/>
      </w:pPr>
      <w:r>
        <w:drawing>
          <wp:inline>
            <wp:extent cx="5334000" cy="1778000"/>
            <wp:effectExtent b="0" l="0" r="0" t="0"/>
            <wp:docPr descr="Fig. 4: Relation between global network measures of stroke and intact hemispheres, and stroke lesion volume. Line segments represent cross-sectional predicted means of network measures in the acute (3-5d, solid), subacute (1m, dotted), and chronic (3m and 12m, dashed) phases after stroke. d = days, m = months." title="" id="5" name="Picture"/>
            <a:graphic>
              <a:graphicData uri="http://schemas.openxmlformats.org/drawingml/2006/picture">
                <pic:pic>
                  <pic:nvPicPr>
                    <pic:cNvPr descr="results-clinical_files/figure-docx/unnamed-chunk-18-1.png" id="6" name="Picture"/>
                    <pic:cNvPicPr>
                      <a:picLocks noChangeArrowheads="1" noChangeAspect="1"/>
                    </pic:cNvPicPr>
                  </pic:nvPicPr>
                  <pic:blipFill>
                    <a:blip r:embed="rId136"/>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Style w:val="redoc-codechunk-18"/>
      </w:pPr>
      <w:r>
        <w:t xml:space="preserve">Fig. 4: Relation between global network measures of stroke and intact hemispheres, and stroke lesion volume. Line segments represent cross-sectional predicted means of network measures in the acute (3-5d, solid), subacute (1m, dotted), and chronic (3m and 12m, dashed) phases after stroke. d = days, m = months.</w:t>
      </w:r>
    </w:p>
    <w:bookmarkEnd w:id="137"/>
    <w:bookmarkStart w:id="138" w:name="redoc-codechunk-19"/>
    <w:p>
      <w:pPr>
        <w:pStyle w:val="SourceCode"/>
        <w:pStyle w:val="redoc-codechunk-19"/>
      </w:pPr>
      <w:r>
        <w:rPr>
          <w:rStyle w:val="NormalTok"/>
        </w:rPr>
        <w:t xml:space="preserve">temp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28"/>
        <w:gridCol w:w="1078"/>
        <w:gridCol w:w="1014"/>
        <w:gridCol w:w="648"/>
        <w:gridCol w:w="1008"/>
        <w:gridCol w:w="1024"/>
        <w:gridCol w:w="648"/>
        <w:gridCol w:w="908"/>
        <w:gridCol w:w="1255"/>
        <w:gridCol w:w="648"/>
        <w:gridCol w:w="908"/>
      </w:tblGrid>
      <w:tr>
        <w:trPr>
          <w:cantSplit/>
          <w:trHeight w:val="311"/>
          <w:tblHeader/>
        </w:trPr>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gridSpan w:val="3"/>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joint model</w:t>
            </w:r>
          </w:p>
        </w:tc>
        <w:tc>
          <w:tcPr>
            <w:gridSpan w:val="3"/>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ipsilesional</w:t>
            </w:r>
          </w:p>
        </w:tc>
        <w:tc>
          <w:tcPr>
            <w:gridSpan w:val="3"/>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contralesional</w:t>
            </w:r>
          </w:p>
        </w:tc>
      </w:tr>
      <w:tr>
        <w:trPr>
          <w:cantSplit/>
          <w:trHeight w:val="382"/>
          <w:tblHeader/>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estimate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estimate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estimate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w:t>
            </w:r>
          </w:p>
        </w:tc>
      </w:tr>
      <w:tr>
        <w:trPr>
          <w:cantSplit/>
          <w:trHeight w:val="366"/>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Efficiency</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7.034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6.15e-202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7.021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1.06e-99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7.031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5.15e-93</w:t>
            </w:r>
          </w:p>
        </w:tc>
      </w:tr>
      <w:tr>
        <w:trPr>
          <w:cantSplit/>
          <w:trHeight w:val="366"/>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0.655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0.576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0.2568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1.095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1.025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0.2890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1.070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2.033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0.6003</w:t>
            </w:r>
          </w:p>
        </w:tc>
      </w:tr>
      <w:tr>
        <w:trPr>
          <w:cantSplit/>
          <w:trHeight w:val="366"/>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0.1304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0.9053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0.2881</w:t>
            </w:r>
          </w:p>
        </w:tc>
      </w:tr>
      <w:tr>
        <w:trPr>
          <w:cantSplit/>
          <w:trHeight w:val="366"/>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Δ~ipsi~</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0.1395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6"/>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Δ~vol~</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0.3648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0.0489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0.8954</w:t>
            </w:r>
          </w:p>
        </w:tc>
      </w:tr>
      <w:tr>
        <w:trPr>
          <w:cantSplit/>
          <w:trHeight w:val="366"/>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Δ~vol:ipsi~</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0.0085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4"/>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Modularity</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4.56e-29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1.11e-22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4.95e-17</w:t>
            </w:r>
          </w:p>
        </w:tc>
      </w:tr>
      <w:tr>
        <w:trPr>
          <w:cantSplit/>
          <w:trHeight w:val="364"/>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1.007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0.647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0.1216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0.999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0.508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0.0534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1.188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0.4029</w:t>
            </w:r>
          </w:p>
        </w:tc>
      </w:tr>
      <w:tr>
        <w:trPr>
          <w:cantSplit/>
          <w:trHeight w:val="364"/>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0.0564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0.1008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0.2285</w:t>
            </w:r>
          </w:p>
        </w:tc>
      </w:tr>
      <w:tr>
        <w:trPr>
          <w:cantSplit/>
          <w:trHeight w:val="364"/>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Δ~ipsi~</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0.2720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4"/>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Δ~vol~</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0.6200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0.0233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0.6308</w:t>
            </w:r>
          </w:p>
        </w:tc>
      </w:tr>
      <w:tr>
        <w:trPr>
          <w:cantSplit/>
          <w:trHeight w:val="364"/>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Δ~vol:ipsi~</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0.1126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2"/>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q50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0.474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1.32e-137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0.474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2.32e-74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0.473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4.81e-64</w:t>
            </w:r>
          </w:p>
        </w:tc>
      </w:tr>
      <w:tr>
        <w:trPr>
          <w:cantSplit/>
          <w:trHeight w:val="362"/>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1.099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1.080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0.3104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1.008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0.784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1.011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4.823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0.8346</w:t>
            </w:r>
          </w:p>
        </w:tc>
      </w:tr>
      <w:tr>
        <w:trPr>
          <w:cantSplit/>
          <w:trHeight w:val="362"/>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0.5664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0.2363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0.7589</w:t>
            </w:r>
          </w:p>
        </w:tc>
      </w:tr>
      <w:tr>
        <w:trPr>
          <w:cantSplit/>
          <w:trHeight w:val="362"/>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Δ~ipsi~</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0.0343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2"/>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Δ~vol~</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0.8863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0.0016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0.9090</w:t>
            </w:r>
          </w:p>
        </w:tc>
      </w:tr>
      <w:tr>
        <w:trPr>
          <w:cantSplit/>
          <w:trHeight w:val="362"/>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Δ~vol:ipsi~</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0.0022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bl>
    <w:bookmarkEnd w:id="138"/>
    <w:p>
      <w:pPr>
        <w:pStyle w:val="FirstParagraph"/>
      </w:pPr>
      <w:bookmarkStart w:id="139" w:name="redoc-inlinecode-93"/>
      <w:r>
        <w:rPr>
          <w:rStyle w:val="redoc-inlinecode-93"/>
        </w:rPr>
        <w:t xml:space="preserve">Tab. 4: Point estimates, standard errors, and p-values of model parameters obtained from fitting the exponential model (1) to temporal profiles of global graph measures. In the joint model, total change Δ is modelled as a linear function of log lesion volume, with both intercept and slope allowed to vary between stroke und intact hemispheres. Standard errors and</w:t>
      </w:r>
      <w:r>
        <w:rPr>
          <w:rStyle w:val="redoc-inlinecode-93"/>
        </w:rPr>
        <w:t xml:space="preserve"> </w:t>
      </w:r>
      <m:oMath>
        <m:r>
          <m:t>p</m:t>
        </m:r>
      </m:oMath>
      <w:r>
        <w:rPr>
          <w:rStyle w:val="redoc-inlinecode-93"/>
        </w:rPr>
        <w:t xml:space="preserve">-values result from non-linear mixed-effects regressions fit either jointly (</w:t>
      </w:r>
      <w:r>
        <w:rPr>
          <w:rStyle w:val="redoc-inlinecode-93"/>
        </w:rPr>
        <w:t xml:space="preserve">‘</w:t>
      </w:r>
      <w:r>
        <w:rPr>
          <w:rStyle w:val="redoc-inlinecode-93"/>
        </w:rPr>
        <w:t xml:space="preserve">joint model</w:t>
      </w:r>
      <w:r>
        <w:rPr>
          <w:rStyle w:val="redoc-inlinecode-93"/>
        </w:rPr>
        <w:t xml:space="preserve">’</w:t>
      </w:r>
      <w:r>
        <w:rPr>
          <w:rStyle w:val="redoc-inlinecode-93"/>
        </w:rPr>
        <w:t xml:space="preserve">) or separately for stroke (</w:t>
      </w:r>
      <w:r>
        <w:rPr>
          <w:rStyle w:val="redoc-inlinecode-93"/>
        </w:rPr>
        <w:t xml:space="preserve">‘</w:t>
      </w:r>
      <w:r>
        <w:rPr>
          <w:rStyle w:val="redoc-inlinecode-93"/>
        </w:rPr>
        <w:t xml:space="preserve">ipsilesional</w:t>
      </w:r>
      <w:r>
        <w:rPr>
          <w:rStyle w:val="redoc-inlinecode-93"/>
        </w:rPr>
        <w:t xml:space="preserve">’</w:t>
      </w:r>
      <w:r>
        <w:rPr>
          <w:rStyle w:val="redoc-inlinecode-93"/>
        </w:rPr>
        <w:t xml:space="preserve">) and intact (</w:t>
      </w:r>
      <w:r>
        <w:rPr>
          <w:rStyle w:val="redoc-inlinecode-93"/>
        </w:rPr>
        <w:t xml:space="preserve">‘</w:t>
      </w:r>
      <w:r>
        <w:rPr>
          <w:rStyle w:val="redoc-inlinecode-93"/>
        </w:rPr>
        <w:t xml:space="preserve">contralesional</w:t>
      </w:r>
      <w:r>
        <w:rPr>
          <w:rStyle w:val="redoc-inlinecode-93"/>
        </w:rPr>
        <w:t xml:space="preserve">’</w:t>
      </w:r>
      <w:r>
        <w:rPr>
          <w:rStyle w:val="redoc-inlinecode-93"/>
        </w:rPr>
        <w:t xml:space="preserve">) hemispheres, using the R package nlme. q50 = median connectivity, s.e. = standard error</w:t>
      </w:r>
      <w:bookmarkEnd w:id="139"/>
    </w:p>
    <w:p>
      <w:pPr>
        <w:pStyle w:val="BodyText"/>
      </w:pPr>
      <w:r>
        <w:t xml:space="preserve">In a univariate sensitivity analysis, these effects were stable across network densities imposed by proportional thresholding of network matrices. Paralleing global topology, change in local network integrity on the side of the lesion, but not conralesionally, was modulated by lesion volume. (Supplement)</w:t>
      </w:r>
    </w:p>
    <w:p>
      <w:pPr>
        <w:pStyle w:val="Heading3"/>
      </w:pPr>
      <w:bookmarkStart w:id="140" w:name="association-of-network-properties-with-clinical-variables"/>
      <w:r>
        <w:t xml:space="preserve">Association of network properties with clinical variables</w:t>
      </w:r>
      <w:bookmarkEnd w:id="140"/>
    </w:p>
    <w:p>
      <w:pPr>
        <w:pStyle w:val="Heading4"/>
      </w:pPr>
      <w:bookmarkStart w:id="141" w:name="global-network-measures"/>
      <w:r>
        <w:t xml:space="preserve">Global network measures</w:t>
      </w:r>
      <w:bookmarkEnd w:id="141"/>
    </w:p>
    <w:bookmarkStart w:id="142" w:name="redoc-codechunk-20"/>
    <w:p>
      <w:pPr>
        <w:pStyle w:val="redoc-codechunk-20"/>
        <w:rPr>
          <w:vanish/>
        </w:rPr>
      </w:pPr>
      <w:r>
        <w:rPr>
          <w:vanish/>
        </w:rPr>
        <w:t xml:space="preserve">RPLACEHOLDER</w:t>
      </w:r>
    </w:p>
    <w:bookmarkEnd w:id="142"/>
    <w:p>
      <w:pPr>
        <w:pStyle w:val="FirstParagraph"/>
      </w:pPr>
      <w:bookmarkStart w:id="143" w:name="redoc-inlinecode-94"/>
      <w:r>
        <w:rPr>
          <w:rStyle w:val="redoc-inlinecode-94"/>
        </w:rPr>
        <w:t xml:space="preserve">Fig. 5</w:t>
      </w:r>
      <w:bookmarkEnd w:id="143"/>
      <w:r>
        <w:t xml:space="preserve"> </w:t>
      </w:r>
      <w:r>
        <w:t xml:space="preserve">shows clinical outcome parameters in relation to change in global network metrics. Two-stage regressions revealed a significant association between decline of ipsilesional median connectivity until one, three and twelve months after stroke and NIHSS score (p=</w:t>
      </w:r>
      <w:bookmarkStart w:id="144" w:name="redoc-inlinecode-95"/>
      <w:r>
        <w:rPr>
          <w:rStyle w:val="redoc-inlinecode-95"/>
        </w:rPr>
        <w:t xml:space="preserve">0.0045</w:t>
      </w:r>
      <w:bookmarkEnd w:id="144"/>
      <w:r>
        <w:t xml:space="preserve">), relative grip strength (p=</w:t>
      </w:r>
      <w:bookmarkStart w:id="145" w:name="redoc-inlinecode-96"/>
      <w:r>
        <w:rPr>
          <w:rStyle w:val="redoc-inlinecode-96"/>
        </w:rPr>
        <w:t xml:space="preserve">0.001</w:t>
      </w:r>
      <w:bookmarkEnd w:id="145"/>
      <w:r>
        <w:t xml:space="preserve">), and FM score (p=</w:t>
      </w:r>
      <w:bookmarkStart w:id="146" w:name="redoc-inlinecode-97"/>
      <w:r>
        <w:rPr>
          <w:rStyle w:val="redoc-inlinecode-97"/>
        </w:rPr>
        <w:t xml:space="preserve">9e-04</w:t>
      </w:r>
      <w:bookmarkEnd w:id="146"/>
      <w:r>
        <w:t xml:space="preserve">) at these time points. Similarly, loss of global efficiency and gain of global modularity in stroke hemispheres was associated with higher NIHSS scores (p</w:t>
      </w:r>
      <w:r>
        <w:rPr>
          <w:vertAlign w:val="subscript"/>
        </w:rPr>
        <w:t xml:space="preserve">Eff</w:t>
      </w:r>
      <w:r>
        <w:t xml:space="preserve">=</w:t>
      </w:r>
      <w:bookmarkStart w:id="147" w:name="redoc-inlinecode-98"/>
      <w:r>
        <w:rPr>
          <w:rStyle w:val="redoc-inlinecode-98"/>
        </w:rPr>
        <w:t xml:space="preserve">0.0069</w:t>
      </w:r>
      <w:bookmarkEnd w:id="147"/>
      <w:r>
        <w:t xml:space="preserve">, p</w:t>
      </w:r>
      <w:r>
        <w:rPr>
          <w:vertAlign w:val="subscript"/>
        </w:rPr>
        <w:t xml:space="preserve">Mod</w:t>
      </w:r>
      <w:r>
        <w:t xml:space="preserve">=</w:t>
      </w:r>
      <w:bookmarkStart w:id="148" w:name="redoc-inlinecode-99"/>
      <w:r>
        <w:rPr>
          <w:rStyle w:val="redoc-inlinecode-99"/>
        </w:rPr>
        <w:t xml:space="preserve">0.0031</w:t>
      </w:r>
      <w:bookmarkEnd w:id="148"/>
      <w:r>
        <w:t xml:space="preserve">) as well as lower relative grip strengths (p</w:t>
      </w:r>
      <w:r>
        <w:rPr>
          <w:vertAlign w:val="subscript"/>
        </w:rPr>
        <w:t xml:space="preserve">Eff</w:t>
      </w:r>
      <w:r>
        <w:t xml:space="preserve">=</w:t>
      </w:r>
      <w:bookmarkStart w:id="149" w:name="redoc-inlinecode-100"/>
      <w:r>
        <w:rPr>
          <w:rStyle w:val="redoc-inlinecode-100"/>
        </w:rPr>
        <w:t xml:space="preserve">0.0183</w:t>
      </w:r>
      <w:bookmarkEnd w:id="149"/>
      <w:r>
        <w:t xml:space="preserve">, p</w:t>
      </w:r>
      <w:r>
        <w:rPr>
          <w:vertAlign w:val="subscript"/>
        </w:rPr>
        <w:t xml:space="preserve">Mod</w:t>
      </w:r>
      <w:r>
        <w:t xml:space="preserve">=</w:t>
      </w:r>
      <w:bookmarkStart w:id="150" w:name="redoc-inlinecode-101"/>
      <w:r>
        <w:rPr>
          <w:rStyle w:val="redoc-inlinecode-101"/>
        </w:rPr>
        <w:t xml:space="preserve">0.0267</w:t>
      </w:r>
      <w:bookmarkEnd w:id="150"/>
      <w:r>
        <w:t xml:space="preserve">) and lower FM scores (p</w:t>
      </w:r>
      <w:r>
        <w:rPr>
          <w:vertAlign w:val="subscript"/>
        </w:rPr>
        <w:t xml:space="preserve">Eff</w:t>
      </w:r>
      <w:r>
        <w:t xml:space="preserve">=</w:t>
      </w:r>
      <w:bookmarkStart w:id="151" w:name="redoc-inlinecode-102"/>
      <w:r>
        <w:rPr>
          <w:rStyle w:val="redoc-inlinecode-102"/>
        </w:rPr>
        <w:t xml:space="preserve">0.0171</w:t>
      </w:r>
      <w:bookmarkEnd w:id="151"/>
      <w:r>
        <w:t xml:space="preserve">, p</w:t>
      </w:r>
      <w:r>
        <w:rPr>
          <w:vertAlign w:val="subscript"/>
        </w:rPr>
        <w:t xml:space="preserve">Mod</w:t>
      </w:r>
      <w:r>
        <w:t xml:space="preserve">=</w:t>
      </w:r>
      <w:bookmarkStart w:id="152" w:name="redoc-inlinecode-103"/>
      <w:r>
        <w:rPr>
          <w:rStyle w:val="redoc-inlinecode-103"/>
        </w:rPr>
        <w:t xml:space="preserve">0.0052</w:t>
      </w:r>
      <w:bookmarkEnd w:id="152"/>
      <w:r>
        <w:t xml:space="preserve">).</w:t>
      </w:r>
    </w:p>
    <w:bookmarkStart w:id="154" w:name="redoc-codechunk-21"/>
    <w:p>
      <w:pPr>
        <w:pStyle w:val="CaptionedFigure"/>
        <w:pStyle w:val="redoc-codechunk-21"/>
      </w:pPr>
      <w:r>
        <w:drawing>
          <wp:inline>
            <wp:extent cx="5334000" cy="5334000"/>
            <wp:effectExtent b="0" l="0" r="0" t="0"/>
            <wp:docPr descr="Fig. 5: Relation between change in ipsilesional global network measures and clinical outcome parameters in the subacute (3-5d after stroke, yellow circles) and chronic stages (3m after stroke, red triangles; 12m after stroke, black squares). Horizontal axes represent subject-specific predictions of network change from a linear random-intercept model. Solid lines indicate predicted mean clinical outcome under a quasi-Poisson (NIHSS, FM) or Gaussian (grip strength) model. Dashed lines represent upper and lower 95% confidence band for the predicted mean. NIHSS = National Institutes of Health Stroke Scale, rGS = relative grip strength, FM = Fugl-Meyer, q50 = Median connectivity" title="" id="7" name="Picture"/>
            <a:graphic>
              <a:graphicData uri="http://schemas.openxmlformats.org/drawingml/2006/picture">
                <pic:pic>
                  <pic:nvPicPr>
                    <pic:cNvPr descr="results-clinical_files/figure-docx/unnamed-chunk-21-1.png" id="8" name="Picture"/>
                    <pic:cNvPicPr>
                      <a:picLocks noChangeArrowheads="1" noChangeAspect="1"/>
                    </pic:cNvPicPr>
                  </pic:nvPicPr>
                  <pic:blipFill>
                    <a:blip r:embed="rId15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Style w:val="redoc-codechunk-21"/>
      </w:pPr>
      <w:r>
        <w:t xml:space="preserve">Fig. 5: Relation between change in ipsilesional global network measures and clinical outcome parameters in the subacute (3-5d after stroke, yellow circles) and chronic stages (3m after stroke, red triangles; 12m after stroke, black squares). Horizontal axes represent subject-specific predictions of network change from a linear random-intercept model. Solid lines indicate predicted mean clinical outcome under a quasi-Poisson (NIHSS, FM) or Gaussian (grip strength) model. Dashed lines represent upper and lower 95% confidence band for the predicted mean. NIHSS = National Institutes of Health Stroke Scale, rGS = relative grip strength, FM = Fugl-Meyer, q50 = Median connectivity</w:t>
      </w:r>
    </w:p>
    <w:bookmarkEnd w:id="154"/>
    <w:p>
      <w:pPr>
        <w:pStyle w:val="Compact"/>
      </w:pPr>
      <w:bookmarkStart w:id="155" w:name="redoc-inlinecode-104"/>
      <w:r>
        <w:rPr>
          <w:rStyle w:val="redoc-inlinecode-104"/>
        </w:rPr>
        <w:t xml:space="preserve">Tab. 6</w:t>
      </w:r>
      <w:bookmarkEnd w:id="155"/>
      <w:r>
        <w:t xml:space="preserve"> </w:t>
      </w:r>
      <w:r>
        <w:t xml:space="preserve">reports statistical details of volume-corrected regressions. After including lesion size as a nuisance regressor, the associations of change in global network architecture and NIHSS persisted at a lower statistical significance. The relationship between global modularity and relative grip strength, and global efficiency and Fugl-Meyer score failed to maintain statistical significance.</w:t>
      </w:r>
    </w:p>
    <w:bookmarkStart w:id="156" w:name="redoc-codechunk-22"/>
    <w:p>
      <w:pPr>
        <w:pStyle w:val="SourceCode"/>
        <w:pStyle w:val="redoc-codechunk-22"/>
      </w:pPr>
      <w:r>
        <w:rPr>
          <w:rStyle w:val="NormalTok"/>
        </w:rPr>
        <w:t xml:space="preserve">temp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686"/>
        <w:gridCol w:w="935"/>
        <w:gridCol w:w="1105"/>
        <w:gridCol w:w="687"/>
        <w:gridCol w:w="687"/>
        <w:gridCol w:w="1015"/>
        <w:gridCol w:w="865"/>
        <w:gridCol w:w="687"/>
        <w:gridCol w:w="1015"/>
        <w:gridCol w:w="865"/>
        <w:gridCol w:w="687"/>
        <w:gridCol w:w="1015"/>
        <w:gridCol w:w="776"/>
        <w:gridCol w:w="687"/>
      </w:tblGrid>
      <w:tr>
        <w:trPr>
          <w:cantSplit/>
          <w:trHeight w:val="290"/>
          <w:tblHeader/>
        </w:trPr>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
            </w:r>
          </w:p>
        </w:tc>
        <w:tc>
          <w:tcPr>
            <w:gridSpan w:val="3"/>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pooled model</w:t>
            </w:r>
          </w:p>
        </w:tc>
        <w:tc>
          <w:tcPr>
            <w:gridSpan w:val="3"/>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1m</w:t>
            </w:r>
          </w:p>
        </w:tc>
        <w:tc>
          <w:tcPr>
            <w:gridSpan w:val="3"/>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3m</w:t>
            </w:r>
          </w:p>
        </w:tc>
        <w:tc>
          <w:tcPr>
            <w:gridSpan w:val="3"/>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12m</w:t>
            </w:r>
          </w:p>
        </w:tc>
      </w:tr>
      <w:tr>
        <w:trPr>
          <w:cantSplit/>
          <w:trHeight w:val="367"/>
          <w:tblHeader/>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estimate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estimate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estimate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estimate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w:t>
            </w:r>
          </w:p>
        </w:tc>
      </w:tr>
      <w:tr>
        <w:trPr>
          <w:cantSplit/>
          <w:trHeight w:val="344"/>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NIHSS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q50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-23.568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10.115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0.0228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-13.747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32.406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0.6757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-44.517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27.241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0.1171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-16.768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20.025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0.4118</w:t>
            </w:r>
          </w:p>
        </w:tc>
      </w:tr>
      <w:tr>
        <w:trPr>
          <w:cantSplit/>
          <w:trHeight w:val="347"/>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Efficiency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-5.464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1.951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0.0067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-3.657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6.955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0.6046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-10.154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5.191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0.0639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-3.693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3.483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0.3011</w:t>
            </w:r>
          </w:p>
        </w:tc>
      </w:tr>
      <w:tr>
        <w:trPr>
          <w:cantSplit/>
          <w:trHeight w:val="346"/>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Modularity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174.330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58.750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0.0041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61.348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188.212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0.7477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333.146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128.811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0.0172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64.583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86.417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0.4631</w:t>
            </w:r>
          </w:p>
        </w:tc>
      </w:tr>
      <w:tr>
        <w:trPr>
          <w:cantSplit/>
          <w:trHeight w:val="344"/>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rGS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q50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6.675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2.831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0.0216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3.457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3.653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0.3553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3.666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4.539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0.4294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3.462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2.984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0.2612</w:t>
            </w:r>
          </w:p>
        </w:tc>
      </w:tr>
      <w:tr>
        <w:trPr>
          <w:cantSplit/>
          <w:trHeight w:val="347"/>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Efficiency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1.260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0.631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0.0500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1.042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0.766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0.1889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0.565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0.908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0.5412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0.487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0.558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0.3938</w:t>
            </w:r>
          </w:p>
        </w:tc>
      </w:tr>
      <w:tr>
        <w:trPr>
          <w:cantSplit/>
          <w:trHeight w:val="346"/>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Modularity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-31.204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20.983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0.1420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-1.838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21.543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0.9328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-9.489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24.981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0.7083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-13.076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14.541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0.3804</w:t>
            </w:r>
          </w:p>
        </w:tc>
      </w:tr>
      <w:tr>
        <w:trPr>
          <w:cantSplit/>
          <w:trHeight w:val="344"/>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FM^*</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q50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-37.922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13.582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0.0068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-182.043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211.360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0.3988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-284.278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264.375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0.2944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-339.897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216.585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0.1315</w:t>
            </w:r>
          </w:p>
        </w:tc>
      </w:tr>
      <w:tr>
        <w:trPr>
          <w:cantSplit/>
          <w:trHeight w:val="347"/>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Efficiency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-5.301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2.713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0.0548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-31.110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45.758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0.5040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-45.945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52.042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0.3873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-38.818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39.301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0.3345</w:t>
            </w:r>
          </w:p>
        </w:tc>
      </w:tr>
      <w:tr>
        <w:trPr>
          <w:cantSplit/>
          <w:trHeight w:val="346"/>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Modularity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181.703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81.464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0.0290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57.955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1246.809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0.9634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1588.273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1344.837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0.2508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1414.091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935.113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0.1454</w:t>
            </w:r>
          </w:p>
        </w:tc>
      </w:tr>
    </w:tbl>
    <w:bookmarkEnd w:id="156"/>
    <w:p>
      <w:pPr>
        <w:pStyle w:val="FirstParagraph"/>
      </w:pPr>
      <w:r>
        <w:t xml:space="preserve">Tab. 6: Regression coefficients (point estimates, standard errors and p-values) on the link scale between change in global network measures and clinical outcome. Log lesion volume is included as a nuisance predictor. In the case of NIHSS and FM^*^ = 66-FM scores, quasi-Poisson regressions with a</w:t>
      </w:r>
      <w:r>
        <w:t xml:space="preserve"> </w:t>
      </w:r>
      <m:oMath>
        <m:r>
          <m:rPr>
            <m:sty m:val="p"/>
          </m:rPr>
          <m:t>log</m:t>
        </m:r>
      </m:oMath>
      <w:r>
        <w:t xml:space="preserve">-link are used; in the case of relative grip strength a Gaussian regression with identity link is used. The first three columns represent pooled estimates from joint two-stage regressions across the subacute and chronic stages. NIHSS = National Institute of Health Stroke Scale, rGS = relative grips strength, FM = Fugl-Meyer, s.e. = standard error</w:t>
      </w:r>
    </w:p>
    <w:p>
      <w:pPr>
        <w:pStyle w:val="BodyText"/>
      </w:pPr>
      <w:r>
        <w:t xml:space="preserve">Post-hoc tests for associations between decline of connectivity and clinical outcome at fixed time points revealed consistent effects that were strongest after three months, but did not, individually, reach statistical significance (see Fig SX in the supplement for a visual representation of cross-sectional regressions).</w:t>
      </w:r>
    </w:p>
    <w:p>
      <w:pPr>
        <w:pStyle w:val="Heading4"/>
      </w:pPr>
      <w:bookmarkStart w:id="157" w:name="local-graph-measures"/>
      <w:r>
        <w:t xml:space="preserve">Local graph measures</w:t>
      </w:r>
      <w:bookmarkEnd w:id="157"/>
    </w:p>
    <w:p>
      <w:pPr>
        <w:pStyle w:val="FirstParagraph"/>
      </w:pPr>
      <w:r>
        <w:t xml:space="preserve">Mass-univariate two-stage linear and quasi-Poisson regressions identified associations between clinical outcome and change in local connectivity in a total of</w:t>
      </w:r>
      <w:r>
        <w:t xml:space="preserve"> </w:t>
      </w:r>
      <w:bookmarkStart w:id="158" w:name="redoc-inlinecode-106"/>
      <w:r>
        <w:rPr>
          <w:rStyle w:val="redoc-inlinecode-106"/>
        </w:rPr>
        <w:t xml:space="preserve">7</w:t>
      </w:r>
      <w:bookmarkEnd w:id="158"/>
      <w:r>
        <w:t xml:space="preserve"> </w:t>
      </w:r>
      <w:r>
        <w:t xml:space="preserve">brain areas. Higher residual NIHSS scores were most strongly associated with loss of local connectivity in pre-/postcental, inferior frontal, and cingulate cortices, as well as the thalamus. Statistical details including lesion volume corrected regression results are provided in the Supplement.</w:t>
      </w:r>
    </w:p>
    <w:sectPr>
      <w:type xmlns:w="http://schemas.openxmlformats.org/wordprocessingml/2006/main"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redoc-codechunk-1">
    <w:name w:val="redoc-codechunk-1"/>
    <w:basedOn w:val="BodyText"/>
    <w:qFormat/>
    <w:hidden/>
    <w:rPr>
      <w:shd w:val="clear" w:color="auto" w:fill="FFBEBF"/>
    </w:rPr>
    <w:pPr>
      <w:shd w:val="clear" w:color="auto" w:fill="FFBEBF"/>
    </w:pPr>
  </w:style>
  <w:style w:type="paragraph" w:customStyle="1" w:styleId="redoc-codechunk-10">
    <w:name w:val="redoc-codechunk-10"/>
    <w:basedOn w:val="BodyText"/>
    <w:qFormat/>
    <w:hidden/>
    <w:rPr>
      <w:shd w:val="clear" w:color="auto" w:fill="FFBEBF"/>
    </w:rPr>
    <w:pPr>
      <w:shd w:val="clear" w:color="auto" w:fill="FFBEBF"/>
    </w:pPr>
  </w:style>
  <w:style w:type="paragraph" w:customStyle="1" w:styleId="redoc-codechunk-11">
    <w:name w:val="redoc-codechunk-11"/>
    <w:basedOn w:val="BodyText"/>
    <w:qFormat/>
    <w:hidden/>
    <w:rPr>
      <w:shd w:val="clear" w:color="auto" w:fill="FFBEBF"/>
    </w:rPr>
    <w:pPr>
      <w:shd w:val="clear" w:color="auto" w:fill="FFBEBF"/>
    </w:pPr>
  </w:style>
  <w:style w:type="paragraph" w:customStyle="1" w:styleId="redoc-codechunk-12">
    <w:name w:val="redoc-codechunk-12"/>
    <w:basedOn w:val="BodyText"/>
    <w:qFormat/>
    <w:hidden/>
    <w:rPr>
      <w:shd w:val="clear" w:color="auto" w:fill="FFBEBF"/>
    </w:rPr>
    <w:pPr>
      <w:shd w:val="clear" w:color="auto" w:fill="FFBEBF"/>
    </w:pPr>
  </w:style>
  <w:style w:type="paragraph" w:customStyle="1" w:styleId="redoc-codechunk-13">
    <w:name w:val="redoc-codechunk-13"/>
    <w:basedOn w:val="BodyText"/>
    <w:qFormat/>
    <w:hidden/>
    <w:rPr>
      <w:shd w:val="clear" w:color="auto" w:fill="FFBEBF"/>
    </w:rPr>
    <w:pPr>
      <w:shd w:val="clear" w:color="auto" w:fill="FFBEBF"/>
    </w:pPr>
  </w:style>
  <w:style w:type="paragraph" w:customStyle="1" w:styleId="redoc-codechunk-14">
    <w:name w:val="redoc-codechunk-14"/>
    <w:basedOn w:val="BodyText"/>
    <w:qFormat/>
    <w:hidden/>
    <w:rPr>
      <w:shd w:val="clear" w:color="auto" w:fill="FFBEBF"/>
    </w:rPr>
    <w:pPr>
      <w:shd w:val="clear" w:color="auto" w:fill="FFBEBF"/>
    </w:pPr>
  </w:style>
  <w:style w:type="paragraph" w:customStyle="1" w:styleId="redoc-codechunk-15">
    <w:name w:val="redoc-codechunk-15"/>
    <w:basedOn w:val="BodyText"/>
    <w:qFormat/>
    <w:hidden/>
    <w:rPr>
      <w:shd w:val="clear" w:color="auto" w:fill="FFBEBF"/>
    </w:rPr>
    <w:pPr>
      <w:shd w:val="clear" w:color="auto" w:fill="FFBEBF"/>
    </w:pPr>
  </w:style>
  <w:style w:type="paragraph" w:customStyle="1" w:styleId="redoc-codechunk-16">
    <w:name w:val="redoc-codechunk-16"/>
    <w:basedOn w:val="BodyText"/>
    <w:qFormat/>
    <w:hidden/>
    <w:rPr>
      <w:shd w:val="clear" w:color="auto" w:fill="FFBEBF"/>
    </w:rPr>
    <w:pPr>
      <w:shd w:val="clear" w:color="auto" w:fill="FFBEBF"/>
    </w:pPr>
  </w:style>
  <w:style w:type="paragraph" w:customStyle="1" w:styleId="redoc-codechunk-17">
    <w:name w:val="redoc-codechunk-17"/>
    <w:basedOn w:val="BodyText"/>
    <w:qFormat/>
    <w:hidden/>
    <w:rPr>
      <w:shd w:val="clear" w:color="auto" w:fill="FFBEBF"/>
    </w:rPr>
    <w:pPr>
      <w:shd w:val="clear" w:color="auto" w:fill="FFBEBF"/>
    </w:pPr>
  </w:style>
  <w:style w:type="paragraph" w:customStyle="1" w:styleId="redoc-codechunk-18">
    <w:name w:val="redoc-codechunk-18"/>
    <w:basedOn w:val="BodyText"/>
    <w:qFormat/>
    <w:hidden/>
    <w:rPr>
      <w:shd w:val="clear" w:color="auto" w:fill="FFBEBF"/>
    </w:rPr>
    <w:pPr>
      <w:shd w:val="clear" w:color="auto" w:fill="FFBEBF"/>
    </w:pPr>
  </w:style>
  <w:style w:type="paragraph" w:customStyle="1" w:styleId="redoc-codechunk-19">
    <w:name w:val="redoc-codechunk-19"/>
    <w:basedOn w:val="BodyText"/>
    <w:qFormat/>
    <w:hidden/>
    <w:rPr>
      <w:shd w:val="clear" w:color="auto" w:fill="FFBEBF"/>
    </w:rPr>
    <w:pPr>
      <w:shd w:val="clear" w:color="auto" w:fill="FFBEBF"/>
    </w:pPr>
  </w:style>
  <w:style w:type="paragraph" w:customStyle="1" w:styleId="redoc-codechunk-2">
    <w:name w:val="redoc-codechunk-2"/>
    <w:basedOn w:val="BodyText"/>
    <w:qFormat/>
    <w:hidden/>
    <w:rPr>
      <w:shd w:val="clear" w:color="auto" w:fill="FFBEBF"/>
    </w:rPr>
    <w:pPr>
      <w:shd w:val="clear" w:color="auto" w:fill="FFBEBF"/>
    </w:pPr>
  </w:style>
  <w:style w:type="paragraph" w:customStyle="1" w:styleId="redoc-codechunk-20">
    <w:name w:val="redoc-codechunk-20"/>
    <w:basedOn w:val="BodyText"/>
    <w:qFormat/>
    <w:hidden/>
    <w:rPr>
      <w:shd w:val="clear" w:color="auto" w:fill="FFBEBF"/>
    </w:rPr>
    <w:pPr>
      <w:shd w:val="clear" w:color="auto" w:fill="FFBEBF"/>
    </w:pPr>
  </w:style>
  <w:style w:type="paragraph" w:customStyle="1" w:styleId="redoc-codechunk-21">
    <w:name w:val="redoc-codechunk-21"/>
    <w:basedOn w:val="BodyText"/>
    <w:qFormat/>
    <w:hidden/>
    <w:rPr>
      <w:shd w:val="clear" w:color="auto" w:fill="FFBEBF"/>
    </w:rPr>
    <w:pPr>
      <w:shd w:val="clear" w:color="auto" w:fill="FFBEBF"/>
    </w:pPr>
  </w:style>
  <w:style w:type="paragraph" w:customStyle="1" w:styleId="redoc-codechunk-22">
    <w:name w:val="redoc-codechunk-22"/>
    <w:basedOn w:val="BodyText"/>
    <w:qFormat/>
    <w:hidden/>
    <w:rPr>
      <w:shd w:val="clear" w:color="auto" w:fill="FFBEBF"/>
    </w:rPr>
    <w:pPr>
      <w:shd w:val="clear" w:color="auto" w:fill="FFBEBF"/>
    </w:pPr>
  </w:style>
  <w:style w:type="paragraph" w:customStyle="1" w:styleId="redoc-codechunk-3">
    <w:name w:val="redoc-codechunk-3"/>
    <w:basedOn w:val="BodyText"/>
    <w:qFormat/>
    <w:hidden/>
    <w:rPr>
      <w:shd w:val="clear" w:color="auto" w:fill="FFBEBF"/>
    </w:rPr>
    <w:pPr>
      <w:shd w:val="clear" w:color="auto" w:fill="FFBEBF"/>
    </w:pPr>
  </w:style>
  <w:style w:type="paragraph" w:customStyle="1" w:styleId="redoc-codechunk-4">
    <w:name w:val="redoc-codechunk-4"/>
    <w:basedOn w:val="BodyText"/>
    <w:qFormat/>
    <w:hidden/>
    <w:rPr>
      <w:shd w:val="clear" w:color="auto" w:fill="FFBEBF"/>
    </w:rPr>
    <w:pPr>
      <w:shd w:val="clear" w:color="auto" w:fill="FFBEBF"/>
    </w:pPr>
  </w:style>
  <w:style w:type="paragraph" w:customStyle="1" w:styleId="redoc-codechunk-5">
    <w:name w:val="redoc-codechunk-5"/>
    <w:basedOn w:val="BodyText"/>
    <w:qFormat/>
    <w:hidden/>
    <w:rPr>
      <w:shd w:val="clear" w:color="auto" w:fill="FFBEBF"/>
    </w:rPr>
    <w:pPr>
      <w:shd w:val="clear" w:color="auto" w:fill="FFBEBF"/>
    </w:pPr>
  </w:style>
  <w:style w:type="paragraph" w:customStyle="1" w:styleId="redoc-codechunk-6">
    <w:name w:val="redoc-codechunk-6"/>
    <w:basedOn w:val="BodyText"/>
    <w:qFormat/>
    <w:hidden/>
    <w:rPr>
      <w:shd w:val="clear" w:color="auto" w:fill="FFBEBF"/>
    </w:rPr>
    <w:pPr>
      <w:shd w:val="clear" w:color="auto" w:fill="FFBEBF"/>
    </w:pPr>
  </w:style>
  <w:style w:type="paragraph" w:customStyle="1" w:styleId="redoc-codechunk-7">
    <w:name w:val="redoc-codechunk-7"/>
    <w:basedOn w:val="BodyText"/>
    <w:qFormat/>
    <w:hidden/>
    <w:rPr>
      <w:shd w:val="clear" w:color="auto" w:fill="FFBEBF"/>
    </w:rPr>
    <w:pPr>
      <w:shd w:val="clear" w:color="auto" w:fill="FFBEBF"/>
    </w:pPr>
  </w:style>
  <w:style w:type="paragraph" w:customStyle="1" w:styleId="redoc-codechunk-8">
    <w:name w:val="redoc-codechunk-8"/>
    <w:basedOn w:val="BodyText"/>
    <w:qFormat/>
    <w:hidden/>
    <w:rPr>
      <w:shd w:val="clear" w:color="auto" w:fill="FFBEBF"/>
    </w:rPr>
    <w:pPr>
      <w:shd w:val="clear" w:color="auto" w:fill="FFBEBF"/>
    </w:pPr>
  </w:style>
  <w:style w:type="paragraph" w:customStyle="1" w:styleId="redoc-codechunk-9">
    <w:name w:val="redoc-codechunk-9"/>
    <w:basedOn w:val="BodyText"/>
    <w:qFormat/>
    <w:hidden/>
    <w:rPr>
      <w:shd w:val="clear" w:color="auto" w:fill="FFBEBF"/>
    </w:rPr>
    <w:pPr>
      <w:shd w:val="clear" w:color="auto" w:fill="FFBEBF"/>
    </w:pPr>
  </w:style>
  <w:style w:type="character" w:customStyle="1" w:styleId="redoc-htmlcomment-1">
    <w:name w:val="redoc-htmlcomment-1"/>
    <w:basedOn w:val="BodyTextChar"/>
    <w:hidden/>
    <w:rPr>
      <w:shd w:val="clear" w:color="auto" w:fill="FFBEBF"/>
    </w:rPr>
    <w:pPr>
      <w:shd w:val="clear" w:color="auto" w:fill="FFBEBF"/>
    </w:pPr>
  </w:style>
  <w:style w:type="character" w:customStyle="1" w:styleId="redoc-htmlcomment-2">
    <w:name w:val="redoc-htmlcomment-2"/>
    <w:basedOn w:val="BodyTextChar"/>
    <w:hidden/>
    <w:rPr>
      <w:shd w:val="clear" w:color="auto" w:fill="FFBEBF"/>
    </w:rPr>
    <w:pPr>
      <w:shd w:val="clear" w:color="auto" w:fill="FFBEBF"/>
    </w:pPr>
  </w:style>
  <w:style w:type="character" w:customStyle="1" w:styleId="redoc-inlinecode-1">
    <w:name w:val="redoc-inlinecode-1"/>
    <w:basedOn w:val="BodyTextChar"/>
    <w:hidden/>
    <w:rPr>
      <w:shd w:val="clear" w:color="auto" w:fill="FFBEBF"/>
    </w:rPr>
    <w:pPr>
      <w:shd w:val="clear" w:color="auto" w:fill="FFBEBF"/>
    </w:pPr>
  </w:style>
  <w:style w:type="character" w:customStyle="1" w:styleId="redoc-inlinecode-10">
    <w:name w:val="redoc-inlinecode-10"/>
    <w:basedOn w:val="BodyTextChar"/>
    <w:hidden/>
    <w:rPr>
      <w:shd w:val="clear" w:color="auto" w:fill="FFBEBF"/>
    </w:rPr>
    <w:pPr>
      <w:shd w:val="clear" w:color="auto" w:fill="FFBEBF"/>
    </w:pPr>
  </w:style>
  <w:style w:type="character" w:customStyle="1" w:styleId="redoc-inlinecode-100">
    <w:name w:val="redoc-inlinecode-100"/>
    <w:basedOn w:val="BodyTextChar"/>
    <w:hidden/>
    <w:rPr>
      <w:shd w:val="clear" w:color="auto" w:fill="FFBEBF"/>
    </w:rPr>
    <w:pPr>
      <w:shd w:val="clear" w:color="auto" w:fill="FFBEBF"/>
    </w:pPr>
  </w:style>
  <w:style w:type="character" w:customStyle="1" w:styleId="redoc-inlinecode-101">
    <w:name w:val="redoc-inlinecode-101"/>
    <w:basedOn w:val="BodyTextChar"/>
    <w:hidden/>
    <w:rPr>
      <w:shd w:val="clear" w:color="auto" w:fill="FFBEBF"/>
    </w:rPr>
    <w:pPr>
      <w:shd w:val="clear" w:color="auto" w:fill="FFBEBF"/>
    </w:pPr>
  </w:style>
  <w:style w:type="character" w:customStyle="1" w:styleId="redoc-inlinecode-102">
    <w:name w:val="redoc-inlinecode-102"/>
    <w:basedOn w:val="BodyTextChar"/>
    <w:hidden/>
    <w:rPr>
      <w:shd w:val="clear" w:color="auto" w:fill="FFBEBF"/>
    </w:rPr>
    <w:pPr>
      <w:shd w:val="clear" w:color="auto" w:fill="FFBEBF"/>
    </w:pPr>
  </w:style>
  <w:style w:type="character" w:customStyle="1" w:styleId="redoc-inlinecode-103">
    <w:name w:val="redoc-inlinecode-103"/>
    <w:basedOn w:val="BodyTextChar"/>
    <w:hidden/>
    <w:rPr>
      <w:shd w:val="clear" w:color="auto" w:fill="FFBEBF"/>
    </w:rPr>
    <w:pPr>
      <w:shd w:val="clear" w:color="auto" w:fill="FFBEBF"/>
    </w:pPr>
  </w:style>
  <w:style w:type="character" w:customStyle="1" w:styleId="redoc-inlinecode-104">
    <w:name w:val="redoc-inlinecode-104"/>
    <w:basedOn w:val="BodyTextChar"/>
    <w:hidden/>
    <w:rPr>
      <w:shd w:val="clear" w:color="auto" w:fill="FFBEBF"/>
    </w:rPr>
    <w:pPr>
      <w:shd w:val="clear" w:color="auto" w:fill="FFBEBF"/>
    </w:pPr>
  </w:style>
  <w:style w:type="character" w:customStyle="1" w:styleId="redoc-inlinecode-106">
    <w:name w:val="redoc-inlinecode-106"/>
    <w:basedOn w:val="BodyTextChar"/>
    <w:hidden/>
    <w:rPr>
      <w:shd w:val="clear" w:color="auto" w:fill="FFBEBF"/>
    </w:rPr>
    <w:pPr>
      <w:shd w:val="clear" w:color="auto" w:fill="FFBEBF"/>
    </w:pPr>
  </w:style>
  <w:style w:type="character" w:customStyle="1" w:styleId="redoc-inlinecode-11">
    <w:name w:val="redoc-inlinecode-11"/>
    <w:basedOn w:val="BodyTextChar"/>
    <w:hidden/>
    <w:rPr>
      <w:shd w:val="clear" w:color="auto" w:fill="FFBEBF"/>
    </w:rPr>
    <w:pPr>
      <w:shd w:val="clear" w:color="auto" w:fill="FFBEBF"/>
    </w:pPr>
  </w:style>
  <w:style w:type="character" w:customStyle="1" w:styleId="redoc-inlinecode-12">
    <w:name w:val="redoc-inlinecode-12"/>
    <w:basedOn w:val="BodyTextChar"/>
    <w:hidden/>
    <w:rPr>
      <w:shd w:val="clear" w:color="auto" w:fill="FFBEBF"/>
    </w:rPr>
    <w:pPr>
      <w:shd w:val="clear" w:color="auto" w:fill="FFBEBF"/>
    </w:pPr>
  </w:style>
  <w:style w:type="character" w:customStyle="1" w:styleId="redoc-inlinecode-13">
    <w:name w:val="redoc-inlinecode-13"/>
    <w:basedOn w:val="BodyTextChar"/>
    <w:hidden/>
    <w:rPr>
      <w:shd w:val="clear" w:color="auto" w:fill="FFBEBF"/>
    </w:rPr>
    <w:pPr>
      <w:shd w:val="clear" w:color="auto" w:fill="FFBEBF"/>
    </w:pPr>
  </w:style>
  <w:style w:type="character" w:customStyle="1" w:styleId="redoc-inlinecode-14">
    <w:name w:val="redoc-inlinecode-14"/>
    <w:basedOn w:val="BodyTextChar"/>
    <w:hidden/>
    <w:rPr>
      <w:shd w:val="clear" w:color="auto" w:fill="FFBEBF"/>
    </w:rPr>
    <w:pPr>
      <w:shd w:val="clear" w:color="auto" w:fill="FFBEBF"/>
    </w:pPr>
  </w:style>
  <w:style w:type="character" w:customStyle="1" w:styleId="redoc-inlinecode-15">
    <w:name w:val="redoc-inlinecode-15"/>
    <w:basedOn w:val="BodyTextChar"/>
    <w:hidden/>
    <w:rPr>
      <w:shd w:val="clear" w:color="auto" w:fill="FFBEBF"/>
    </w:rPr>
    <w:pPr>
      <w:shd w:val="clear" w:color="auto" w:fill="FFBEBF"/>
    </w:pPr>
  </w:style>
  <w:style w:type="character" w:customStyle="1" w:styleId="redoc-inlinecode-16">
    <w:name w:val="redoc-inlinecode-16"/>
    <w:basedOn w:val="BodyTextChar"/>
    <w:hidden/>
    <w:rPr>
      <w:shd w:val="clear" w:color="auto" w:fill="FFBEBF"/>
    </w:rPr>
    <w:pPr>
      <w:shd w:val="clear" w:color="auto" w:fill="FFBEBF"/>
    </w:pPr>
  </w:style>
  <w:style w:type="character" w:customStyle="1" w:styleId="redoc-inlinecode-17">
    <w:name w:val="redoc-inlinecode-17"/>
    <w:basedOn w:val="BodyTextChar"/>
    <w:hidden/>
    <w:rPr>
      <w:shd w:val="clear" w:color="auto" w:fill="FFBEBF"/>
    </w:rPr>
    <w:pPr>
      <w:shd w:val="clear" w:color="auto" w:fill="FFBEBF"/>
    </w:pPr>
  </w:style>
  <w:style w:type="character" w:customStyle="1" w:styleId="redoc-inlinecode-18">
    <w:name w:val="redoc-inlinecode-18"/>
    <w:basedOn w:val="BodyTextChar"/>
    <w:hidden/>
    <w:rPr>
      <w:shd w:val="clear" w:color="auto" w:fill="FFBEBF"/>
    </w:rPr>
    <w:pPr>
      <w:shd w:val="clear" w:color="auto" w:fill="FFBEBF"/>
    </w:pPr>
  </w:style>
  <w:style w:type="character" w:customStyle="1" w:styleId="redoc-inlinecode-19">
    <w:name w:val="redoc-inlinecode-19"/>
    <w:basedOn w:val="BodyTextChar"/>
    <w:hidden/>
    <w:rPr>
      <w:shd w:val="clear" w:color="auto" w:fill="FFBEBF"/>
    </w:rPr>
    <w:pPr>
      <w:shd w:val="clear" w:color="auto" w:fill="FFBEBF"/>
    </w:pPr>
  </w:style>
  <w:style w:type="character" w:customStyle="1" w:styleId="redoc-inlinecode-2">
    <w:name w:val="redoc-inlinecode-2"/>
    <w:basedOn w:val="BodyTextChar"/>
    <w:hidden/>
    <w:rPr>
      <w:shd w:val="clear" w:color="auto" w:fill="FFBEBF"/>
    </w:rPr>
    <w:pPr>
      <w:shd w:val="clear" w:color="auto" w:fill="FFBEBF"/>
    </w:pPr>
  </w:style>
  <w:style w:type="character" w:customStyle="1" w:styleId="redoc-inlinecode-20">
    <w:name w:val="redoc-inlinecode-20"/>
    <w:basedOn w:val="BodyTextChar"/>
    <w:hidden/>
    <w:rPr>
      <w:shd w:val="clear" w:color="auto" w:fill="FFBEBF"/>
    </w:rPr>
    <w:pPr>
      <w:shd w:val="clear" w:color="auto" w:fill="FFBEBF"/>
    </w:pPr>
  </w:style>
  <w:style w:type="character" w:customStyle="1" w:styleId="redoc-inlinecode-21">
    <w:name w:val="redoc-inlinecode-21"/>
    <w:basedOn w:val="BodyTextChar"/>
    <w:hidden/>
    <w:rPr>
      <w:shd w:val="clear" w:color="auto" w:fill="FFBEBF"/>
    </w:rPr>
    <w:pPr>
      <w:shd w:val="clear" w:color="auto" w:fill="FFBEBF"/>
    </w:pPr>
  </w:style>
  <w:style w:type="character" w:customStyle="1" w:styleId="redoc-inlinecode-22">
    <w:name w:val="redoc-inlinecode-22"/>
    <w:basedOn w:val="BodyTextChar"/>
    <w:hidden/>
    <w:rPr>
      <w:shd w:val="clear" w:color="auto" w:fill="FFBEBF"/>
    </w:rPr>
    <w:pPr>
      <w:shd w:val="clear" w:color="auto" w:fill="FFBEBF"/>
    </w:pPr>
  </w:style>
  <w:style w:type="character" w:customStyle="1" w:styleId="redoc-inlinecode-23">
    <w:name w:val="redoc-inlinecode-23"/>
    <w:basedOn w:val="BodyTextChar"/>
    <w:hidden/>
    <w:rPr>
      <w:shd w:val="clear" w:color="auto" w:fill="FFBEBF"/>
    </w:rPr>
    <w:pPr>
      <w:shd w:val="clear" w:color="auto" w:fill="FFBEBF"/>
    </w:pPr>
  </w:style>
  <w:style w:type="character" w:customStyle="1" w:styleId="redoc-inlinecode-24">
    <w:name w:val="redoc-inlinecode-24"/>
    <w:basedOn w:val="BodyTextChar"/>
    <w:hidden/>
    <w:rPr>
      <w:shd w:val="clear" w:color="auto" w:fill="FFBEBF"/>
    </w:rPr>
    <w:pPr>
      <w:shd w:val="clear" w:color="auto" w:fill="FFBEBF"/>
    </w:pPr>
  </w:style>
  <w:style w:type="character" w:customStyle="1" w:styleId="redoc-inlinecode-25">
    <w:name w:val="redoc-inlinecode-25"/>
    <w:basedOn w:val="BodyTextChar"/>
    <w:hidden/>
    <w:rPr>
      <w:shd w:val="clear" w:color="auto" w:fill="FFBEBF"/>
    </w:rPr>
    <w:pPr>
      <w:shd w:val="clear" w:color="auto" w:fill="FFBEBF"/>
    </w:pPr>
  </w:style>
  <w:style w:type="character" w:customStyle="1" w:styleId="redoc-inlinecode-26">
    <w:name w:val="redoc-inlinecode-26"/>
    <w:basedOn w:val="BodyTextChar"/>
    <w:hidden/>
    <w:rPr>
      <w:shd w:val="clear" w:color="auto" w:fill="FFBEBF"/>
    </w:rPr>
    <w:pPr>
      <w:shd w:val="clear" w:color="auto" w:fill="FFBEBF"/>
    </w:pPr>
  </w:style>
  <w:style w:type="character" w:customStyle="1" w:styleId="redoc-inlinecode-27">
    <w:name w:val="redoc-inlinecode-27"/>
    <w:basedOn w:val="BodyTextChar"/>
    <w:hidden/>
    <w:rPr>
      <w:shd w:val="clear" w:color="auto" w:fill="FFBEBF"/>
    </w:rPr>
    <w:pPr>
      <w:shd w:val="clear" w:color="auto" w:fill="FFBEBF"/>
    </w:pPr>
  </w:style>
  <w:style w:type="character" w:customStyle="1" w:styleId="redoc-inlinecode-28">
    <w:name w:val="redoc-inlinecode-28"/>
    <w:basedOn w:val="BodyTextChar"/>
    <w:hidden/>
    <w:rPr>
      <w:shd w:val="clear" w:color="auto" w:fill="FFBEBF"/>
    </w:rPr>
    <w:pPr>
      <w:shd w:val="clear" w:color="auto" w:fill="FFBEBF"/>
    </w:pPr>
  </w:style>
  <w:style w:type="character" w:customStyle="1" w:styleId="redoc-inlinecode-29">
    <w:name w:val="redoc-inlinecode-29"/>
    <w:basedOn w:val="BodyTextChar"/>
    <w:hidden/>
    <w:rPr>
      <w:shd w:val="clear" w:color="auto" w:fill="FFBEBF"/>
    </w:rPr>
    <w:pPr>
      <w:shd w:val="clear" w:color="auto" w:fill="FFBEBF"/>
    </w:pPr>
  </w:style>
  <w:style w:type="character" w:customStyle="1" w:styleId="redoc-inlinecode-3">
    <w:name w:val="redoc-inlinecode-3"/>
    <w:basedOn w:val="BodyTextChar"/>
    <w:hidden/>
    <w:rPr>
      <w:shd w:val="clear" w:color="auto" w:fill="FFBEBF"/>
    </w:rPr>
    <w:pPr>
      <w:shd w:val="clear" w:color="auto" w:fill="FFBEBF"/>
    </w:pPr>
  </w:style>
  <w:style w:type="character" w:customStyle="1" w:styleId="redoc-inlinecode-38">
    <w:name w:val="redoc-inlinecode-38"/>
    <w:basedOn w:val="BodyTextChar"/>
    <w:hidden/>
    <w:rPr>
      <w:shd w:val="clear" w:color="auto" w:fill="FFBEBF"/>
    </w:rPr>
    <w:pPr>
      <w:shd w:val="clear" w:color="auto" w:fill="FFBEBF"/>
    </w:pPr>
  </w:style>
  <w:style w:type="character" w:customStyle="1" w:styleId="redoc-inlinecode-39">
    <w:name w:val="redoc-inlinecode-39"/>
    <w:basedOn w:val="BodyTextChar"/>
    <w:hidden/>
    <w:rPr>
      <w:shd w:val="clear" w:color="auto" w:fill="FFBEBF"/>
    </w:rPr>
    <w:pPr>
      <w:shd w:val="clear" w:color="auto" w:fill="FFBEBF"/>
    </w:pPr>
  </w:style>
  <w:style w:type="character" w:customStyle="1" w:styleId="redoc-inlinecode-4">
    <w:name w:val="redoc-inlinecode-4"/>
    <w:basedOn w:val="BodyTextChar"/>
    <w:hidden/>
    <w:rPr>
      <w:shd w:val="clear" w:color="auto" w:fill="FFBEBF"/>
    </w:rPr>
    <w:pPr>
      <w:shd w:val="clear" w:color="auto" w:fill="FFBEBF"/>
    </w:pPr>
  </w:style>
  <w:style w:type="character" w:customStyle="1" w:styleId="redoc-inlinecode-40">
    <w:name w:val="redoc-inlinecode-40"/>
    <w:basedOn w:val="BodyTextChar"/>
    <w:hidden/>
    <w:rPr>
      <w:shd w:val="clear" w:color="auto" w:fill="FFBEBF"/>
    </w:rPr>
    <w:pPr>
      <w:shd w:val="clear" w:color="auto" w:fill="FFBEBF"/>
    </w:pPr>
  </w:style>
  <w:style w:type="character" w:customStyle="1" w:styleId="redoc-inlinecode-41">
    <w:name w:val="redoc-inlinecode-41"/>
    <w:basedOn w:val="BodyTextChar"/>
    <w:hidden/>
    <w:rPr>
      <w:shd w:val="clear" w:color="auto" w:fill="FFBEBF"/>
    </w:rPr>
    <w:pPr>
      <w:shd w:val="clear" w:color="auto" w:fill="FFBEBF"/>
    </w:pPr>
  </w:style>
  <w:style w:type="character" w:customStyle="1" w:styleId="redoc-inlinecode-42">
    <w:name w:val="redoc-inlinecode-42"/>
    <w:basedOn w:val="BodyTextChar"/>
    <w:hidden/>
    <w:rPr>
      <w:shd w:val="clear" w:color="auto" w:fill="FFBEBF"/>
    </w:rPr>
    <w:pPr>
      <w:shd w:val="clear" w:color="auto" w:fill="FFBEBF"/>
    </w:pPr>
  </w:style>
  <w:style w:type="character" w:customStyle="1" w:styleId="redoc-inlinecode-43">
    <w:name w:val="redoc-inlinecode-43"/>
    <w:basedOn w:val="BodyTextChar"/>
    <w:hidden/>
    <w:rPr>
      <w:shd w:val="clear" w:color="auto" w:fill="FFBEBF"/>
    </w:rPr>
    <w:pPr>
      <w:shd w:val="clear" w:color="auto" w:fill="FFBEBF"/>
    </w:pPr>
  </w:style>
  <w:style w:type="character" w:customStyle="1" w:styleId="redoc-inlinecode-44">
    <w:name w:val="redoc-inlinecode-44"/>
    <w:basedOn w:val="BodyTextChar"/>
    <w:hidden/>
    <w:rPr>
      <w:shd w:val="clear" w:color="auto" w:fill="FFBEBF"/>
    </w:rPr>
    <w:pPr>
      <w:shd w:val="clear" w:color="auto" w:fill="FFBEBF"/>
    </w:pPr>
  </w:style>
  <w:style w:type="character" w:customStyle="1" w:styleId="redoc-inlinecode-45">
    <w:name w:val="redoc-inlinecode-45"/>
    <w:basedOn w:val="BodyTextChar"/>
    <w:hidden/>
    <w:rPr>
      <w:shd w:val="clear" w:color="auto" w:fill="FFBEBF"/>
    </w:rPr>
    <w:pPr>
      <w:shd w:val="clear" w:color="auto" w:fill="FFBEBF"/>
    </w:pPr>
  </w:style>
  <w:style w:type="character" w:customStyle="1" w:styleId="redoc-inlinecode-46">
    <w:name w:val="redoc-inlinecode-46"/>
    <w:basedOn w:val="BodyTextChar"/>
    <w:hidden/>
    <w:rPr>
      <w:shd w:val="clear" w:color="auto" w:fill="FFBEBF"/>
    </w:rPr>
    <w:pPr>
      <w:shd w:val="clear" w:color="auto" w:fill="FFBEBF"/>
    </w:pPr>
  </w:style>
  <w:style w:type="character" w:customStyle="1" w:styleId="redoc-inlinecode-47">
    <w:name w:val="redoc-inlinecode-47"/>
    <w:basedOn w:val="BodyTextChar"/>
    <w:hidden/>
    <w:rPr>
      <w:shd w:val="clear" w:color="auto" w:fill="FFBEBF"/>
    </w:rPr>
    <w:pPr>
      <w:shd w:val="clear" w:color="auto" w:fill="FFBEBF"/>
    </w:pPr>
  </w:style>
  <w:style w:type="character" w:customStyle="1" w:styleId="redoc-inlinecode-48">
    <w:name w:val="redoc-inlinecode-48"/>
    <w:basedOn w:val="BodyTextChar"/>
    <w:hidden/>
    <w:rPr>
      <w:shd w:val="clear" w:color="auto" w:fill="FFBEBF"/>
    </w:rPr>
    <w:pPr>
      <w:shd w:val="clear" w:color="auto" w:fill="FFBEBF"/>
    </w:pPr>
  </w:style>
  <w:style w:type="character" w:customStyle="1" w:styleId="redoc-inlinecode-49">
    <w:name w:val="redoc-inlinecode-49"/>
    <w:basedOn w:val="BodyTextChar"/>
    <w:hidden/>
    <w:rPr>
      <w:shd w:val="clear" w:color="auto" w:fill="FFBEBF"/>
    </w:rPr>
    <w:pPr>
      <w:shd w:val="clear" w:color="auto" w:fill="FFBEBF"/>
    </w:pPr>
  </w:style>
  <w:style w:type="character" w:customStyle="1" w:styleId="redoc-inlinecode-5">
    <w:name w:val="redoc-inlinecode-5"/>
    <w:basedOn w:val="BodyTextChar"/>
    <w:hidden/>
    <w:rPr>
      <w:shd w:val="clear" w:color="auto" w:fill="FFBEBF"/>
    </w:rPr>
    <w:pPr>
      <w:shd w:val="clear" w:color="auto" w:fill="FFBEBF"/>
    </w:pPr>
  </w:style>
  <w:style w:type="character" w:customStyle="1" w:styleId="redoc-inlinecode-50">
    <w:name w:val="redoc-inlinecode-50"/>
    <w:basedOn w:val="BodyTextChar"/>
    <w:hidden/>
    <w:rPr>
      <w:shd w:val="clear" w:color="auto" w:fill="FFBEBF"/>
    </w:rPr>
    <w:pPr>
      <w:shd w:val="clear" w:color="auto" w:fill="FFBEBF"/>
    </w:pPr>
  </w:style>
  <w:style w:type="character" w:customStyle="1" w:styleId="redoc-inlinecode-51">
    <w:name w:val="redoc-inlinecode-51"/>
    <w:basedOn w:val="BodyTextChar"/>
    <w:hidden/>
    <w:rPr>
      <w:shd w:val="clear" w:color="auto" w:fill="FFBEBF"/>
    </w:rPr>
    <w:pPr>
      <w:shd w:val="clear" w:color="auto" w:fill="FFBEBF"/>
    </w:pPr>
  </w:style>
  <w:style w:type="character" w:customStyle="1" w:styleId="redoc-inlinecode-52">
    <w:name w:val="redoc-inlinecode-52"/>
    <w:basedOn w:val="BodyTextChar"/>
    <w:hidden/>
    <w:rPr>
      <w:shd w:val="clear" w:color="auto" w:fill="FFBEBF"/>
    </w:rPr>
    <w:pPr>
      <w:shd w:val="clear" w:color="auto" w:fill="FFBEBF"/>
    </w:pPr>
  </w:style>
  <w:style w:type="character" w:customStyle="1" w:styleId="redoc-inlinecode-53">
    <w:name w:val="redoc-inlinecode-53"/>
    <w:basedOn w:val="BodyTextChar"/>
    <w:hidden/>
    <w:rPr>
      <w:shd w:val="clear" w:color="auto" w:fill="FFBEBF"/>
    </w:rPr>
    <w:pPr>
      <w:shd w:val="clear" w:color="auto" w:fill="FFBEBF"/>
    </w:pPr>
  </w:style>
  <w:style w:type="character" w:customStyle="1" w:styleId="redoc-inlinecode-54">
    <w:name w:val="redoc-inlinecode-54"/>
    <w:basedOn w:val="BodyTextChar"/>
    <w:hidden/>
    <w:rPr>
      <w:shd w:val="clear" w:color="auto" w:fill="FFBEBF"/>
    </w:rPr>
    <w:pPr>
      <w:shd w:val="clear" w:color="auto" w:fill="FFBEBF"/>
    </w:pPr>
  </w:style>
  <w:style w:type="character" w:customStyle="1" w:styleId="redoc-inlinecode-55">
    <w:name w:val="redoc-inlinecode-55"/>
    <w:basedOn w:val="BodyTextChar"/>
    <w:hidden/>
    <w:rPr>
      <w:shd w:val="clear" w:color="auto" w:fill="FFBEBF"/>
    </w:rPr>
    <w:pPr>
      <w:shd w:val="clear" w:color="auto" w:fill="FFBEBF"/>
    </w:pPr>
  </w:style>
  <w:style w:type="character" w:customStyle="1" w:styleId="redoc-inlinecode-56">
    <w:name w:val="redoc-inlinecode-56"/>
    <w:basedOn w:val="BodyTextChar"/>
    <w:hidden/>
    <w:rPr>
      <w:shd w:val="clear" w:color="auto" w:fill="FFBEBF"/>
    </w:rPr>
    <w:pPr>
      <w:shd w:val="clear" w:color="auto" w:fill="FFBEBF"/>
    </w:pPr>
  </w:style>
  <w:style w:type="character" w:customStyle="1" w:styleId="redoc-inlinecode-57">
    <w:name w:val="redoc-inlinecode-57"/>
    <w:basedOn w:val="BodyTextChar"/>
    <w:hidden/>
    <w:rPr>
      <w:shd w:val="clear" w:color="auto" w:fill="FFBEBF"/>
    </w:rPr>
    <w:pPr>
      <w:shd w:val="clear" w:color="auto" w:fill="FFBEBF"/>
    </w:pPr>
  </w:style>
  <w:style w:type="character" w:customStyle="1" w:styleId="redoc-inlinecode-58">
    <w:name w:val="redoc-inlinecode-58"/>
    <w:basedOn w:val="BodyTextChar"/>
    <w:hidden/>
    <w:rPr>
      <w:shd w:val="clear" w:color="auto" w:fill="FFBEBF"/>
    </w:rPr>
    <w:pPr>
      <w:shd w:val="clear" w:color="auto" w:fill="FFBEBF"/>
    </w:pPr>
  </w:style>
  <w:style w:type="character" w:customStyle="1" w:styleId="redoc-inlinecode-59">
    <w:name w:val="redoc-inlinecode-59"/>
    <w:basedOn w:val="BodyTextChar"/>
    <w:hidden/>
    <w:rPr>
      <w:shd w:val="clear" w:color="auto" w:fill="FFBEBF"/>
    </w:rPr>
    <w:pPr>
      <w:shd w:val="clear" w:color="auto" w:fill="FFBEBF"/>
    </w:pPr>
  </w:style>
  <w:style w:type="character" w:customStyle="1" w:styleId="redoc-inlinecode-6">
    <w:name w:val="redoc-inlinecode-6"/>
    <w:basedOn w:val="BodyTextChar"/>
    <w:hidden/>
    <w:rPr>
      <w:shd w:val="clear" w:color="auto" w:fill="FFBEBF"/>
    </w:rPr>
    <w:pPr>
      <w:shd w:val="clear" w:color="auto" w:fill="FFBEBF"/>
    </w:pPr>
  </w:style>
  <w:style w:type="character" w:customStyle="1" w:styleId="redoc-inlinecode-60">
    <w:name w:val="redoc-inlinecode-60"/>
    <w:basedOn w:val="BodyTextChar"/>
    <w:hidden/>
    <w:rPr>
      <w:shd w:val="clear" w:color="auto" w:fill="FFBEBF"/>
    </w:rPr>
    <w:pPr>
      <w:shd w:val="clear" w:color="auto" w:fill="FFBEBF"/>
    </w:pPr>
  </w:style>
  <w:style w:type="character" w:customStyle="1" w:styleId="redoc-inlinecode-61">
    <w:name w:val="redoc-inlinecode-61"/>
    <w:basedOn w:val="BodyTextChar"/>
    <w:hidden/>
    <w:rPr>
      <w:shd w:val="clear" w:color="auto" w:fill="FFBEBF"/>
    </w:rPr>
    <w:pPr>
      <w:shd w:val="clear" w:color="auto" w:fill="FFBEBF"/>
    </w:pPr>
  </w:style>
  <w:style w:type="character" w:customStyle="1" w:styleId="redoc-inlinecode-62">
    <w:name w:val="redoc-inlinecode-62"/>
    <w:basedOn w:val="BodyTextChar"/>
    <w:hidden/>
    <w:rPr>
      <w:shd w:val="clear" w:color="auto" w:fill="FFBEBF"/>
    </w:rPr>
    <w:pPr>
      <w:shd w:val="clear" w:color="auto" w:fill="FFBEBF"/>
    </w:pPr>
  </w:style>
  <w:style w:type="character" w:customStyle="1" w:styleId="redoc-inlinecode-63">
    <w:name w:val="redoc-inlinecode-63"/>
    <w:basedOn w:val="BodyTextChar"/>
    <w:hidden/>
    <w:rPr>
      <w:shd w:val="clear" w:color="auto" w:fill="FFBEBF"/>
    </w:rPr>
    <w:pPr>
      <w:shd w:val="clear" w:color="auto" w:fill="FFBEBF"/>
    </w:pPr>
  </w:style>
  <w:style w:type="character" w:customStyle="1" w:styleId="redoc-inlinecode-64">
    <w:name w:val="redoc-inlinecode-64"/>
    <w:basedOn w:val="BodyTextChar"/>
    <w:hidden/>
    <w:rPr>
      <w:shd w:val="clear" w:color="auto" w:fill="FFBEBF"/>
    </w:rPr>
    <w:pPr>
      <w:shd w:val="clear" w:color="auto" w:fill="FFBEBF"/>
    </w:pPr>
  </w:style>
  <w:style w:type="character" w:customStyle="1" w:styleId="redoc-inlinecode-65">
    <w:name w:val="redoc-inlinecode-65"/>
    <w:basedOn w:val="BodyTextChar"/>
    <w:hidden/>
    <w:rPr>
      <w:shd w:val="clear" w:color="auto" w:fill="FFBEBF"/>
    </w:rPr>
    <w:pPr>
      <w:shd w:val="clear" w:color="auto" w:fill="FFBEBF"/>
    </w:pPr>
  </w:style>
  <w:style w:type="character" w:customStyle="1" w:styleId="redoc-inlinecode-66">
    <w:name w:val="redoc-inlinecode-66"/>
    <w:basedOn w:val="BodyTextChar"/>
    <w:hidden/>
    <w:rPr>
      <w:shd w:val="clear" w:color="auto" w:fill="FFBEBF"/>
    </w:rPr>
    <w:pPr>
      <w:shd w:val="clear" w:color="auto" w:fill="FFBEBF"/>
    </w:pPr>
  </w:style>
  <w:style w:type="character" w:customStyle="1" w:styleId="redoc-inlinecode-67">
    <w:name w:val="redoc-inlinecode-67"/>
    <w:basedOn w:val="BodyTextChar"/>
    <w:hidden/>
    <w:rPr>
      <w:shd w:val="clear" w:color="auto" w:fill="FFBEBF"/>
    </w:rPr>
    <w:pPr>
      <w:shd w:val="clear" w:color="auto" w:fill="FFBEBF"/>
    </w:pPr>
  </w:style>
  <w:style w:type="character" w:customStyle="1" w:styleId="redoc-inlinecode-68">
    <w:name w:val="redoc-inlinecode-68"/>
    <w:basedOn w:val="BodyTextChar"/>
    <w:hidden/>
    <w:rPr>
      <w:shd w:val="clear" w:color="auto" w:fill="FFBEBF"/>
    </w:rPr>
    <w:pPr>
      <w:shd w:val="clear" w:color="auto" w:fill="FFBEBF"/>
    </w:pPr>
  </w:style>
  <w:style w:type="character" w:customStyle="1" w:styleId="redoc-inlinecode-69">
    <w:name w:val="redoc-inlinecode-69"/>
    <w:basedOn w:val="BodyTextChar"/>
    <w:hidden/>
    <w:rPr>
      <w:shd w:val="clear" w:color="auto" w:fill="FFBEBF"/>
    </w:rPr>
    <w:pPr>
      <w:shd w:val="clear" w:color="auto" w:fill="FFBEBF"/>
    </w:pPr>
  </w:style>
  <w:style w:type="character" w:customStyle="1" w:styleId="redoc-inlinecode-7">
    <w:name w:val="redoc-inlinecode-7"/>
    <w:basedOn w:val="BodyTextChar"/>
    <w:hidden/>
    <w:rPr>
      <w:shd w:val="clear" w:color="auto" w:fill="FFBEBF"/>
    </w:rPr>
    <w:pPr>
      <w:shd w:val="clear" w:color="auto" w:fill="FFBEBF"/>
    </w:pPr>
  </w:style>
  <w:style w:type="character" w:customStyle="1" w:styleId="redoc-inlinecode-70">
    <w:name w:val="redoc-inlinecode-70"/>
    <w:basedOn w:val="BodyTextChar"/>
    <w:hidden/>
    <w:rPr>
      <w:shd w:val="clear" w:color="auto" w:fill="FFBEBF"/>
    </w:rPr>
    <w:pPr>
      <w:shd w:val="clear" w:color="auto" w:fill="FFBEBF"/>
    </w:pPr>
  </w:style>
  <w:style w:type="character" w:customStyle="1" w:styleId="redoc-inlinecode-71">
    <w:name w:val="redoc-inlinecode-71"/>
    <w:basedOn w:val="BodyTextChar"/>
    <w:hidden/>
    <w:rPr>
      <w:shd w:val="clear" w:color="auto" w:fill="FFBEBF"/>
    </w:rPr>
    <w:pPr>
      <w:shd w:val="clear" w:color="auto" w:fill="FFBEBF"/>
    </w:pPr>
  </w:style>
  <w:style w:type="character" w:customStyle="1" w:styleId="redoc-inlinecode-72">
    <w:name w:val="redoc-inlinecode-72"/>
    <w:basedOn w:val="BodyTextChar"/>
    <w:hidden/>
    <w:rPr>
      <w:shd w:val="clear" w:color="auto" w:fill="FFBEBF"/>
    </w:rPr>
    <w:pPr>
      <w:shd w:val="clear" w:color="auto" w:fill="FFBEBF"/>
    </w:pPr>
  </w:style>
  <w:style w:type="character" w:customStyle="1" w:styleId="redoc-inlinecode-73">
    <w:name w:val="redoc-inlinecode-73"/>
    <w:basedOn w:val="BodyTextChar"/>
    <w:hidden/>
    <w:rPr>
      <w:shd w:val="clear" w:color="auto" w:fill="FFBEBF"/>
    </w:rPr>
    <w:pPr>
      <w:shd w:val="clear" w:color="auto" w:fill="FFBEBF"/>
    </w:pPr>
  </w:style>
  <w:style w:type="character" w:customStyle="1" w:styleId="redoc-inlinecode-74">
    <w:name w:val="redoc-inlinecode-74"/>
    <w:basedOn w:val="BodyTextChar"/>
    <w:hidden/>
    <w:rPr>
      <w:shd w:val="clear" w:color="auto" w:fill="FFBEBF"/>
    </w:rPr>
    <w:pPr>
      <w:shd w:val="clear" w:color="auto" w:fill="FFBEBF"/>
    </w:pPr>
  </w:style>
  <w:style w:type="character" w:customStyle="1" w:styleId="redoc-inlinecode-75">
    <w:name w:val="redoc-inlinecode-75"/>
    <w:basedOn w:val="BodyTextChar"/>
    <w:hidden/>
    <w:rPr>
      <w:shd w:val="clear" w:color="auto" w:fill="FFBEBF"/>
    </w:rPr>
    <w:pPr>
      <w:shd w:val="clear" w:color="auto" w:fill="FFBEBF"/>
    </w:pPr>
  </w:style>
  <w:style w:type="character" w:customStyle="1" w:styleId="redoc-inlinecode-76">
    <w:name w:val="redoc-inlinecode-76"/>
    <w:basedOn w:val="BodyTextChar"/>
    <w:hidden/>
    <w:rPr>
      <w:shd w:val="clear" w:color="auto" w:fill="FFBEBF"/>
    </w:rPr>
    <w:pPr>
      <w:shd w:val="clear" w:color="auto" w:fill="FFBEBF"/>
    </w:pPr>
  </w:style>
  <w:style w:type="character" w:customStyle="1" w:styleId="redoc-inlinecode-77">
    <w:name w:val="redoc-inlinecode-77"/>
    <w:basedOn w:val="BodyTextChar"/>
    <w:hidden/>
    <w:rPr>
      <w:shd w:val="clear" w:color="auto" w:fill="FFBEBF"/>
    </w:rPr>
    <w:pPr>
      <w:shd w:val="clear" w:color="auto" w:fill="FFBEBF"/>
    </w:pPr>
  </w:style>
  <w:style w:type="character" w:customStyle="1" w:styleId="redoc-inlinecode-78">
    <w:name w:val="redoc-inlinecode-78"/>
    <w:basedOn w:val="BodyTextChar"/>
    <w:hidden/>
    <w:rPr>
      <w:shd w:val="clear" w:color="auto" w:fill="FFBEBF"/>
    </w:rPr>
    <w:pPr>
      <w:shd w:val="clear" w:color="auto" w:fill="FFBEBF"/>
    </w:pPr>
  </w:style>
  <w:style w:type="character" w:customStyle="1" w:styleId="redoc-inlinecode-79">
    <w:name w:val="redoc-inlinecode-79"/>
    <w:basedOn w:val="BodyTextChar"/>
    <w:hidden/>
    <w:rPr>
      <w:shd w:val="clear" w:color="auto" w:fill="FFBEBF"/>
    </w:rPr>
    <w:pPr>
      <w:shd w:val="clear" w:color="auto" w:fill="FFBEBF"/>
    </w:pPr>
  </w:style>
  <w:style w:type="character" w:customStyle="1" w:styleId="redoc-inlinecode-8">
    <w:name w:val="redoc-inlinecode-8"/>
    <w:basedOn w:val="BodyTextChar"/>
    <w:hidden/>
    <w:rPr>
      <w:shd w:val="clear" w:color="auto" w:fill="FFBEBF"/>
    </w:rPr>
    <w:pPr>
      <w:shd w:val="clear" w:color="auto" w:fill="FFBEBF"/>
    </w:pPr>
  </w:style>
  <w:style w:type="character" w:customStyle="1" w:styleId="redoc-inlinecode-80">
    <w:name w:val="redoc-inlinecode-80"/>
    <w:basedOn w:val="BodyTextChar"/>
    <w:hidden/>
    <w:rPr>
      <w:shd w:val="clear" w:color="auto" w:fill="FFBEBF"/>
    </w:rPr>
    <w:pPr>
      <w:shd w:val="clear" w:color="auto" w:fill="FFBEBF"/>
    </w:pPr>
  </w:style>
  <w:style w:type="character" w:customStyle="1" w:styleId="redoc-inlinecode-81">
    <w:name w:val="redoc-inlinecode-81"/>
    <w:basedOn w:val="BodyTextChar"/>
    <w:hidden/>
    <w:rPr>
      <w:shd w:val="clear" w:color="auto" w:fill="FFBEBF"/>
    </w:rPr>
    <w:pPr>
      <w:shd w:val="clear" w:color="auto" w:fill="FFBEBF"/>
    </w:pPr>
  </w:style>
  <w:style w:type="character" w:customStyle="1" w:styleId="redoc-inlinecode-82">
    <w:name w:val="redoc-inlinecode-82"/>
    <w:basedOn w:val="BodyTextChar"/>
    <w:hidden/>
    <w:rPr>
      <w:shd w:val="clear" w:color="auto" w:fill="FFBEBF"/>
    </w:rPr>
    <w:pPr>
      <w:shd w:val="clear" w:color="auto" w:fill="FFBEBF"/>
    </w:pPr>
  </w:style>
  <w:style w:type="character" w:customStyle="1" w:styleId="redoc-inlinecode-83">
    <w:name w:val="redoc-inlinecode-83"/>
    <w:basedOn w:val="BodyTextChar"/>
    <w:hidden/>
    <w:rPr>
      <w:shd w:val="clear" w:color="auto" w:fill="FFBEBF"/>
    </w:rPr>
    <w:pPr>
      <w:shd w:val="clear" w:color="auto" w:fill="FFBEBF"/>
    </w:pPr>
  </w:style>
  <w:style w:type="character" w:customStyle="1" w:styleId="redoc-inlinecode-84">
    <w:name w:val="redoc-inlinecode-84"/>
    <w:basedOn w:val="BodyTextChar"/>
    <w:hidden/>
    <w:rPr>
      <w:shd w:val="clear" w:color="auto" w:fill="FFBEBF"/>
    </w:rPr>
    <w:pPr>
      <w:shd w:val="clear" w:color="auto" w:fill="FFBEBF"/>
    </w:pPr>
  </w:style>
  <w:style w:type="character" w:customStyle="1" w:styleId="redoc-inlinecode-85">
    <w:name w:val="redoc-inlinecode-85"/>
    <w:basedOn w:val="BodyTextChar"/>
    <w:hidden/>
    <w:rPr>
      <w:shd w:val="clear" w:color="auto" w:fill="FFBEBF"/>
    </w:rPr>
    <w:pPr>
      <w:shd w:val="clear" w:color="auto" w:fill="FFBEBF"/>
    </w:pPr>
  </w:style>
  <w:style w:type="character" w:customStyle="1" w:styleId="redoc-inlinecode-86">
    <w:name w:val="redoc-inlinecode-86"/>
    <w:basedOn w:val="BodyTextChar"/>
    <w:hidden/>
    <w:rPr>
      <w:shd w:val="clear" w:color="auto" w:fill="FFBEBF"/>
    </w:rPr>
    <w:pPr>
      <w:shd w:val="clear" w:color="auto" w:fill="FFBEBF"/>
    </w:pPr>
  </w:style>
  <w:style w:type="character" w:customStyle="1" w:styleId="redoc-inlinecode-87">
    <w:name w:val="redoc-inlinecode-87"/>
    <w:basedOn w:val="BodyTextChar"/>
    <w:hidden/>
    <w:rPr>
      <w:shd w:val="clear" w:color="auto" w:fill="FFBEBF"/>
    </w:rPr>
    <w:pPr>
      <w:shd w:val="clear" w:color="auto" w:fill="FFBEBF"/>
    </w:pPr>
  </w:style>
  <w:style w:type="character" w:customStyle="1" w:styleId="redoc-inlinecode-88">
    <w:name w:val="redoc-inlinecode-88"/>
    <w:basedOn w:val="BodyTextChar"/>
    <w:hidden/>
    <w:rPr>
      <w:shd w:val="clear" w:color="auto" w:fill="FFBEBF"/>
    </w:rPr>
    <w:pPr>
      <w:shd w:val="clear" w:color="auto" w:fill="FFBEBF"/>
    </w:pPr>
  </w:style>
  <w:style w:type="character" w:customStyle="1" w:styleId="redoc-inlinecode-89">
    <w:name w:val="redoc-inlinecode-89"/>
    <w:basedOn w:val="BodyTextChar"/>
    <w:hidden/>
    <w:rPr>
      <w:shd w:val="clear" w:color="auto" w:fill="FFBEBF"/>
    </w:rPr>
    <w:pPr>
      <w:shd w:val="clear" w:color="auto" w:fill="FFBEBF"/>
    </w:pPr>
  </w:style>
  <w:style w:type="character" w:customStyle="1" w:styleId="redoc-inlinecode-9">
    <w:name w:val="redoc-inlinecode-9"/>
    <w:basedOn w:val="BodyTextChar"/>
    <w:hidden/>
    <w:rPr>
      <w:shd w:val="clear" w:color="auto" w:fill="FFBEBF"/>
    </w:rPr>
    <w:pPr>
      <w:shd w:val="clear" w:color="auto" w:fill="FFBEBF"/>
    </w:pPr>
  </w:style>
  <w:style w:type="character" w:customStyle="1" w:styleId="redoc-inlinecode-90">
    <w:name w:val="redoc-inlinecode-90"/>
    <w:basedOn w:val="BodyTextChar"/>
    <w:hidden/>
    <w:rPr>
      <w:shd w:val="clear" w:color="auto" w:fill="FFBEBF"/>
    </w:rPr>
    <w:pPr>
      <w:shd w:val="clear" w:color="auto" w:fill="FFBEBF"/>
    </w:pPr>
  </w:style>
  <w:style w:type="character" w:customStyle="1" w:styleId="redoc-inlinecode-91">
    <w:name w:val="redoc-inlinecode-91"/>
    <w:basedOn w:val="BodyTextChar"/>
    <w:hidden/>
    <w:rPr>
      <w:shd w:val="clear" w:color="auto" w:fill="FFBEBF"/>
    </w:rPr>
    <w:pPr>
      <w:shd w:val="clear" w:color="auto" w:fill="FFBEBF"/>
    </w:pPr>
  </w:style>
  <w:style w:type="character" w:customStyle="1" w:styleId="redoc-inlinecode-92">
    <w:name w:val="redoc-inlinecode-92"/>
    <w:basedOn w:val="BodyTextChar"/>
    <w:hidden/>
    <w:rPr>
      <w:shd w:val="clear" w:color="auto" w:fill="FFBEBF"/>
    </w:rPr>
    <w:pPr>
      <w:shd w:val="clear" w:color="auto" w:fill="FFBEBF"/>
    </w:pPr>
  </w:style>
  <w:style w:type="character" w:customStyle="1" w:styleId="redoc-inlinecode-93">
    <w:name w:val="redoc-inlinecode-93"/>
    <w:basedOn w:val="BodyTextChar"/>
    <w:hidden/>
    <w:rPr>
      <w:shd w:val="clear" w:color="auto" w:fill="FFBEBF"/>
    </w:rPr>
    <w:pPr>
      <w:shd w:val="clear" w:color="auto" w:fill="FFBEBF"/>
    </w:pPr>
  </w:style>
  <w:style w:type="character" w:customStyle="1" w:styleId="redoc-inlinecode-94">
    <w:name w:val="redoc-inlinecode-94"/>
    <w:basedOn w:val="BodyTextChar"/>
    <w:hidden/>
    <w:rPr>
      <w:shd w:val="clear" w:color="auto" w:fill="FFBEBF"/>
    </w:rPr>
    <w:pPr>
      <w:shd w:val="clear" w:color="auto" w:fill="FFBEBF"/>
    </w:pPr>
  </w:style>
  <w:style w:type="character" w:customStyle="1" w:styleId="redoc-inlinecode-95">
    <w:name w:val="redoc-inlinecode-95"/>
    <w:basedOn w:val="BodyTextChar"/>
    <w:hidden/>
    <w:rPr>
      <w:shd w:val="clear" w:color="auto" w:fill="FFBEBF"/>
    </w:rPr>
    <w:pPr>
      <w:shd w:val="clear" w:color="auto" w:fill="FFBEBF"/>
    </w:pPr>
  </w:style>
  <w:style w:type="character" w:customStyle="1" w:styleId="redoc-inlinecode-96">
    <w:name w:val="redoc-inlinecode-96"/>
    <w:basedOn w:val="BodyTextChar"/>
    <w:hidden/>
    <w:rPr>
      <w:shd w:val="clear" w:color="auto" w:fill="FFBEBF"/>
    </w:rPr>
    <w:pPr>
      <w:shd w:val="clear" w:color="auto" w:fill="FFBEBF"/>
    </w:pPr>
  </w:style>
  <w:style w:type="character" w:customStyle="1" w:styleId="redoc-inlinecode-97">
    <w:name w:val="redoc-inlinecode-97"/>
    <w:basedOn w:val="BodyTextChar"/>
    <w:hidden/>
    <w:rPr>
      <w:shd w:val="clear" w:color="auto" w:fill="FFBEBF"/>
    </w:rPr>
    <w:pPr>
      <w:shd w:val="clear" w:color="auto" w:fill="FFBEBF"/>
    </w:pPr>
  </w:style>
  <w:style w:type="character" w:customStyle="1" w:styleId="redoc-inlinecode-98">
    <w:name w:val="redoc-inlinecode-98"/>
    <w:basedOn w:val="BodyTextChar"/>
    <w:hidden/>
    <w:rPr>
      <w:shd w:val="clear" w:color="auto" w:fill="FFBEBF"/>
    </w:rPr>
    <w:pPr>
      <w:shd w:val="clear" w:color="auto" w:fill="FFBEBF"/>
    </w:pPr>
  </w:style>
  <w:style w:type="character" w:customStyle="1" w:styleId="redoc-inlinecode-99">
    <w:name w:val="redoc-inlinecode-99"/>
    <w:basedOn w:val="BodyTextChar"/>
    <w:hidden/>
    <w:rPr>
      <w:shd w:val="clear" w:color="auto" w:fill="FFBEBF"/>
    </w:rPr>
    <w:pPr>
      <w:shd w:val="clear" w:color="auto" w:fill="FFBEBF"/>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6" Type="http://schemas.openxmlformats.org/officeDocument/2006/relationships/image" Target="media/rId96.png"/><Relationship Id="rId124" Type="http://schemas.openxmlformats.org/officeDocument/2006/relationships/image" Target="media/rId124.png"/><Relationship Id="rId136" Type="http://schemas.openxmlformats.org/officeDocument/2006/relationships/image" Target="media/rId136.png"/><Relationship Id="rId153" Type="http://schemas.openxmlformats.org/officeDocument/2006/relationships/image" Target="media/rId153.png"/><Relationship Id="rId154" Type="http://schemas.openxmlformats.org/officeDocument/2006/relationships/Rmd" Target="../redoc/results-clinical.Rmd"/><Relationship Id="rId155" Type="http://schemas.openxmlformats.org/officeDocument/2006/relationships/md" Target="../redoc/results-clinical.knit.md"/><Relationship Id="rId156" Type="http://schemas.openxmlformats.org/officeDocument/2006/relationships/md" Target="../redoc/results-clinical.utf8.md"/><Relationship Id="rId157" Type="http://schemas.openxmlformats.org/officeDocument/2006/relationships/yml" Target="../redoc/results-clinical.codelist.yml"/><Relationship Id="rId158" Type="http://schemas.openxmlformats.org/officeDocument/2006/relationships/Rmd" Target="../redoc/results-clinical.preprocessed.Rmd"/><Relationship Id="rId159" Type="http://schemas.openxmlformats.org/officeDocument/2006/relationships/Rmd" Target="../redoc/results-clinical.roundtrip.Rmd"/><Relationship Id="rId160" Type="http://schemas.openxmlformats.org/officeDocument/2006/relationships/yml" Target="../redoc/results-clinical.diagnostics.y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Network changes after stroke – results of longitudinal SFB data</dc:title>
  <dc:creator>Eckhard Schlemm</dc:creator>
  <cp:keywords/>
  <dcterms:created xsi:type="dcterms:W3CDTF">2019-07-05T13:35:46Z</dcterms:created>
  <dcterms:modified xsi:type="dcterms:W3CDTF">2019-07-05T15:35:48Z</dcterms:modified>
  <cp:lastModifiedBy>eckhard</cp:lastModifiedBy>
</cp:coreProperties>
</file>