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问卷修订过程报告（模板）</w:t>
      </w:r>
    </w:p>
    <w:p>
      <w:pPr>
        <w:jc w:val="center"/>
      </w:pPr>
      <w:r>
        <w:rPr>
          <w:i/>
        </w:rPr>
        <w:t>AI硅样本预调研 → 真人预测试 → 正式验证</w:t>
      </w:r>
    </w:p>
    <w:p>
      <w:pPr>
        <w:pStyle w:val="Heading1"/>
      </w:pPr>
      <w:r>
        <w:t>一、研究目的与问卷开发背景</w:t>
      </w:r>
    </w:p>
    <w:p>
      <w:pPr>
        <w:spacing w:line="360" w:lineRule="auto"/>
        <w:ind w:firstLine="420"/>
      </w:pPr>
      <w:r>
        <w:t>【填写研究主题、目标人群、量表用途，以及为什么需要开发/修订该问卷。】</w:t>
      </w:r>
    </w:p>
    <w:p>
      <w:pPr>
        <w:spacing w:line="360" w:lineRule="auto"/>
        <w:ind w:firstLine="420"/>
      </w:pPr>
      <w:r>
        <w:t>【明确区分：哪些内容来自理论/文献，哪些来自研究者决策，哪些来自AI硅样本模拟。】</w:t>
      </w:r>
    </w:p>
    <w:p>
      <w:pPr>
        <w:pStyle w:val="Heading1"/>
      </w:pPr>
      <w:r>
        <w:t>二、理论框架与初始测量结构</w:t>
      </w:r>
    </w:p>
    <w:p>
      <w:pPr>
        <w:spacing w:line="360" w:lineRule="auto"/>
        <w:ind w:firstLine="420"/>
      </w:pPr>
      <w:r>
        <w:t>【填写一级构念、维度定义、可能的高阶结构与理论依据。】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构念/维度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定义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题数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题项范围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理论来源</w:t>
            </w:r>
          </w:p>
        </w:tc>
      </w:tr>
      <w:tr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  <w:tr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  <w:tr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</w:tbl>
    <w:p/>
    <w:p>
      <w:pPr>
        <w:pStyle w:val="Heading1"/>
      </w:pPr>
      <w:r>
        <w:t>三、初始题项审查与内容效度</w:t>
      </w:r>
    </w:p>
    <w:p>
      <w:pPr>
        <w:spacing w:line="360" w:lineRule="auto"/>
        <w:ind w:firstLine="420"/>
      </w:pPr>
      <w:r>
        <w:t>【记录双重表述、抽象措辞、维度边界、跨专业/跨群体适用性、是否存在“未接触/无法判断”等。】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题号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主要问题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修改建议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处理决定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1605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  <w:tr>
        <w:tc>
          <w:tcPr>
            <w:tcW w:type="dxa" w:w="1605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  <w:tr>
        <w:tc>
          <w:tcPr>
            <w:tcW w:type="dxa" w:w="1605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  <w:tr>
        <w:tc>
          <w:tcPr>
            <w:tcW w:type="dxa" w:w="1605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605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</w:tbl>
    <w:p/>
    <w:p>
      <w:pPr>
        <w:pStyle w:val="Heading1"/>
      </w:pPr>
      <w:r>
        <w:t>四、第一轮硅样本设计</w:t>
      </w:r>
    </w:p>
    <w:p>
      <w:pPr>
        <w:spacing w:line="360" w:lineRule="auto"/>
        <w:ind w:firstLine="420"/>
      </w:pPr>
      <w:r>
        <w:t>【必须标注：本轮数据为AI/硅样本，仅用于预预测试和压力测试，不是人类实证数据。】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81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设定</w:t>
            </w:r>
          </w:p>
        </w:tc>
      </w:tr>
      <w:tr>
        <w:tc>
          <w:tcPr>
            <w:tcW w:type="dxa" w:w="481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481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  <w:tr>
        <w:tc>
          <w:tcPr>
            <w:tcW w:type="dxa" w:w="481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481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  <w:tr>
        <w:tc>
          <w:tcPr>
            <w:tcW w:type="dxa" w:w="481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481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  <w:tr>
        <w:tc>
          <w:tcPr>
            <w:tcW w:type="dxa" w:w="481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481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  <w:tr>
        <w:tc>
          <w:tcPr>
            <w:tcW w:type="dxa" w:w="481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481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  <w:tr>
        <w:tc>
          <w:tcPr>
            <w:tcW w:type="dxa" w:w="481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481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</w:tbl>
    <w:p/>
    <w:p>
      <w:pPr>
        <w:spacing w:line="360" w:lineRule="auto"/>
        <w:ind w:firstLine="420"/>
      </w:pPr>
      <w:r>
        <w:t>【至少记录样本量、分层变量、比例、随机种子、潜在相关、题项噪声、缺失/未接触规则。】</w:t>
      </w:r>
    </w:p>
    <w:p>
      <w:pPr>
        <w:pStyle w:val="Heading1"/>
      </w:pPr>
      <w:r>
        <w:t>五、第一轮项目分析</w:t>
      </w:r>
    </w:p>
    <w:p>
      <w:pPr>
        <w:spacing w:line="360" w:lineRule="auto"/>
        <w:ind w:firstLine="420"/>
      </w:pPr>
      <w:r>
        <w:t>【项目描述统计可按题使用各自有效N；CITC、删题后α等的样本口径需明确。】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4"/>
      </w:tblGrid>
      <w:tr>
        <w:tc>
          <w:tcPr>
            <w:tcW w:type="dxa" w:w="12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题号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有效N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缺失率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均值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SD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CITC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删题后α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初步判断</w:t>
            </w:r>
          </w:p>
        </w:tc>
      </w:tr>
      <w:tr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  <w:tr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  <w:tr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  <w:tr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</w:tbl>
    <w:p/>
    <w:p>
      <w:pPr>
        <w:pStyle w:val="Heading1"/>
      </w:pPr>
      <w:r>
        <w:t>六、探索性因子分析</w:t>
      </w:r>
    </w:p>
    <w:p>
      <w:pPr>
        <w:spacing w:line="360" w:lineRule="auto"/>
        <w:ind w:firstLine="420"/>
      </w:pPr>
      <w:r>
        <w:t>【报告完整案例N、KMO、Bartlett、平行分析、PAF+Oblimin EFA、主载荷/交叉载荷/共同度。】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3211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结果</w:t>
            </w:r>
          </w:p>
        </w:tc>
        <w:tc>
          <w:tcPr>
            <w:tcW w:type="dxa" w:w="3211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判断</w:t>
            </w:r>
          </w:p>
        </w:tc>
      </w:tr>
      <w:tr>
        <w:tc>
          <w:tcPr>
            <w:tcW w:type="dxa" w:w="3211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3211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3211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  <w:tr>
        <w:tc>
          <w:tcPr>
            <w:tcW w:type="dxa" w:w="3211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3211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3211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  <w:tr>
        <w:tc>
          <w:tcPr>
            <w:tcW w:type="dxa" w:w="3211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3211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3211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  <w:tr>
        <w:tc>
          <w:tcPr>
            <w:tcW w:type="dxa" w:w="3211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3211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3211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  <w:tr>
        <w:tc>
          <w:tcPr>
            <w:tcW w:type="dxa" w:w="3211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3211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3211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</w:tbl>
    <w:p/>
    <w:p>
      <w:pPr>
        <w:pStyle w:val="Heading1"/>
      </w:pPr>
      <w:r>
        <w:t>七、验证性因子分析与结构比较</w:t>
      </w:r>
    </w:p>
    <w:p>
      <w:pPr>
        <w:spacing w:line="360" w:lineRule="auto"/>
        <w:ind w:firstLine="420"/>
      </w:pPr>
      <w:r>
        <w:t>【比较至少：单因子模型、理论相关一阶模型、理论合理的层级模型。】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</w:tblGrid>
      <w:tr>
        <w:tc>
          <w:tcPr>
            <w:tcW w:type="dxa" w:w="1070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模型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χ²/df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RMSEA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CFI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TLI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SRMR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AIC/BIC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  <w:tr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  <w:tr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</w:tbl>
    <w:p/>
    <w:p>
      <w:pPr>
        <w:pStyle w:val="Heading1"/>
      </w:pPr>
      <w:r>
        <w:t>八、信度、聚合效度与区分效度</w:t>
      </w:r>
    </w:p>
    <w:p>
      <w:pPr>
        <w:spacing w:line="360" w:lineRule="auto"/>
        <w:ind w:firstLine="420"/>
      </w:pPr>
      <w:r>
        <w:t>【同一验证样本计算α、ω、CR、AVE、Fornell–Larcker和HTMT。不要机械以AVE&lt;.50删题。】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</w:tblGrid>
      <w:tr>
        <w:tc>
          <w:tcPr>
            <w:tcW w:type="dxa" w:w="1070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构念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α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ω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CR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AVE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√AVE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最低载荷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HTMT风险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判断</w:t>
            </w:r>
          </w:p>
        </w:tc>
      </w:tr>
      <w:tr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  <w:tr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  <w:tr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  <w:tr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070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</w:tbl>
    <w:p/>
    <w:p>
      <w:pPr>
        <w:pStyle w:val="Heading1"/>
      </w:pPr>
      <w:r>
        <w:t>九、题项迭代与版本比较</w:t>
      </w:r>
    </w:p>
    <w:p>
      <w:pPr>
        <w:spacing w:line="360" w:lineRule="auto"/>
        <w:ind w:firstLine="420"/>
      </w:pPr>
      <w:r>
        <w:t>【每个删改决定同时给出统计证据、理论依据和内容效度理由。】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4"/>
        <w:gridCol w:w="1204"/>
        <w:gridCol w:w="1204"/>
        <w:gridCol w:w="1204"/>
        <w:gridCol w:w="1204"/>
        <w:gridCol w:w="1204"/>
        <w:gridCol w:w="1204"/>
        <w:gridCol w:w="1204"/>
      </w:tblGrid>
      <w:tr>
        <w:tc>
          <w:tcPr>
            <w:tcW w:type="dxa" w:w="12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版本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题数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PA因子数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CFI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RMSEA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HTMTmax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内容覆盖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  <w:tr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  <w:tr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  <w:tr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204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题号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决定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统计证据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理论/内容理由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修改后文本</w:t>
            </w:r>
          </w:p>
        </w:tc>
      </w:tr>
      <w:tr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  <w:tr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  <w:tr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  <w:tr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</w:tbl>
    <w:p/>
    <w:p>
      <w:pPr>
        <w:pStyle w:val="Heading1"/>
      </w:pPr>
      <w:r>
        <w:t>十、第二轮独立硅样本复核</w:t>
      </w:r>
    </w:p>
    <w:p>
      <w:pPr>
        <w:spacing w:line="360" w:lineRule="auto"/>
        <w:ind w:firstLine="420"/>
      </w:pPr>
      <w:r>
        <w:t>【第二轮使用独立响应生成种子；若比较多个问卷版本，保持同一固定EFA/CFA分组。】</w:t>
      </w:r>
    </w:p>
    <w:p>
      <w:pPr>
        <w:spacing w:line="360" w:lineRule="auto"/>
        <w:ind w:firstLine="420"/>
      </w:pPr>
      <w:r>
        <w:t>【填写第二轮结果，以及相较第一轮哪些问题改善、哪些仍需真人复核。】</w:t>
      </w:r>
    </w:p>
    <w:p>
      <w:pPr>
        <w:pStyle w:val="Heading1"/>
      </w:pPr>
      <w:r>
        <w:t>十一、共同方法偏差方案</w:t>
      </w:r>
    </w:p>
    <w:p>
      <w:pPr>
        <w:spacing w:line="360" w:lineRule="auto"/>
        <w:ind w:firstLine="420"/>
      </w:pPr>
      <w:r>
        <w:t>【如果不同硅样本不是同一批受访者，不得拼接后宣称完成联合CMB检验。真人数据阶段再对同源题项做Harman与单因子CFA。】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检验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当前硅样本结果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真人阶段计划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  <w:tr>
        <w:tc>
          <w:tcPr>
            <w:tcW w:type="dxa" w:w="2408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2408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</w:tbl>
    <w:p/>
    <w:p>
      <w:pPr>
        <w:pStyle w:val="Heading1"/>
      </w:pPr>
      <w:r>
        <w:t>十二、外部效标/法则效度方案</w:t>
      </w:r>
    </w:p>
    <w:p>
      <w:pPr>
        <w:spacing w:line="360" w:lineRule="auto"/>
        <w:ind w:firstLine="420"/>
      </w:pPr>
      <w:r>
        <w:t>【记录效标来源、翻译/回译、计分规则、与主量表的Pearson r/95%CI或潜变量相关。横断面同期测量不称预测效度。】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37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效标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题数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计分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样本N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r/β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95%CI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判断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  <w:tr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37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</w:tbl>
    <w:p/>
    <w:p>
      <w:pPr>
        <w:pStyle w:val="Heading1"/>
      </w:pPr>
      <w:r>
        <w:t>十三、完整案例与缺失数据处理</w:t>
      </w:r>
    </w:p>
    <w:p>
      <w:pPr>
        <w:spacing w:line="360" w:lineRule="auto"/>
        <w:ind w:firstLine="420"/>
      </w:pPr>
      <w:r>
        <w:t>【明确0、空白、“未接触/无法判断”的编码与处理。报告候选N、完整案例N、保留率。】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候选N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完整案例N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保留率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分析用途</w:t>
            </w:r>
          </w:p>
        </w:tc>
      </w:tr>
      <w:tr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  <w:tr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  <w:tr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  <w:tr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</w:tbl>
    <w:p/>
    <w:p>
      <w:pPr>
        <w:pStyle w:val="Heading1"/>
      </w:pPr>
      <w:r>
        <w:t>十四、认知访谈与真人预测试计划</w:t>
      </w:r>
    </w:p>
    <w:p>
      <w:pPr>
        <w:spacing w:line="360" w:lineRule="auto"/>
        <w:ind w:firstLine="420"/>
      </w:pPr>
      <w:r>
        <w:t>【建议覆盖不同专业/年级/经历的5—15人，逐题检查理解、回忆依据、量尺理解与跨群体适用性。】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对象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样本量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重点问题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输出</w:t>
            </w:r>
          </w:p>
        </w:tc>
      </w:tr>
      <w:tr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  <w:tr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  <w:tr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  <w:tc>
          <w:tcPr>
            <w:tcW w:type="dxa" w:w="1926"/>
            <w:vAlign w:val="center"/>
          </w:tcPr>
          <w:p>
            <w:pPr>
              <w:jc w:val="center"/>
            </w:pPr>
            <w:r>
              <w:rPr>
                <w:sz w:val="18"/>
              </w:rPr>
              <w:t>【待填】</w:t>
            </w:r>
          </w:p>
        </w:tc>
      </w:tr>
    </w:tbl>
    <w:p/>
    <w:p>
      <w:pPr>
        <w:pStyle w:val="Heading1"/>
      </w:pPr>
      <w:r>
        <w:t>十五、真人数据回收后的预留分析文本</w:t>
      </w:r>
    </w:p>
    <w:p>
      <w:pPr>
        <w:spacing w:line="360" w:lineRule="auto"/>
        <w:ind w:firstLine="420"/>
      </w:pPr>
      <w:r>
        <w:t>【示例：本研究共回收问卷N=___，剔除___后获得基本有效样本N=___。项目分析使用各题有效作答；探索组中35题完整案例N=___，验证组完整案例N=___。】</w:t>
      </w:r>
    </w:p>
    <w:p>
      <w:pPr>
        <w:spacing w:line="360" w:lineRule="auto"/>
        <w:ind w:firstLine="420"/>
      </w:pPr>
      <w:r>
        <w:t>【示例：平行分析建议保留___个因子；理论预设___因子EFA的主要载荷范围为___—___。方案A CFA：χ²/df=___，RMSEA=___，CFI=___，TLI=___，SRMR=___。】</w:t>
      </w:r>
    </w:p>
    <w:p>
      <w:pPr>
        <w:spacing w:line="360" w:lineRule="auto"/>
        <w:ind w:firstLine="420"/>
      </w:pPr>
      <w:r>
        <w:t>【示例：各维度α=___—___，ω=___—___，CR=___—___，AVE=___—___，最大HTMT=___。】</w:t>
      </w:r>
    </w:p>
    <w:p>
      <w:pPr>
        <w:spacing w:line="360" w:lineRule="auto"/>
        <w:ind w:firstLine="420"/>
      </w:pPr>
      <w:r>
        <w:t>【示例：新量表与外部效标的同期相关r=___，95%CI [___, ___]，p=___。】</w:t>
      </w:r>
    </w:p>
    <w:p>
      <w:pPr>
        <w:pStyle w:val="Heading1"/>
      </w:pPr>
      <w:r>
        <w:t>十六、最终结论与局限</w:t>
      </w:r>
    </w:p>
    <w:p>
      <w:pPr>
        <w:spacing w:line="360" w:lineRule="auto"/>
        <w:ind w:firstLine="420"/>
      </w:pPr>
      <w:r>
        <w:t>【分别总结：硅样本阶段支持的结论、真人数据支持的结论、尚未解决的问题。】</w:t>
      </w:r>
    </w:p>
    <w:p>
      <w:pPr>
        <w:spacing w:line="360" w:lineRule="auto"/>
        <w:ind w:firstLine="420"/>
      </w:pPr>
      <w:r>
        <w:t>【不得将AI模拟被试表述为真实参与者。】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