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B247" w14:textId="64C31851" w:rsidR="00AD18AD" w:rsidRPr="00AD18AD" w:rsidRDefault="00AD18AD" w:rsidP="00AD18AD">
      <w:pPr>
        <w:spacing w:before="360"/>
        <w:jc w:val="center"/>
        <w:rPr>
          <w:b/>
          <w:bCs/>
          <w:sz w:val="30"/>
          <w:szCs w:val="30"/>
        </w:rPr>
      </w:pPr>
      <w:r w:rsidRPr="00AD18AD">
        <w:rPr>
          <w:b/>
          <w:bCs/>
          <w:sz w:val="30"/>
          <w:szCs w:val="30"/>
        </w:rPr>
        <w:t>Descoberta do Domínio, Linguagem Ubíqua e Subdomínios</w:t>
      </w:r>
    </w:p>
    <w:p w14:paraId="195546F4" w14:textId="77777777" w:rsidR="00AD18AD" w:rsidRPr="00AD18AD" w:rsidRDefault="00AD18AD" w:rsidP="00AD18AD">
      <w:pPr>
        <w:rPr>
          <w:b/>
          <w:bCs/>
        </w:rPr>
      </w:pPr>
      <w:r>
        <w:rPr>
          <w:b/>
          <w:bCs/>
        </w:rPr>
        <w:t xml:space="preserve">Projeto: OrientaTCC</w:t>
      </w:r>
    </w:p>
    <w:p w14:paraId="62CD0B3C" w14:textId="77777777" w:rsidR="00AD18AD" w:rsidRPr="00AD18AD" w:rsidRDefault="00AD18AD" w:rsidP="00AD18AD">
      <w:pPr>
        <w:rPr>
          <w:b/>
          <w:bCs/>
        </w:rPr>
      </w:pPr>
      <w:r>
        <w:rPr>
          <w:b/>
          <w:bCs/>
        </w:rPr>
        <w:t xml:space="preserve">Integrantes: Edson Pedreira de Oliveira Júnior; Henrique Bassan Rebechi; Matheo Campanelli de Aquino Esteves</w:t>
      </w:r>
    </w:p>
    <w:p w14:paraId="6F34F069" w14:textId="72A06F2B" w:rsidR="00AD18AD" w:rsidRPr="00AD18AD" w:rsidRDefault="00AD18AD" w:rsidP="00AD18AD">
      <w:pPr>
        <w:rPr>
          <w:b/>
          <w:bCs/>
          <w:sz w:val="10"/>
          <w:szCs w:val="10"/>
        </w:rPr>
      </w:pPr>
    </w:p>
    <w:p w14:paraId="5CF7D066" w14:textId="77777777" w:rsidR="00AD18AD" w:rsidRPr="00AD18AD" w:rsidRDefault="00AD18AD" w:rsidP="00AD18AD">
      <w:pPr>
        <w:rPr>
          <w:rFonts w:ascii="Arial" w:hAnsi="Arial" w:cs="Arial"/>
          <w:b/>
          <w:bCs/>
        </w:rPr>
      </w:pPr>
      <w:r w:rsidRPr="00AD18AD">
        <w:rPr>
          <w:rFonts w:ascii="Arial" w:hAnsi="Arial" w:cs="Arial"/>
          <w:b/>
          <w:bCs/>
        </w:rPr>
        <w:t>1. Identificação do domínio</w:t>
      </w:r>
    </w:p>
    <w:p w14:paraId="44CF4A47" w14:textId="77777777" w:rsidR="00AD18AD" w:rsidRPr="00AD18AD" w:rsidRDefault="00AD18AD" w:rsidP="00AD18AD">
      <w:pPr>
        <w:spacing w:line="240" w:lineRule="auto"/>
        <w:rPr>
          <w:rFonts w:ascii="Arial" w:hAnsi="Arial" w:cs="Arial"/>
        </w:rPr>
      </w:pPr>
      <w:r w:rsidRPr="00AD18AD">
        <w:rPr>
          <w:rFonts w:ascii="Arial" w:hAnsi="Arial" w:cs="Arial"/>
          <w:highlight w:val="yellow"/>
        </w:rPr>
        <w:t>Informe o domínio do projeto e descreva brevemente a área de negócio que o sistema pretende compreender e apoiar.</w:t>
      </w:r>
    </w:p>
    <w:p w14:paraId="21A13AD8" w14:textId="77777777" w:rsidR="00AD18AD" w:rsidRDefault="00AD18AD" w:rsidP="00AD18A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Gestão acadêmica da orientação de Trabalhos de Conclusão de Curso. O OrientaTCC apoia aluno e orientador desde a proposta de tema até o resultado final, reunindo orientação, cronograma, entregas versionadas, avaliação e reuniões. O valor principal é tornar o acompanhamento rastreável, com histórico de versões e pareceres. O escopo segue a revisão do Lab 3: o orientador responde à proposta e registra o resultado final; bancas, coordenação e notificações não integram este recorte.</w:t>
      </w:r>
    </w:p>
    <w:p w14:paraId="748D7266" w14:textId="22BF580A" w:rsidR="00AD18AD" w:rsidRPr="00AD18AD" w:rsidRDefault="00AD18AD" w:rsidP="00AD18AD">
      <w:pPr>
        <w:rPr>
          <w:rFonts w:ascii="Arial" w:hAnsi="Arial" w:cs="Arial"/>
          <w:b/>
          <w:bCs/>
        </w:rPr>
        <w:pageBreakBefore/>
      </w:pPr>
      <w:r w:rsidRPr="00AD18AD">
        <w:rPr>
          <w:rFonts w:ascii="Arial" w:hAnsi="Arial" w:cs="Arial"/>
          <w:b/>
          <w:bCs/>
        </w:rPr>
        <w:t>2. Identificação dos subdomínios</w:t>
      </w:r>
    </w:p>
    <w:p w14:paraId="716AB700" w14:textId="77777777" w:rsidR="00AD18AD" w:rsidRDefault="00AD18AD" w:rsidP="00AD18AD">
      <w:pPr>
        <w:spacing w:line="240" w:lineRule="auto"/>
        <w:rPr>
          <w:rFonts w:ascii="Arial" w:hAnsi="Arial" w:cs="Arial"/>
        </w:rPr>
      </w:pPr>
      <w:r w:rsidRPr="00AD18AD">
        <w:rPr>
          <w:rFonts w:ascii="Arial" w:hAnsi="Arial" w:cs="Arial"/>
        </w:rPr>
        <w:t>Identifique as grandes áreas de negócio que precisam existir para que o negócio funcione.</w:t>
      </w:r>
    </w:p>
    <w:p w14:paraId="73316FD4" w14:textId="77777777" w:rsidR="00AD18AD" w:rsidRDefault="00AD18AD" w:rsidP="00AD18A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Os subdomínios são áreas de negócio. Um subdomínio pode reunir mais de um componente: Entregas e Feedback atendem conjuntamente à área de entregas e avaliação, com responsabilidades próprias.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4155"/>
      </w:tblGrid>
      <w:tr w:rsidR="00AD18AD" w14:paraId="785E59E0" w14:textId="77777777" w:rsidTr="00AD18AD">
        <w:trPr>
          <w:jc w:val="center"/>
          <w:cantSplit/>
          <w:tblHeader/>
        </w:trPr>
        <w:tc>
          <w:tcPr>
            <w:tcW w:w="2263" w:type="dxa"/>
          </w:tcPr>
          <w:p w14:paraId="3EB3AB7F" w14:textId="6C0BAF78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Subdomínio</w:t>
            </w:r>
          </w:p>
        </w:tc>
        <w:tc>
          <w:tcPr>
            <w:tcW w:w="4155" w:type="dxa"/>
          </w:tcPr>
          <w:p w14:paraId="0DC6F9A3" w14:textId="005F0F5E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Responsabilidades</w:t>
            </w:r>
          </w:p>
        </w:tc>
      </w:tr>
      <w:tr w:rsidR="00AD18AD" w14:paraId="2D8A8575" w14:textId="77777777" w:rsidTr="00AD18AD">
        <w:trPr>
          <w:jc w:val="center"/>
          <w:cantSplit/>
        </w:trPr>
        <w:tc>
          <w:tcPr>
            <w:tcW w:w="2263" w:type="dxa"/>
          </w:tcPr>
          <w:p w14:paraId="56AADC9C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Propostas e aceite da orientação</w:t>
            </w:r>
          </w:p>
        </w:tc>
        <w:tc>
          <w:tcPr>
            <w:tcW w:w="4155" w:type="dxa"/>
          </w:tcPr>
          <w:p w14:paraId="73DE3EC9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Submeter e responder propostas; validar tema e objetivos; aplicar limite de orientandos antes do aceite.</w:t>
            </w:r>
          </w:p>
        </w:tc>
      </w:tr>
      <w:tr w:rsidR="00AD18AD" w14:paraId="35631BD2" w14:textId="77777777" w:rsidTr="00AD18AD">
        <w:trPr>
          <w:jc w:val="center"/>
          <w:cantSplit/>
        </w:trPr>
        <w:tc>
          <w:tcPr>
            <w:tcW w:w="2263" w:type="dxa"/>
          </w:tcPr>
          <w:p w14:paraId="362E9599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Acompanhamento e conclusão do TCC</w:t>
            </w:r>
          </w:p>
        </w:tc>
        <w:tc>
          <w:tcPr>
            <w:tcW w:w="4155" w:type="dxa"/>
          </w:tcPr>
          <w:p w14:paraId="342DDBFC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Manter o trabalho e o vínculo aluno–orientador; acompanhar andamento; verificar condições de conclusão e registrar resultado final.</w:t>
            </w:r>
          </w:p>
        </w:tc>
      </w:tr>
      <w:tr w:rsidR="00AD18AD" w14:paraId="11CDE128" w14:textId="77777777" w:rsidTr="00AD18AD">
        <w:trPr>
          <w:jc w:val="center"/>
          <w:cantSplit/>
        </w:trPr>
        <w:tc>
          <w:tcPr>
            <w:tcW w:w="2263" w:type="dxa"/>
          </w:tcPr>
          <w:p w14:paraId="362F240D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Entregas e avaliação</w:t>
            </w:r>
          </w:p>
        </w:tc>
        <w:tc>
          <w:tcPr>
            <w:tcW w:w="4155" w:type="dxa"/>
          </w:tcPr>
          <w:p w14:paraId="4986DB9E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Preservar versões; registrar parecer e comentários; controlar situação da entrega e leitura do feedback.</w:t>
            </w:r>
          </w:p>
        </w:tc>
      </w:tr>
      <w:tr w:rsidR="00AD18AD" w14:paraId="1FEA6C1E" w14:textId="77777777" w:rsidTr="00AD18AD">
        <w:trPr>
          <w:jc w:val="center"/>
          <w:cantSplit/>
        </w:trPr>
        <w:tc>
          <w:tcPr>
            <w:tcW w:w="2263" w:type="dxa"/>
          </w:tcPr>
          <w:p w14:paraId="22437108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Planejamento e controle de prazos</w:t>
            </w:r>
          </w:p>
        </w:tc>
        <w:tc>
          <w:tcPr>
            <w:tcW w:w="4155" w:type="dxa"/>
          </w:tcPr>
          <w:p w14:paraId="10540DE9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Definir e publicar cronograma; manter etapas e prazos; identificar etapas vencidas e preservar alterações de prazo.</w:t>
            </w:r>
          </w:p>
        </w:tc>
      </w:tr>
      <w:tr w:rsidR="00AD18AD" w14:paraId="2D8A8575" w14:textId="77777777" w:rsidTr="00AD18AD">
        <w:trPr>
          <w:jc w:val="center"/>
          <w:cantSplit/>
        </w:trPr>
        <w:tc>
          <w:tcPr>
            <w:tcW w:w="2263" w:type="dxa"/>
          </w:tcPr>
          <w:p w14:paraId="56AADC9C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Reuniões de orientação</w:t>
            </w:r>
          </w:p>
        </w:tc>
        <w:tc>
          <w:tcPr>
            <w:tcW w:w="4155" w:type="dxa"/>
          </w:tcPr>
          <w:p w14:paraId="73DE3EC9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Manter disponibilidade; solicitar, confirmar, recusar e cancelar reuniões; verificar conflitos de horário.</w:t>
            </w:r>
          </w:p>
        </w:tc>
      </w:tr>
      <w:tr w:rsidR="00AD18AD" w14:paraId="2D8A8575" w14:textId="77777777" w:rsidTr="00AD18AD">
        <w:trPr>
          <w:jc w:val="center"/>
          <w:cantSplit/>
        </w:trPr>
        <w:tc>
          <w:tcPr>
            <w:tcW w:w="2263" w:type="dxa"/>
          </w:tcPr>
          <w:p w14:paraId="56AADC9C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Cadastro acadêmico</w:t>
            </w:r>
          </w:p>
        </w:tc>
        <w:tc>
          <w:tcPr>
            <w:tcW w:w="4155" w:type="dxa"/>
          </w:tcPr>
          <w:p w14:paraId="73DE3EC9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Manter dados de alunos e orientadores, curso e área de pesquisa; validar e-mail institucional e dados necessários à participação.</w:t>
            </w:r>
          </w:p>
        </w:tc>
      </w:tr>
      <w:tr w:rsidR="00AD18AD" w14:paraId="2D8A8575" w14:textId="77777777" w:rsidTr="00AD18AD">
        <w:trPr>
          <w:jc w:val="center"/>
          <w:cantSplit/>
        </w:trPr>
        <w:tc>
          <w:tcPr>
            <w:tcW w:w="2263" w:type="dxa"/>
          </w:tcPr>
          <w:p w14:paraId="56AADC9C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Identidade e acesso</w:t>
            </w:r>
          </w:p>
        </w:tc>
        <w:tc>
          <w:tcPr>
            <w:tcW w:w="4155" w:type="dxa"/>
          </w:tcPr>
          <w:p w14:paraId="73DE3EC9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Gerenciar credenciais, autenticação e sessões; aplicar o acesso por perfil na fronteira da aplicação.</w:t>
            </w:r>
          </w:p>
        </w:tc>
      </w:tr>
    </w:tbl>
    <w:p w14:paraId="5DA838B6" w14:textId="77777777" w:rsidR="00AD18AD" w:rsidRPr="00AD18AD" w:rsidRDefault="00AD18AD" w:rsidP="00AD18AD">
      <w:pPr>
        <w:spacing w:line="240" w:lineRule="auto"/>
        <w:rPr>
          <w:rFonts w:ascii="Arial" w:hAnsi="Arial" w:cs="Arial"/>
        </w:rPr>
      </w:pPr>
    </w:p>
    <w:p w14:paraId="011B5513" w14:textId="77777777" w:rsidR="00AD18AD" w:rsidRPr="00AD18AD" w:rsidRDefault="00AD18AD" w:rsidP="00AD18AD">
      <w:pPr>
        <w:rPr>
          <w:rFonts w:ascii="Arial" w:hAnsi="Arial" w:cs="Arial"/>
          <w:b/>
          <w:bCs/>
        </w:rPr>
        <w:pageBreakBefore/>
      </w:pPr>
      <w:r w:rsidRPr="00AD18AD">
        <w:rPr>
          <w:rFonts w:ascii="Arial" w:hAnsi="Arial" w:cs="Arial"/>
          <w:b/>
          <w:bCs/>
        </w:rPr>
        <w:t>3. Classificação dos subdomínios</w:t>
      </w:r>
    </w:p>
    <w:p w14:paraId="109B71E1" w14:textId="77777777" w:rsidR="00AD18AD" w:rsidRDefault="00AD18AD" w:rsidP="00AD18AD">
      <w:pPr>
        <w:rPr>
          <w:rFonts w:ascii="Arial" w:hAnsi="Arial" w:cs="Arial"/>
        </w:rPr>
      </w:pPr>
      <w:r w:rsidRPr="00AD18AD">
        <w:rPr>
          <w:rFonts w:ascii="Arial" w:hAnsi="Arial" w:cs="Arial"/>
        </w:rPr>
        <w:t>Classifique cada subdomínio como Core, Suporte ou Genérico.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813"/>
      </w:tblGrid>
      <w:tr w:rsidR="00AD18AD" w14:paraId="4DCC9831" w14:textId="77777777" w:rsidTr="00AD18AD">
        <w:trPr>
          <w:cantSplit/>
          <w:tblHeader/>
        </w:trPr>
        <w:tc>
          <w:tcPr>
            <w:tcW w:w="2122" w:type="dxa"/>
          </w:tcPr>
          <w:p w14:paraId="3C4113B9" w14:textId="521D2726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Subdomínio</w:t>
            </w:r>
          </w:p>
        </w:tc>
        <w:tc>
          <w:tcPr>
            <w:tcW w:w="2693" w:type="dxa"/>
          </w:tcPr>
          <w:p w14:paraId="279E83B7" w14:textId="568DB5DC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Classificação</w:t>
            </w:r>
          </w:p>
        </w:tc>
        <w:tc>
          <w:tcPr>
            <w:tcW w:w="4813" w:type="dxa"/>
          </w:tcPr>
          <w:p w14:paraId="072FBF5A" w14:textId="01066C91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Justificativa</w:t>
            </w:r>
          </w:p>
        </w:tc>
      </w:tr>
      <w:tr w:rsidR="00AD18AD" w14:paraId="4B27876B" w14:textId="77777777" w:rsidTr="00AD18AD">
        <w:trPr>
          <w:cantSplit/>
        </w:trPr>
        <w:tc>
          <w:tcPr>
            <w:tcW w:w="2122" w:type="dxa"/>
          </w:tcPr>
          <w:p w14:paraId="3CF767FE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Propostas e aceite da orientação</w:t>
            </w:r>
          </w:p>
        </w:tc>
        <w:tc>
          <w:tcPr>
            <w:tcW w:w="2693" w:type="dxa"/>
          </w:tcPr>
          <w:p w14:paraId="7A5D4D18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Core</w:t>
            </w:r>
          </w:p>
        </w:tc>
        <w:tc>
          <w:tcPr>
            <w:tcW w:w="4813" w:type="dxa"/>
          </w:tcPr>
          <w:p w14:paraId="6863790B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Formaliza o ingresso na orientação com regras próprias do TCC: proposta ativa, aceite e capacidade do professor. Essa decisão inicia o vínculo acadêmico que o produto acompanha.</w:t>
            </w:r>
          </w:p>
        </w:tc>
      </w:tr>
      <w:tr w:rsidR="00AD18AD" w14:paraId="5D1D6EEB" w14:textId="77777777" w:rsidTr="00AD18AD">
        <w:trPr>
          <w:cantSplit/>
        </w:trPr>
        <w:tc>
          <w:tcPr>
            <w:tcW w:w="2122" w:type="dxa"/>
          </w:tcPr>
          <w:p w14:paraId="4682E757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Acompanhamento e conclusão do TCC</w:t>
            </w:r>
          </w:p>
        </w:tc>
        <w:tc>
          <w:tcPr>
            <w:tcW w:w="2693" w:type="dxa"/>
          </w:tcPr>
          <w:p w14:paraId="26F1DBC9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Core</w:t>
            </w:r>
          </w:p>
        </w:tc>
        <w:tc>
          <w:tcPr>
            <w:tcW w:w="4813" w:type="dxa"/>
          </w:tcPr>
          <w:p w14:paraId="27896611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Representa o ciclo acadêmico que o OrientaTCC pretende centralizar. Vincula o acompanhamento à conclusão e às condições para registrar o resultado final.</w:t>
            </w:r>
          </w:p>
        </w:tc>
      </w:tr>
      <w:tr w:rsidR="00AD18AD" w14:paraId="1ED46CE0" w14:textId="77777777" w:rsidTr="00AD18AD">
        <w:trPr>
          <w:cantSplit/>
        </w:trPr>
        <w:tc>
          <w:tcPr>
            <w:tcW w:w="2122" w:type="dxa"/>
          </w:tcPr>
          <w:p w14:paraId="4D3517EB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Entregas e avaliação</w:t>
            </w:r>
          </w:p>
        </w:tc>
        <w:tc>
          <w:tcPr>
            <w:tcW w:w="2693" w:type="dxa"/>
          </w:tcPr>
          <w:p w14:paraId="08E37774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Core</w:t>
            </w:r>
          </w:p>
        </w:tc>
        <w:tc>
          <w:tcPr>
            <w:tcW w:w="4813" w:type="dxa"/>
          </w:tcPr>
          <w:p w14:paraId="196A51E5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rastreabilidade entre versão, parecer e nova revisão é central ao valor do produto. Evita perda de histórico e ambiguidades sobre o que foi entregue e avaliado.</w:t>
            </w:r>
          </w:p>
        </w:tc>
      </w:tr>
      <w:tr w:rsidR="00AD18AD" w14:paraId="302B10B0" w14:textId="77777777" w:rsidTr="00AD18AD">
        <w:trPr>
          <w:cantSplit/>
        </w:trPr>
        <w:tc>
          <w:tcPr>
            <w:tcW w:w="2122" w:type="dxa"/>
          </w:tcPr>
          <w:p w14:paraId="56618712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Planejamento e controle de prazos</w:t>
            </w:r>
          </w:p>
        </w:tc>
        <w:tc>
          <w:tcPr>
            <w:tcW w:w="2693" w:type="dxa"/>
          </w:tcPr>
          <w:p w14:paraId="76879221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Suporte</w:t>
            </w:r>
          </w:p>
        </w:tc>
        <w:tc>
          <w:tcPr>
            <w:tcW w:w="4813" w:type="dxa"/>
          </w:tcPr>
          <w:p w14:paraId="49FDFEF6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Adapta o planejamento ao trabalho e às etapas acadêmicas. Sustenta o acompanhamento, enquanto o foco de diferenciação adotado está no ciclo de orientação e na avaliação versionada.</w:t>
            </w:r>
          </w:p>
        </w:tc>
      </w:tr>
      <w:tr w:rsidR="00AD18AD" w14:paraId="33CAF5C7" w14:textId="77777777" w:rsidTr="00AD18AD">
        <w:trPr>
          <w:cantSplit/>
        </w:trPr>
        <w:tc>
          <w:tcPr>
            <w:tcW w:w="2122" w:type="dxa"/>
          </w:tcPr>
          <w:p w14:paraId="7F2C0A4C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Reuniões de orientação</w:t>
            </w:r>
          </w:p>
        </w:tc>
        <w:tc>
          <w:tcPr>
            <w:tcW w:w="2693" w:type="dxa"/>
          </w:tcPr>
          <w:p w14:paraId="5794080F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Suporte</w:t>
            </w:r>
          </w:p>
        </w:tc>
        <w:tc>
          <w:tcPr>
            <w:tcW w:w="4813" w:type="dxa"/>
          </w:tcPr>
          <w:p w14:paraId="65060A6D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organização dos encontros apoia a orientação e exige regras de participantes e disponibilidade. Não concentra o valor principal de acompanhamento e avaliação do TCC.</w:t>
            </w:r>
          </w:p>
        </w:tc>
      </w:tr>
      <w:tr w:rsidR="00AD18AD" w14:paraId="4B27876B" w14:textId="77777777" w:rsidTr="00AD18AD">
        <w:trPr>
          <w:cantSplit/>
        </w:trPr>
        <w:tc>
          <w:tcPr>
            <w:tcW w:w="2122" w:type="dxa"/>
          </w:tcPr>
          <w:p w14:paraId="3CF767FE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Cadastro acadêmico</w:t>
            </w:r>
          </w:p>
        </w:tc>
        <w:tc>
          <w:tcPr>
            <w:tcW w:w="2693" w:type="dxa"/>
          </w:tcPr>
          <w:p w14:paraId="7A5D4D18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Suporte</w:t>
            </w:r>
          </w:p>
        </w:tc>
        <w:tc>
          <w:tcPr>
            <w:tcW w:w="4813" w:type="dxa"/>
          </w:tcPr>
          <w:p w14:paraId="6863790B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Fornece dados e vínculos para as demais áreas, com adaptações ao ambiente acadêmico. O cadastro isolado não diferencia o produto, mas precisa atender ao contexto institucional.</w:t>
            </w:r>
          </w:p>
        </w:tc>
      </w:tr>
      <w:tr w:rsidR="00AD18AD" w14:paraId="4B27876B" w14:textId="77777777" w:rsidTr="00AD18AD">
        <w:trPr>
          <w:cantSplit/>
        </w:trPr>
        <w:tc>
          <w:tcPr>
            <w:tcW w:w="2122" w:type="dxa"/>
          </w:tcPr>
          <w:p w14:paraId="3CF767FE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Identidade e acesso</w:t>
            </w:r>
          </w:p>
        </w:tc>
        <w:tc>
          <w:tcPr>
            <w:tcW w:w="2693" w:type="dxa"/>
          </w:tcPr>
          <w:p w14:paraId="7A5D4D18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Genérico</w:t>
            </w:r>
          </w:p>
        </w:tc>
        <w:tc>
          <w:tcPr>
            <w:tcW w:w="4813" w:type="dxa"/>
          </w:tcPr>
          <w:p w14:paraId="6863790B" w14:textId="77777777" w:rsidR="00AD18AD" w:rsidRPr="00AD18AD" w:rsidRDefault="00AD18AD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Credenciais e sessões são necessidades comuns a muitos sistemas e podem ser atendidas com Better Auth. As regras de participação em um trabalho continuam nos subdomínios de negócio.</w:t>
            </w:r>
          </w:p>
        </w:tc>
      </w:tr>
    </w:tbl>
    <w:p w14:paraId="65DB9514" w14:textId="77777777" w:rsidR="00AD18AD" w:rsidRDefault="00AD18AD" w:rsidP="00AD18A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Core concentra o valor específico do produto; Suporte viabiliza esse valor com regras do contexto acadêmico; Genérico atende necessidades comuns a outros sistemas. A classificação depende da proposta de valor do OrientaTCC, e não da quantidade de código já implementada.</w:t>
      </w:r>
    </w:p>
    <w:p w14:paraId="4D4C47E3" w14:textId="5A14AA71" w:rsidR="00AD18AD" w:rsidRPr="00AD18AD" w:rsidRDefault="00AD18AD" w:rsidP="00AD18AD">
      <w:pPr>
        <w:rPr>
          <w:rFonts w:ascii="Arial" w:hAnsi="Arial" w:cs="Arial"/>
          <w:b/>
          <w:bCs/>
        </w:rPr>
        <w:pageBreakBefore/>
      </w:pPr>
      <w:r w:rsidRPr="00AD18AD">
        <w:rPr>
          <w:rFonts w:ascii="Arial" w:hAnsi="Arial" w:cs="Arial"/>
          <w:b/>
          <w:bCs/>
        </w:rPr>
        <w:t>4. Linguagem Ubíqua</w:t>
      </w:r>
    </w:p>
    <w:p w14:paraId="026EBD77" w14:textId="77777777" w:rsidR="00AD18AD" w:rsidRDefault="00AD18AD" w:rsidP="00AD18AD">
      <w:pPr>
        <w:rPr>
          <w:rFonts w:ascii="Arial" w:hAnsi="Arial" w:cs="Arial"/>
        </w:rPr>
      </w:pPr>
      <w:r w:rsidRPr="00AD18AD">
        <w:rPr>
          <w:rFonts w:ascii="Arial" w:hAnsi="Arial" w:cs="Arial"/>
        </w:rPr>
        <w:t>Identifique os principais termos e conceitos utilizados no domínio e estabeleça um significado comum para eles.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4104"/>
      </w:tblGrid>
      <w:tr w:rsidR="00AC744F" w14:paraId="01B5681C" w14:textId="77777777" w:rsidTr="00AC744F">
        <w:trPr>
          <w:cantSplit/>
          <w:tblHeader/>
        </w:trPr>
        <w:tc>
          <w:tcPr>
            <w:tcW w:w="1980" w:type="dxa"/>
          </w:tcPr>
          <w:p w14:paraId="098EE4FB" w14:textId="44FAB88A" w:rsidR="00AC744F" w:rsidRPr="00AC744F" w:rsidRDefault="00AC744F" w:rsidP="00AC744F">
            <w:pPr>
              <w:jc w:val="center"/>
              <w:rPr>
                <w:rFonts w:ascii="Arial" w:hAnsi="Arial" w:cs="Arial"/>
                <w:b/>
                <w:bCs/>
              </w:rPr>
            </w:pPr>
            <w:r w:rsidRPr="00AC744F">
              <w:rPr>
                <w:rFonts w:ascii="Arial" w:hAnsi="Arial" w:cs="Arial"/>
                <w:b/>
                <w:bCs/>
              </w:rPr>
              <w:t>Termo</w:t>
            </w:r>
          </w:p>
        </w:tc>
        <w:tc>
          <w:tcPr>
            <w:tcW w:w="3544" w:type="dxa"/>
          </w:tcPr>
          <w:p w14:paraId="49F313F4" w14:textId="456F803E" w:rsidR="00AC744F" w:rsidRPr="00AC744F" w:rsidRDefault="00AC744F" w:rsidP="00AC744F">
            <w:pPr>
              <w:jc w:val="center"/>
              <w:rPr>
                <w:rFonts w:ascii="Arial" w:hAnsi="Arial" w:cs="Arial"/>
                <w:b/>
                <w:bCs/>
              </w:rPr>
            </w:pPr>
            <w:r w:rsidRPr="00AC744F">
              <w:rPr>
                <w:rFonts w:ascii="Arial" w:hAnsi="Arial" w:cs="Arial"/>
                <w:b/>
                <w:bCs/>
              </w:rPr>
              <w:t>Significado no domínio</w:t>
            </w:r>
          </w:p>
        </w:tc>
        <w:tc>
          <w:tcPr>
            <w:tcW w:w="4104" w:type="dxa"/>
          </w:tcPr>
          <w:p w14:paraId="0D514449" w14:textId="4E55A4FE" w:rsidR="00AC744F" w:rsidRPr="00AC744F" w:rsidRDefault="00AC744F" w:rsidP="00AC744F">
            <w:pPr>
              <w:jc w:val="center"/>
              <w:rPr>
                <w:rFonts w:ascii="Arial" w:hAnsi="Arial" w:cs="Arial"/>
                <w:b/>
                <w:bCs/>
              </w:rPr>
            </w:pPr>
            <w:r w:rsidRPr="00AC744F">
              <w:rPr>
                <w:rFonts w:ascii="Arial" w:hAnsi="Arial" w:cs="Arial"/>
                <w:b/>
                <w:bCs/>
              </w:rPr>
              <w:t>Exemplo de utilização no projeto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Aluno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Pessoa que propõe e desenvolve um TCC, envia versões e consulta os pareceres do próprio trabalho.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aluno envia a segunda versão da entrega parcial.</w:t>
            </w:r>
          </w:p>
        </w:tc>
      </w:tr>
      <w:tr w:rsidR="00AC744F" w14:paraId="44A47EC1" w14:textId="77777777" w:rsidTr="00AC744F">
        <w:trPr>
          <w:cantSplit/>
        </w:trPr>
        <w:tc>
          <w:tcPr>
            <w:tcW w:w="1980" w:type="dxa"/>
          </w:tcPr>
          <w:p w14:paraId="3982DD66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Orientador</w:t>
            </w:r>
          </w:p>
        </w:tc>
        <w:tc>
          <w:tcPr>
            <w:tcW w:w="3544" w:type="dxa"/>
          </w:tcPr>
          <w:p w14:paraId="6C745F9A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Professor que responde à proposta e acompanha e avalia o TCC de seus orientandos.</w:t>
            </w:r>
          </w:p>
        </w:tc>
        <w:tc>
          <w:tcPr>
            <w:tcW w:w="4104" w:type="dxa"/>
          </w:tcPr>
          <w:p w14:paraId="47849713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orientador solicita ajustes na metodologia.</w:t>
            </w:r>
          </w:p>
        </w:tc>
      </w:tr>
      <w:tr w:rsidR="00AC744F" w14:paraId="18CE16E4" w14:textId="77777777" w:rsidTr="00AC744F">
        <w:trPr>
          <w:cantSplit/>
        </w:trPr>
        <w:tc>
          <w:tcPr>
            <w:tcW w:w="1980" w:type="dxa"/>
          </w:tcPr>
          <w:p w14:paraId="759F9D8F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Orientando</w:t>
            </w:r>
          </w:p>
        </w:tc>
        <w:tc>
          <w:tcPr>
            <w:tcW w:w="3544" w:type="dxa"/>
          </w:tcPr>
          <w:p w14:paraId="076C62ED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Aluno com trabalho vinculado a um orientador após o aceite da proposta.</w:t>
            </w:r>
          </w:p>
        </w:tc>
        <w:tc>
          <w:tcPr>
            <w:tcW w:w="4104" w:type="dxa"/>
          </w:tcPr>
          <w:p w14:paraId="641BC7D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orientador consulta a lista de orientandos ativos.</w:t>
            </w:r>
          </w:p>
        </w:tc>
      </w:tr>
      <w:tr w:rsidR="00AC744F" w14:paraId="7A00F454" w14:textId="77777777" w:rsidTr="00AC744F">
        <w:trPr>
          <w:cantSplit/>
        </w:trPr>
        <w:tc>
          <w:tcPr>
            <w:tcW w:w="1980" w:type="dxa"/>
          </w:tcPr>
          <w:p w14:paraId="3550DA82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Proposta</w:t>
            </w:r>
          </w:p>
        </w:tc>
        <w:tc>
          <w:tcPr>
            <w:tcW w:w="3544" w:type="dxa"/>
          </w:tcPr>
          <w:p w14:paraId="79DB711C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Solicitação anterior à criação do trabalho, com tema, resumo, objetivos e área de pesquisa.</w:t>
            </w:r>
          </w:p>
        </w:tc>
        <w:tc>
          <w:tcPr>
            <w:tcW w:w="4104" w:type="dxa"/>
          </w:tcPr>
          <w:p w14:paraId="728F2EBD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Uma proposta aguarda a resposta do professor escolhido.</w:t>
            </w:r>
          </w:p>
        </w:tc>
      </w:tr>
      <w:tr w:rsidR="00AC744F" w14:paraId="4149AD1D" w14:textId="77777777" w:rsidTr="00AC744F">
        <w:trPr>
          <w:cantSplit/>
        </w:trPr>
        <w:tc>
          <w:tcPr>
            <w:tcW w:w="1980" w:type="dxa"/>
          </w:tcPr>
          <w:p w14:paraId="11AA3B78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Aceite da proposta</w:t>
            </w:r>
          </w:p>
        </w:tc>
        <w:tc>
          <w:tcPr>
            <w:tcW w:w="3544" w:type="dxa"/>
          </w:tcPr>
          <w:p w14:paraId="4AB8354C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Decisão favorável do professor, permitida quando sua capacidade de orientação não foi atingida.</w:t>
            </w:r>
          </w:p>
        </w:tc>
        <w:tc>
          <w:tcPr>
            <w:tcW w:w="4104" w:type="dxa"/>
          </w:tcPr>
          <w:p w14:paraId="17E1821F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Após o aceite, é criado o trabalho em orientação.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Limite de orientandos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Quantidade máxima configurada de orientandos ativos que um professor pode assumir.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aceite é bloqueado quando o limite já foi atingido.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Trabalho de TCC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Registro do projeto acadêmico criado a partir de uma proposta aceita, com aluno, orientador e situação própria.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trabalho permanece em orientação até atender às condições de conclusão.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Orientação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Vínculo acadêmico de acompanhamento entre o aluno e seu professor orientador.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professor acompanha as entregas do trabalho que orienta.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Resultado final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Decisão de conclusão: aprovado, aprovado com ressalvas ou reprovado, acompanhada de parecer conclusivo.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orientador registra aprovado com ressalvas e prazo de correção.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Cronograma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Plano publicado de etapas e prazos de um trabalho. É responsável pela interpretação do vencimento.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orientador publica o cronograma com uma etapa parcial e uma final.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Etapa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Marco de entrega no cronograma, com nome, tipo, prazo e indicação de obrigatoriedade.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etapa Revisão bibliográfica é parcial e obrigatória.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Prazo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Data limite de uma etapa. O dia informado ainda permite envio no prazo, no fuso de São Paulo.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Uma etapa com prazo em 08/10 aceita envio no prazo durante esse dia.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Prazo vencido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Condição temporal em que a data de referência está após o dia do prazo. Não é um parecer de avaliação.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 09/10, o prazo de 08/10 está vencido, mesmo sem avaliação.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Entrega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Registro de submissões para uma combinação de trabalho e etapa, reunindo versões e situação atual.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entrega da etapa parcial contém as versões 1 e 2.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Versão da entrega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Submissão numerada de um arquivo, preservada no histórico da entrega.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versão 2 incorpora os ajustes solicitados sobre a versão 1.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Situação da entrega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Estado atual controlado por Entregas: pendente, atrasada, entregue, entregue com atraso, em revisão ou aprovada.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nova versão muda a entrega de em revisão para entregue.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Entregue com atraso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Situação de uma entrega submetida depois do prazo; o envio é aceito e pode ser avaliado.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aluno envia em 09/10 uma etapa cujo prazo era 08/10.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Feedback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Registro de avaliação vinculado a uma versão, com autor, parecer, comentários e data de leitura.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feedback da versão 1 pede que a metodologia seja detalhada.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Parecer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Decisão sobre uma versão: aprovado ou revisar. Não é o resultado final do trabalho.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orientador registra revisar para a versão entregue.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 revisão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Situação aplicada por Entregas após parecer revisar, aguardando nova versão do aluno.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Feedback registra revisar e solicita a transição a Entregas.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Leitura do feedback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Registro da primeira consulta do parecer pelo aluno; novas marcações preservam a data original.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aluno abre o feedback e sua leitura é registrada.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Disponibilidade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Intervalos em que um participante pode receber solicitações de reunião de orientação.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professor disponibiliza terça-feira das 14h às 16h.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Reunião de orientação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Encontro entre aluno e orientador, associado a data, horário, pauta e resposta à solicitação.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orientador confirma a reunião para discutir a versão parcial.</w:t>
            </w:r>
          </w:p>
        </w:tc>
      </w:tr>
      <w:tr w:rsidR="00AC744F" w14:paraId="77B01782" w14:textId="77777777" w:rsidTr="00AC744F">
        <w:trPr>
          <w:cantSplit/>
        </w:trPr>
        <w:tc>
          <w:tcPr>
            <w:tcW w:w="1980" w:type="dxa"/>
          </w:tcPr>
          <w:p w14:paraId="2767A781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Sessão</w:t>
            </w:r>
          </w:p>
        </w:tc>
        <w:tc>
          <w:tcPr>
            <w:tcW w:w="3544" w:type="dxa"/>
          </w:tcPr>
          <w:p w14:paraId="4E91D595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Identificação temporária do usuário autenticado e de seu perfil de acesso.</w:t>
            </w:r>
          </w:p>
        </w:tc>
        <w:tc>
          <w:tcPr>
            <w:tcW w:w="4104" w:type="dxa"/>
          </w:tcPr>
          <w:p w14:paraId="4BBB9E2E" w14:textId="77777777" w:rsidR="00AC744F" w:rsidRPr="00AC744F" w:rsidRDefault="00AC744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sessão identifica o aluno que está submetendo a entrega.</w:t>
            </w:r>
          </w:p>
        </w:tc>
      </w:tr>
    </w:tbl>
    <w:p w14:paraId="7A785779" w14:textId="77777777" w:rsidR="00AC744F" w:rsidRDefault="00AC744F" w:rsidP="00AD18A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As definições do glossário orientam a comunicação da equipe, os requisitos e os nomes usados no código. Parecer de uma versão e resultado final do trabalho têm significados distintos; prazo vencido e situação Em revisão também.</w:t>
      </w:r>
    </w:p>
    <w:p w14:paraId="7AA4D660" w14:textId="77777777" w:rsidR="00AC744F" w:rsidRDefault="00AC744F" w:rsidP="00AD18AD">
      <w:pPr>
        <w:rPr>
          <w:rFonts w:ascii="Arial" w:hAnsi="Arial" w:cs="Arial"/>
          <w:b/>
          <w:bCs/>
        </w:rPr>
      </w:pPr>
    </w:p>
    <w:p w14:paraId="299AEAFC" w14:textId="77777777" w:rsidR="00AC744F" w:rsidRDefault="00AC744F" w:rsidP="00AD18AD">
      <w:pPr>
        <w:rPr>
          <w:rFonts w:ascii="Arial" w:hAnsi="Arial" w:cs="Arial"/>
          <w:b/>
          <w:bCs/>
        </w:rPr>
      </w:pPr>
    </w:p>
    <w:p w14:paraId="778902AB" w14:textId="77777777" w:rsidR="00AD18AD" w:rsidRPr="00AD18AD" w:rsidRDefault="00AD18AD" w:rsidP="00AD18AD">
      <w:pPr>
        <w:rPr>
          <w:rFonts w:ascii="Arial" w:hAnsi="Arial" w:cs="Arial"/>
          <w:b/>
          <w:bCs/>
        </w:rPr>
        <w:pageBreakBefore/>
      </w:pPr>
      <w:r w:rsidRPr="00AD18AD">
        <w:rPr>
          <w:rFonts w:ascii="Arial" w:hAnsi="Arial" w:cs="Arial"/>
          <w:b/>
          <w:bCs/>
        </w:rPr>
        <w:t>5. Mapa de Domínio</w:t>
      </w:r>
    </w:p>
    <w:p w14:paraId="5E384797" w14:textId="77777777" w:rsidR="00AD18AD" w:rsidRPr="00AC744F" w:rsidRDefault="00AD18AD" w:rsidP="00AC744F">
      <w:p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Elabore um diagrama representando o domínio e seus subdomínios.</w:t>
      </w:r>
    </w:p>
    <w:p w14:paraId="301F543B" w14:textId="77777777" w:rsidR="00AD18AD" w:rsidRPr="00AC744F" w:rsidRDefault="00AD18AD" w:rsidP="00AC744F">
      <w:p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O mapa deve apresentar:</w:t>
      </w:r>
    </w:p>
    <w:p w14:paraId="3CEF363F" w14:textId="77777777" w:rsidR="00AD18AD" w:rsidRPr="00AC744F" w:rsidRDefault="00AD18AD" w:rsidP="00AC744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o domínio;</w:t>
      </w:r>
    </w:p>
    <w:p w14:paraId="4000EE6C" w14:textId="77777777" w:rsidR="00AD18AD" w:rsidRPr="00AC744F" w:rsidRDefault="00AD18AD" w:rsidP="00AC744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os subdomínios;</w:t>
      </w:r>
    </w:p>
    <w:p w14:paraId="7EC76F69" w14:textId="77777777" w:rsidR="00AD18AD" w:rsidRPr="00AC744F" w:rsidRDefault="00AD18AD" w:rsidP="00AC744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a classificação Core, Suporte ou Genérico;</w:t>
      </w:r>
    </w:p>
    <w:p w14:paraId="440A089A" w14:textId="77777777" w:rsidR="00AD18AD" w:rsidRPr="00AC744F" w:rsidRDefault="00AD18AD" w:rsidP="00AC744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os principais conceitos associados a cada subdomínio.</w:t>
      </w:r>
    </w:p>
    <w:p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6100000" cy="5032500"/>
            <wp:docPr id="90" name="Mapa de Domínio" descr="OrientaTCC com sete subdomínios, classificados em três Core, três Suporte e um Genérico, e seus conceitos."/>
            <wp:cNvGraphicFramePr/>
            <a:graphic>
              <a:graphicData uri="http://schemas.openxmlformats.org/drawingml/2006/picture">
                <pic:pic>
                  <pic:nvPicPr>
                    <pic:cNvPr id="0" name="Mapa-Dominio.png"/>
                    <pic:cNvPicPr/>
                  </pic:nvPicPr>
                  <pic:blipFill>
                    <a:blip r:embed="rIdMapaLab5"/>
                    <a:stretch>
                      <a:fillRect/>
                    </a:stretch>
                  </pic:blipFill>
                  <pic:spPr>
                    <a:xfrm>
                      <a:off x="0" y="0"/>
                      <a:ext cx="6100000" cy="5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8AD" w:rsidRPr="00AC744F" w:rsidSect="00BB6A9D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65F2F" w14:textId="77777777" w:rsidR="00C43A41" w:rsidRDefault="00C43A41" w:rsidP="00BB6A9D">
      <w:pPr>
        <w:spacing w:after="0" w:line="240" w:lineRule="auto"/>
      </w:pPr>
      <w:r>
        <w:separator/>
      </w:r>
    </w:p>
  </w:endnote>
  <w:endnote w:type="continuationSeparator" w:id="0">
    <w:p w14:paraId="70348695" w14:textId="77777777" w:rsidR="00C43A41" w:rsidRDefault="00C43A41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3CCD" w14:textId="77777777" w:rsidR="00C43A41" w:rsidRDefault="00C43A41" w:rsidP="00BB6A9D">
      <w:pPr>
        <w:spacing w:after="0" w:line="240" w:lineRule="auto"/>
      </w:pPr>
      <w:r>
        <w:separator/>
      </w:r>
    </w:p>
  </w:footnote>
  <w:footnote w:type="continuationSeparator" w:id="0">
    <w:p w14:paraId="475EBEB5" w14:textId="77777777" w:rsidR="00C43A41" w:rsidRDefault="00C43A41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712F7"/>
    <w:multiLevelType w:val="multilevel"/>
    <w:tmpl w:val="6C64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085030"/>
    <w:multiLevelType w:val="multilevel"/>
    <w:tmpl w:val="FA7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539">
    <w:abstractNumId w:val="1"/>
  </w:num>
  <w:num w:numId="2" w16cid:durableId="1616671706">
    <w:abstractNumId w:val="2"/>
  </w:num>
  <w:num w:numId="3" w16cid:durableId="523328960">
    <w:abstractNumId w:val="0"/>
  </w:num>
  <w:num w:numId="4" w16cid:durableId="1866402785">
    <w:abstractNumId w:val="5"/>
  </w:num>
  <w:num w:numId="5" w16cid:durableId="1656370818">
    <w:abstractNumId w:val="4"/>
  </w:num>
  <w:num w:numId="6" w16cid:durableId="571938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1E770E"/>
    <w:rsid w:val="002877D6"/>
    <w:rsid w:val="002F1440"/>
    <w:rsid w:val="00413989"/>
    <w:rsid w:val="00453DF0"/>
    <w:rsid w:val="0049573A"/>
    <w:rsid w:val="00496CA3"/>
    <w:rsid w:val="00530DE0"/>
    <w:rsid w:val="005D18F8"/>
    <w:rsid w:val="00645F72"/>
    <w:rsid w:val="006A4221"/>
    <w:rsid w:val="006B47BF"/>
    <w:rsid w:val="00704AED"/>
    <w:rsid w:val="00704DF1"/>
    <w:rsid w:val="00937396"/>
    <w:rsid w:val="009F63A8"/>
    <w:rsid w:val="00AC744F"/>
    <w:rsid w:val="00AD18AD"/>
    <w:rsid w:val="00BB6A9D"/>
    <w:rsid w:val="00BB7672"/>
    <w:rsid w:val="00C43A41"/>
    <w:rsid w:val="00C60AB7"/>
    <w:rsid w:val="00CF2CDA"/>
    <w:rsid w:val="00DA546E"/>
    <w:rsid w:val="00E54C06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apaLab5" Type="http://schemas.openxmlformats.org/officeDocument/2006/relationships/image" Target="media/Mapa-Dominio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Gabriela Maria Cabel Barbaran</cp:lastModifiedBy>
  <cp:revision>3</cp:revision>
  <dcterms:created xsi:type="dcterms:W3CDTF">2026-10-08T13:44:00Z</dcterms:created>
  <dcterms:modified xsi:type="dcterms:W3CDTF">2026-10-08T13:44:00Z</dcterms:modified>
</cp:coreProperties>
</file>