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Pr="009C1BEB" w:rsidRDefault="00F7089F" w:rsidP="006D125E">
      <w:pPr>
        <w:ind w:firstLine="540"/>
        <w:jc w:val="center"/>
        <w:rPr>
          <w:b/>
        </w:rPr>
      </w:pPr>
      <w:r w:rsidRPr="009C1BEB">
        <w:rPr>
          <w:b/>
        </w:rPr>
        <w:t>INFORMATIVO</w:t>
      </w:r>
    </w:p>
    <w:p w:rsidR="00F7089F" w:rsidRPr="009C1BEB" w:rsidRDefault="00F7089F" w:rsidP="00CD5F48">
      <w:pPr>
        <w:ind w:firstLine="540"/>
        <w:jc w:val="both"/>
      </w:pPr>
    </w:p>
    <w:p w:rsidR="00F7089F" w:rsidRPr="009C1BEB" w:rsidRDefault="005671BE" w:rsidP="00CD5F48">
      <w:pPr>
        <w:ind w:firstLine="540"/>
        <w:jc w:val="both"/>
        <w:rPr>
          <w:b/>
        </w:rPr>
      </w:pPr>
      <w:r w:rsidRPr="009C1BEB">
        <w:rPr>
          <w:b/>
        </w:rPr>
        <w:t>GBNFe</w:t>
      </w:r>
      <w:r w:rsidR="00F7089F" w:rsidRPr="009C1BEB">
        <w:rPr>
          <w:b/>
        </w:rPr>
        <w:t xml:space="preserve"> V. </w:t>
      </w:r>
      <w:r w:rsidRPr="009C1BEB">
        <w:rPr>
          <w:b/>
        </w:rPr>
        <w:t>3</w:t>
      </w:r>
      <w:r w:rsidR="00F7089F" w:rsidRPr="009C1BEB">
        <w:rPr>
          <w:b/>
        </w:rPr>
        <w:t>.</w:t>
      </w:r>
      <w:r w:rsidRPr="009C1BEB">
        <w:rPr>
          <w:b/>
        </w:rPr>
        <w:t>13</w:t>
      </w:r>
      <w:r w:rsidR="00F7089F" w:rsidRPr="009C1BEB">
        <w:rPr>
          <w:b/>
        </w:rPr>
        <w:t>.</w:t>
      </w:r>
      <w:r w:rsidRPr="009C1BEB">
        <w:rPr>
          <w:b/>
        </w:rPr>
        <w:t>3.12</w:t>
      </w:r>
      <w:r w:rsidR="00F7089F" w:rsidRPr="009C1BEB">
        <w:rPr>
          <w:b/>
        </w:rPr>
        <w:t xml:space="preserve"> </w:t>
      </w:r>
      <w:r w:rsidRPr="009C1BEB">
        <w:rPr>
          <w:b/>
        </w:rPr>
        <w:t>–</w:t>
      </w:r>
      <w:r w:rsidR="00F7089F" w:rsidRPr="009C1BEB">
        <w:rPr>
          <w:b/>
        </w:rPr>
        <w:t xml:space="preserve"> </w:t>
      </w:r>
      <w:r w:rsidRPr="009C1BEB">
        <w:rPr>
          <w:b/>
        </w:rPr>
        <w:t>12</w:t>
      </w:r>
      <w:r w:rsidR="00F7089F" w:rsidRPr="009C1BEB">
        <w:rPr>
          <w:b/>
        </w:rPr>
        <w:t>/</w:t>
      </w:r>
      <w:r w:rsidRPr="009C1BEB">
        <w:rPr>
          <w:b/>
        </w:rPr>
        <w:t>março</w:t>
      </w:r>
      <w:r w:rsidR="00F7089F" w:rsidRPr="009C1BEB">
        <w:rPr>
          <w:b/>
        </w:rPr>
        <w:t>/201</w:t>
      </w:r>
      <w:r w:rsidRPr="009C1BEB">
        <w:rPr>
          <w:b/>
        </w:rPr>
        <w:t>3</w:t>
      </w:r>
      <w:r w:rsidR="001D0899">
        <w:rPr>
          <w:b/>
        </w:rPr>
        <w:t xml:space="preserve"> até V</w:t>
      </w:r>
      <w:r w:rsidR="007A16CC">
        <w:rPr>
          <w:b/>
        </w:rPr>
        <w:t>.</w:t>
      </w:r>
      <w:r w:rsidR="001D0899">
        <w:rPr>
          <w:b/>
        </w:rPr>
        <w:t xml:space="preserve"> 3.13.3.21</w:t>
      </w:r>
    </w:p>
    <w:p w:rsidR="00F7089F" w:rsidRPr="009C1BEB" w:rsidRDefault="00F7089F" w:rsidP="00CD5F48">
      <w:pPr>
        <w:ind w:firstLine="540"/>
        <w:jc w:val="both"/>
      </w:pPr>
    </w:p>
    <w:p w:rsidR="00F7089F" w:rsidRPr="009C1BEB" w:rsidRDefault="00F7089F" w:rsidP="00CD5F48">
      <w:pPr>
        <w:ind w:firstLine="540"/>
        <w:jc w:val="both"/>
      </w:pPr>
      <w:r w:rsidRPr="009C1BEB">
        <w:t>Prezados Srs.</w:t>
      </w:r>
    </w:p>
    <w:p w:rsidR="00F7089F" w:rsidRPr="009C1BEB" w:rsidRDefault="00F7089F" w:rsidP="00CD5F48">
      <w:pPr>
        <w:ind w:firstLine="540"/>
        <w:jc w:val="both"/>
      </w:pPr>
      <w:r w:rsidRPr="009C1BEB">
        <w:tab/>
      </w:r>
      <w:r w:rsidRPr="009C1BEB">
        <w:tab/>
        <w:t xml:space="preserve">Informamos </w:t>
      </w:r>
      <w:r w:rsidR="00D4489F" w:rsidRPr="009C1BEB">
        <w:t xml:space="preserve">que </w:t>
      </w:r>
      <w:r w:rsidR="00215ABF">
        <w:t>estamos adicionando novas funcionalidades</w:t>
      </w:r>
      <w:r w:rsidR="00D4489F" w:rsidRPr="009C1BEB">
        <w:t>:</w:t>
      </w:r>
    </w:p>
    <w:p w:rsidR="006D125E" w:rsidRPr="009C1BEB" w:rsidRDefault="006D125E" w:rsidP="00CD5F48">
      <w:pPr>
        <w:ind w:firstLine="540"/>
        <w:jc w:val="both"/>
      </w:pPr>
    </w:p>
    <w:p w:rsidR="00D4489F" w:rsidRPr="009C1BEB" w:rsidRDefault="00D61B3B" w:rsidP="00DA7C66">
      <w:pPr>
        <w:numPr>
          <w:ilvl w:val="0"/>
          <w:numId w:val="32"/>
        </w:numPr>
        <w:spacing w:after="120"/>
        <w:ind w:left="714" w:hanging="357"/>
        <w:jc w:val="both"/>
        <w:rPr>
          <w:b/>
          <w:i/>
        </w:rPr>
      </w:pPr>
      <w:r>
        <w:rPr>
          <w:b/>
          <w:i/>
        </w:rPr>
        <w:t>Aprimoramento(s)</w:t>
      </w:r>
    </w:p>
    <w:p w:rsidR="00573712" w:rsidRPr="009C1BEB" w:rsidRDefault="00D61B3B" w:rsidP="005E2E0C">
      <w:pPr>
        <w:numPr>
          <w:ilvl w:val="1"/>
          <w:numId w:val="32"/>
        </w:numPr>
        <w:ind w:hanging="306"/>
        <w:jc w:val="both"/>
      </w:pPr>
      <w:r>
        <w:t>Aprimorad</w:t>
      </w:r>
      <w:r w:rsidR="00215ABF">
        <w:t>o</w:t>
      </w:r>
      <w:r>
        <w:t xml:space="preserve"> </w:t>
      </w:r>
      <w:r w:rsidR="00215ABF">
        <w:t>o</w:t>
      </w:r>
      <w:r w:rsidR="005671BE" w:rsidRPr="009C1BEB">
        <w:t xml:space="preserve"> </w:t>
      </w:r>
      <w:r w:rsidR="00215ABF">
        <w:t>procedimento</w:t>
      </w:r>
      <w:r w:rsidR="005671BE" w:rsidRPr="009C1BEB">
        <w:t xml:space="preserve"> de atualização genérica para atualização da tabela </w:t>
      </w:r>
      <w:r w:rsidR="001D0899">
        <w:t>da nota</w:t>
      </w:r>
      <w:r w:rsidR="005671BE" w:rsidRPr="009C1BEB">
        <w:t xml:space="preserve"> e incluído o campo [ serie ] na clausula </w:t>
      </w:r>
      <w:r w:rsidR="00215ABF">
        <w:t xml:space="preserve">de seleção </w:t>
      </w:r>
      <w:r w:rsidR="001D0899">
        <w:t>p</w:t>
      </w:r>
      <w:r w:rsidR="005671BE" w:rsidRPr="009C1BEB">
        <w:t>ara compatibilidade futura.</w:t>
      </w:r>
    </w:p>
    <w:p w:rsidR="003310BF" w:rsidRPr="009C1BEB" w:rsidRDefault="003310BF" w:rsidP="00573712">
      <w:pPr>
        <w:numPr>
          <w:ilvl w:val="1"/>
          <w:numId w:val="32"/>
        </w:numPr>
        <w:ind w:hanging="306"/>
        <w:jc w:val="both"/>
      </w:pPr>
      <w:r w:rsidRPr="009C1BEB">
        <w:t>Durante esse procedimento</w:t>
      </w:r>
      <w:r w:rsidR="00215ABF">
        <w:t>, caso</w:t>
      </w:r>
      <w:r w:rsidRPr="009C1BEB">
        <w:t xml:space="preserve"> acontecer de haver inconsistência será mostrado uma mensagem, onde o operado poderá interagir no</w:t>
      </w:r>
      <w:r w:rsidR="0040432E">
        <w:t>s enviand</w:t>
      </w:r>
      <w:r w:rsidRPr="009C1BEB">
        <w:t xml:space="preserve">o </w:t>
      </w:r>
      <w:r w:rsidR="00215ABF">
        <w:t>“uma cópia da tela” que apresenta a</w:t>
      </w:r>
      <w:r w:rsidRPr="009C1BEB">
        <w:t xml:space="preserve"> inconsistência</w:t>
      </w:r>
      <w:r w:rsidR="00215ABF">
        <w:t>. S</w:t>
      </w:r>
      <w:r w:rsidRPr="009C1BEB">
        <w:t>egue modelo da mensagem:</w:t>
      </w:r>
    </w:p>
    <w:p w:rsidR="001D0899" w:rsidRDefault="001D0899" w:rsidP="00573712">
      <w:pPr>
        <w:numPr>
          <w:ilvl w:val="1"/>
          <w:numId w:val="32"/>
        </w:numPr>
        <w:ind w:hanging="306"/>
        <w:jc w:val="both"/>
      </w:pPr>
      <w:r w:rsidRPr="009C1BEB">
        <w:rPr>
          <w:noProof/>
        </w:rPr>
        <w:drawing>
          <wp:inline distT="0" distB="0" distL="0" distR="0">
            <wp:extent cx="3381375" cy="1543050"/>
            <wp:effectExtent l="19050" t="0" r="9525" b="0"/>
            <wp:docPr id="3" name="Imagem 1" descr="image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12" w:rsidRPr="009C1BEB" w:rsidRDefault="001D0899" w:rsidP="00573712">
      <w:pPr>
        <w:numPr>
          <w:ilvl w:val="1"/>
          <w:numId w:val="32"/>
        </w:numPr>
        <w:ind w:hanging="306"/>
        <w:jc w:val="both"/>
      </w:pPr>
      <w:r w:rsidRPr="009C1BEB">
        <w:rPr>
          <w:b/>
          <w:i/>
        </w:rPr>
        <w:t>&lt;botão direito do mause ou Ctrl+Alt+p&gt;</w:t>
      </w:r>
    </w:p>
    <w:p w:rsidR="00D951A5" w:rsidRDefault="00573712" w:rsidP="00D951A5">
      <w:pPr>
        <w:numPr>
          <w:ilvl w:val="0"/>
          <w:numId w:val="33"/>
        </w:numPr>
        <w:spacing w:after="120"/>
        <w:ind w:left="1418" w:hanging="282"/>
        <w:jc w:val="both"/>
      </w:pPr>
      <w:r w:rsidRPr="001D0899">
        <w:rPr>
          <w:b/>
          <w:i/>
        </w:rPr>
        <w:t xml:space="preserve"> </w:t>
      </w:r>
      <w:r w:rsidR="005671BE" w:rsidRPr="009C1BEB">
        <w:t xml:space="preserve">Incluído um ponto de atalho na grade de transmitidas para mover uma ou mais notas para </w:t>
      </w:r>
      <w:r w:rsidR="005671BE" w:rsidRPr="001D0899">
        <w:rPr>
          <w:b/>
        </w:rPr>
        <w:t>pendentes</w:t>
      </w:r>
      <w:r w:rsidR="005671BE" w:rsidRPr="009C1BEB">
        <w:t xml:space="preserve"> (esse caso deve ser usado quando uma</w:t>
      </w:r>
      <w:r w:rsidR="00215ABF">
        <w:t xml:space="preserve"> nota não</w:t>
      </w:r>
      <w:r w:rsidR="005671BE" w:rsidRPr="009C1BEB">
        <w:t xml:space="preserve"> tenha o XML) com isso o usuário poderá enviar novamente (isso irá gerar outro XML e retornará duplicidade da n</w:t>
      </w:r>
      <w:r w:rsidR="001D0899">
        <w:t>ota</w:t>
      </w:r>
      <w:r w:rsidR="005671BE" w:rsidRPr="009C1BEB">
        <w:t xml:space="preserve"> na base SEFAZ) ai basta</w:t>
      </w:r>
      <w:r w:rsidRPr="009C1BEB">
        <w:t>, portanto</w:t>
      </w:r>
      <w:r w:rsidR="005671BE" w:rsidRPr="009C1BEB">
        <w:t xml:space="preserve"> fazer uma consulta e o sistema irá atualizar os dados da nota.</w:t>
      </w:r>
    </w:p>
    <w:p w:rsidR="005671BE" w:rsidRPr="009C1BEB" w:rsidRDefault="005671BE" w:rsidP="005E2E0C">
      <w:pPr>
        <w:numPr>
          <w:ilvl w:val="0"/>
          <w:numId w:val="33"/>
        </w:numPr>
        <w:ind w:left="1418" w:hanging="282"/>
        <w:jc w:val="both"/>
      </w:pPr>
      <w:r w:rsidRPr="009C1BEB">
        <w:t>Alterad</w:t>
      </w:r>
      <w:r w:rsidR="001D0899">
        <w:t>o o procedimento (</w:t>
      </w:r>
      <w:r w:rsidRPr="009C1BEB">
        <w:t>sp_le_nfe</w:t>
      </w:r>
      <w:r w:rsidR="001D0899">
        <w:t>)</w:t>
      </w:r>
      <w:r w:rsidRPr="009C1BEB">
        <w:t xml:space="preserve"> para incluir o campo [ data_hora_recebimento ]  para verificação</w:t>
      </w:r>
      <w:r w:rsidR="001D0899">
        <w:t xml:space="preserve"> na hora de atualizar a tabela da nota</w:t>
      </w:r>
      <w:r w:rsidRPr="009C1BEB">
        <w:t xml:space="preserve"> para “ENVI”.</w:t>
      </w:r>
    </w:p>
    <w:p w:rsidR="005671BE" w:rsidRPr="009C1BEB" w:rsidRDefault="005671BE" w:rsidP="005E2E0C">
      <w:pPr>
        <w:numPr>
          <w:ilvl w:val="0"/>
          <w:numId w:val="33"/>
        </w:numPr>
        <w:ind w:left="1418" w:hanging="282"/>
        <w:jc w:val="both"/>
      </w:pPr>
      <w:r w:rsidRPr="009C1BEB">
        <w:t>Alterado o script de atualização d</w:t>
      </w:r>
      <w:r w:rsidR="001D0899">
        <w:t>os procedimentos</w:t>
      </w:r>
      <w:r w:rsidRPr="009C1BEB">
        <w:t xml:space="preserve"> referente a inclusão da linha acima.</w:t>
      </w:r>
    </w:p>
    <w:p w:rsidR="005E2E0C" w:rsidRPr="009C1BEB" w:rsidRDefault="005E2E0C" w:rsidP="005E2E0C">
      <w:pPr>
        <w:numPr>
          <w:ilvl w:val="0"/>
          <w:numId w:val="33"/>
        </w:numPr>
        <w:ind w:left="1418" w:hanging="282"/>
        <w:jc w:val="both"/>
      </w:pPr>
      <w:r w:rsidRPr="009C1BEB">
        <w:t xml:space="preserve">Continua sendo </w:t>
      </w:r>
      <w:r w:rsidR="00D61B3B">
        <w:t>aprimorado</w:t>
      </w:r>
      <w:r w:rsidRPr="009C1BEB">
        <w:t xml:space="preserve"> </w:t>
      </w:r>
      <w:r w:rsidR="00D61B3B">
        <w:t>o procedimento</w:t>
      </w:r>
      <w:r w:rsidR="00766ABB" w:rsidRPr="009C1BEB">
        <w:t xml:space="preserve"> que centraliza </w:t>
      </w:r>
      <w:r w:rsidR="00D61B3B">
        <w:t xml:space="preserve">as alterações da tabela </w:t>
      </w:r>
      <w:r w:rsidR="001D0899">
        <w:t>da nota</w:t>
      </w:r>
      <w:r w:rsidR="00766ABB" w:rsidRPr="009C1BEB">
        <w:t xml:space="preserve"> em um só lugar.</w:t>
      </w:r>
    </w:p>
    <w:p w:rsidR="00766ABB" w:rsidRPr="009C1BEB" w:rsidRDefault="00766ABB" w:rsidP="005E2E0C">
      <w:pPr>
        <w:numPr>
          <w:ilvl w:val="0"/>
          <w:numId w:val="33"/>
        </w:numPr>
        <w:ind w:left="1418" w:hanging="282"/>
        <w:jc w:val="both"/>
      </w:pPr>
      <w:r w:rsidRPr="009C1BEB">
        <w:t>Está sendo efetuado</w:t>
      </w:r>
      <w:r w:rsidR="0040432E">
        <w:t>s</w:t>
      </w:r>
      <w:r w:rsidRPr="009C1BEB">
        <w:t xml:space="preserve"> testes em homologação para garantir a integridade das rotinas.</w:t>
      </w:r>
    </w:p>
    <w:p w:rsidR="00535ED0" w:rsidRPr="009C1BEB" w:rsidRDefault="00535ED0" w:rsidP="00535ED0">
      <w:pPr>
        <w:numPr>
          <w:ilvl w:val="0"/>
          <w:numId w:val="33"/>
        </w:numPr>
        <w:ind w:left="1418" w:hanging="282"/>
        <w:jc w:val="both"/>
      </w:pPr>
      <w:r w:rsidRPr="009C1BEB">
        <w:t>Aqui começou a implantação da limpeza do código fonte.</w:t>
      </w:r>
    </w:p>
    <w:p w:rsidR="009A7EF8" w:rsidRPr="009C1BEB" w:rsidRDefault="00535ED0" w:rsidP="00D951A5">
      <w:pPr>
        <w:numPr>
          <w:ilvl w:val="0"/>
          <w:numId w:val="33"/>
        </w:numPr>
        <w:ind w:left="1418" w:hanging="282"/>
        <w:jc w:val="both"/>
      </w:pPr>
      <w:r w:rsidRPr="009C1BEB">
        <w:t>Alterado o campo situação quando uma nota transmitida é passada para pendente de ‘branco’ par ‘ENVI’.</w:t>
      </w:r>
    </w:p>
    <w:p w:rsidR="00FE4FAE" w:rsidRPr="009C1BEB" w:rsidRDefault="00D61B3B" w:rsidP="00FE4FAE">
      <w:pPr>
        <w:numPr>
          <w:ilvl w:val="0"/>
          <w:numId w:val="33"/>
        </w:numPr>
        <w:ind w:left="1418" w:hanging="282"/>
        <w:jc w:val="both"/>
      </w:pPr>
      <w:r>
        <w:t>Aprimorado o</w:t>
      </w:r>
      <w:r w:rsidR="00FE4FAE" w:rsidRPr="009C1BEB">
        <w:t xml:space="preserve"> </w:t>
      </w:r>
      <w:r w:rsidR="00FE4FAE" w:rsidRPr="00D05A3A">
        <w:rPr>
          <w:b/>
        </w:rPr>
        <w:t>tratamento</w:t>
      </w:r>
      <w:r w:rsidR="00FE4FAE" w:rsidRPr="009C1BEB">
        <w:t xml:space="preserve"> do retorno status 613 - Rotina para o caso de retorno 613 = Chave de Acesso difere da existente em BD. (dia 18/03)</w:t>
      </w:r>
    </w:p>
    <w:p w:rsidR="007D57D4" w:rsidRPr="009C1BEB" w:rsidRDefault="007D57D4" w:rsidP="00FE4FAE">
      <w:pPr>
        <w:numPr>
          <w:ilvl w:val="0"/>
          <w:numId w:val="33"/>
        </w:numPr>
        <w:ind w:left="1418" w:hanging="282"/>
        <w:jc w:val="both"/>
      </w:pPr>
      <w:r w:rsidRPr="009C1BEB">
        <w:t>PARA TRATAMENTO DE CANCELAMENTO:</w:t>
      </w:r>
    </w:p>
    <w:p w:rsidR="00FE4FAE" w:rsidRPr="009C1BEB" w:rsidRDefault="00FE4FAE" w:rsidP="00FE4FAE">
      <w:pPr>
        <w:numPr>
          <w:ilvl w:val="0"/>
          <w:numId w:val="33"/>
        </w:numPr>
        <w:ind w:left="1418" w:hanging="282"/>
        <w:jc w:val="both"/>
      </w:pPr>
      <w:r w:rsidRPr="009C1BEB">
        <w:t>Trabalho em voltado para correção de código de retorno mostrada no processo de cancelamento d</w:t>
      </w:r>
      <w:r w:rsidR="00D951A5">
        <w:t>a nota</w:t>
      </w:r>
      <w:r w:rsidRPr="009C1BEB">
        <w:t xml:space="preserve"> – Retorno status 999 conforme retorno de rejeição abaixo: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>Versão Aplicativo : MS201303131330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>Status Código : 999</w:t>
      </w:r>
    </w:p>
    <w:p w:rsidR="00FE4FAE" w:rsidRPr="009C1BEB" w:rsidRDefault="00A934D1" w:rsidP="00FE4FAE">
      <w:pPr>
        <w:numPr>
          <w:ilvl w:val="1"/>
          <w:numId w:val="33"/>
        </w:numPr>
        <w:jc w:val="both"/>
      </w:pPr>
      <w:r w:rsidRPr="009C1BEB">
        <w:lastRenderedPageBreak/>
        <w:t>Status Descrição : Rejeição</w:t>
      </w:r>
      <w:r w:rsidR="00FE4FAE" w:rsidRPr="009C1BEB">
        <w:t>: Desativado de acordo com Ajuste SINIEF 16/12. Usar o Evento de Cancelamento (NT 2011/006)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>UF : MS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 xml:space="preserve">Chave Acesso : 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 xml:space="preserve">Recebimento : </w:t>
      </w:r>
    </w:p>
    <w:p w:rsidR="00FE4FAE" w:rsidRPr="009C1BEB" w:rsidRDefault="00FE4FAE" w:rsidP="00FE4FAE">
      <w:pPr>
        <w:numPr>
          <w:ilvl w:val="1"/>
          <w:numId w:val="33"/>
        </w:numPr>
        <w:jc w:val="both"/>
      </w:pPr>
      <w:r w:rsidRPr="009C1BEB">
        <w:t xml:space="preserve">Protocolo : </w:t>
      </w:r>
    </w:p>
    <w:p w:rsidR="00FE4FAE" w:rsidRPr="009C1BEB" w:rsidRDefault="00A934D1" w:rsidP="00FE4FAE">
      <w:pPr>
        <w:numPr>
          <w:ilvl w:val="1"/>
          <w:numId w:val="33"/>
        </w:numPr>
        <w:jc w:val="both"/>
      </w:pPr>
      <w:r w:rsidRPr="009C1BEB">
        <w:t>Rejeição</w:t>
      </w:r>
      <w:r w:rsidR="00FE4FAE" w:rsidRPr="009C1BEB">
        <w:t>: Desativado de acordo com Ajuste SINIEF 16/12. Usar o Evento de Cancelamento (NT 2011/006)</w:t>
      </w:r>
    </w:p>
    <w:p w:rsidR="009968DC" w:rsidRDefault="00A934D1" w:rsidP="00FE4FAE">
      <w:pPr>
        <w:numPr>
          <w:ilvl w:val="0"/>
          <w:numId w:val="33"/>
        </w:numPr>
        <w:ind w:left="1418" w:hanging="282"/>
        <w:jc w:val="both"/>
      </w:pPr>
      <w:r w:rsidRPr="009C1BEB">
        <w:t>Inclu</w:t>
      </w:r>
      <w:r w:rsidR="009968DC">
        <w:t>ído o e-mail do destinatário durante o envio da nota para a base SEFAZ.</w:t>
      </w:r>
    </w:p>
    <w:p w:rsidR="000602EF" w:rsidRPr="009C1BEB" w:rsidRDefault="00D61B3B" w:rsidP="00FE4FAE">
      <w:pPr>
        <w:numPr>
          <w:ilvl w:val="0"/>
          <w:numId w:val="33"/>
        </w:numPr>
        <w:ind w:left="1418" w:hanging="282"/>
        <w:jc w:val="both"/>
      </w:pPr>
      <w:r>
        <w:t>Aprimorado</w:t>
      </w:r>
      <w:r w:rsidR="000602EF" w:rsidRPr="009C1BEB">
        <w:t xml:space="preserve"> a alteração d</w:t>
      </w:r>
      <w:r w:rsidR="009968DC">
        <w:t>o</w:t>
      </w:r>
      <w:r w:rsidR="000602EF" w:rsidRPr="009C1BEB">
        <w:t xml:space="preserve"> script SQL.</w:t>
      </w:r>
    </w:p>
    <w:p w:rsidR="00D026B6" w:rsidRPr="009C1BEB" w:rsidRDefault="00D61B3B" w:rsidP="007D57D4">
      <w:pPr>
        <w:numPr>
          <w:ilvl w:val="0"/>
          <w:numId w:val="33"/>
        </w:numPr>
        <w:ind w:left="1418" w:hanging="282"/>
        <w:jc w:val="both"/>
      </w:pPr>
      <w:r>
        <w:t>Aprimorado</w:t>
      </w:r>
      <w:r w:rsidR="005228B4" w:rsidRPr="009C1BEB">
        <w:t xml:space="preserve"> a rotina de envio de cancelamento para </w:t>
      </w:r>
      <w:r w:rsidR="009968DC">
        <w:t>a página de serviços base SEFAZ</w:t>
      </w:r>
      <w:r w:rsidR="005228B4" w:rsidRPr="009C1BEB">
        <w:t xml:space="preserve"> de Recepção de Eventos.</w:t>
      </w:r>
    </w:p>
    <w:p w:rsidR="00F07FBE" w:rsidRPr="009C1BEB" w:rsidRDefault="00F07FBE" w:rsidP="00F07FBE">
      <w:pPr>
        <w:numPr>
          <w:ilvl w:val="0"/>
          <w:numId w:val="33"/>
        </w:numPr>
        <w:ind w:left="1418" w:hanging="282"/>
        <w:jc w:val="both"/>
      </w:pPr>
      <w:r w:rsidRPr="009C1BEB">
        <w:t>Inserido a restriç</w:t>
      </w:r>
      <w:r w:rsidR="0025226A">
        <w:t xml:space="preserve">ão do status 135 no procedimento </w:t>
      </w:r>
      <w:r w:rsidRPr="009C1BEB">
        <w:t>notas</w:t>
      </w:r>
      <w:r w:rsidR="0025226A">
        <w:t xml:space="preserve"> </w:t>
      </w:r>
      <w:r w:rsidRPr="009C1BEB">
        <w:t>a</w:t>
      </w:r>
      <w:r w:rsidR="0025226A">
        <w:t xml:space="preserve"> </w:t>
      </w:r>
      <w:r w:rsidRPr="009C1BEB">
        <w:t>serem</w:t>
      </w:r>
      <w:r w:rsidR="0025226A">
        <w:t xml:space="preserve"> </w:t>
      </w:r>
      <w:r w:rsidRPr="009C1BEB">
        <w:t>geradas</w:t>
      </w:r>
      <w:r w:rsidR="0025226A">
        <w:t>,</w:t>
      </w:r>
      <w:r w:rsidRPr="009C1BEB">
        <w:t xml:space="preserve"> para que </w:t>
      </w:r>
      <w:r w:rsidR="00527057" w:rsidRPr="009C1BEB">
        <w:t>as notas canceladas em eventos não fiquem visíveis em pendentes.</w:t>
      </w:r>
    </w:p>
    <w:p w:rsidR="007D0AF5" w:rsidRPr="009C1BEB" w:rsidRDefault="007D0AF5" w:rsidP="0025226A">
      <w:pPr>
        <w:numPr>
          <w:ilvl w:val="0"/>
          <w:numId w:val="33"/>
        </w:numPr>
        <w:ind w:left="1418" w:hanging="282"/>
        <w:jc w:val="both"/>
      </w:pPr>
      <w:r w:rsidRPr="009C1BEB">
        <w:t>Atualizado o script de proced</w:t>
      </w:r>
      <w:r w:rsidR="0025226A">
        <w:t>imentos com os dados das notas a serem geradas</w:t>
      </w:r>
      <w:r w:rsidRPr="009C1BEB">
        <w:t xml:space="preserve">. </w:t>
      </w:r>
    </w:p>
    <w:p w:rsidR="00B50916" w:rsidRPr="009C1BEB" w:rsidRDefault="00B50916" w:rsidP="00B50916">
      <w:pPr>
        <w:numPr>
          <w:ilvl w:val="0"/>
          <w:numId w:val="33"/>
        </w:numPr>
        <w:ind w:left="1418" w:hanging="282"/>
        <w:jc w:val="both"/>
      </w:pPr>
      <w:r w:rsidRPr="009C1BEB">
        <w:t>Atribuição do nome do arquivo</w:t>
      </w:r>
      <w:r w:rsidR="003F1BA1" w:rsidRPr="009C1BEB">
        <w:t xml:space="preserve"> de cancelamento</w:t>
      </w:r>
      <w:r w:rsidRPr="009C1BEB">
        <w:t xml:space="preserve"> que será enviado por email, </w:t>
      </w:r>
      <w:r w:rsidR="00D951A5">
        <w:t>conforme exemplo</w:t>
      </w:r>
      <w:r w:rsidRPr="009C1BEB">
        <w:t>:</w:t>
      </w:r>
    </w:p>
    <w:p w:rsidR="00B50916" w:rsidRPr="00D951A5" w:rsidRDefault="00B50916" w:rsidP="00D951A5">
      <w:pPr>
        <w:numPr>
          <w:ilvl w:val="1"/>
          <w:numId w:val="33"/>
        </w:numPr>
        <w:jc w:val="both"/>
        <w:rPr>
          <w:b/>
          <w:sz w:val="20"/>
          <w:szCs w:val="20"/>
        </w:rPr>
      </w:pPr>
      <w:r w:rsidRPr="009C1BEB">
        <w:t xml:space="preserve"> </w:t>
      </w:r>
      <w:r w:rsidR="00D951A5" w:rsidRPr="00D951A5">
        <w:rPr>
          <w:b/>
          <w:sz w:val="20"/>
          <w:szCs w:val="20"/>
        </w:rPr>
        <w:t>501303043383390002345500100002569510002569511101111-procEventoNFe.xml</w:t>
      </w:r>
      <w:r w:rsidR="009968DC">
        <w:rPr>
          <w:b/>
          <w:sz w:val="20"/>
          <w:szCs w:val="20"/>
        </w:rPr>
        <w:t>.</w:t>
      </w:r>
    </w:p>
    <w:p w:rsidR="00B50916" w:rsidRPr="009C1BEB" w:rsidRDefault="00B50916" w:rsidP="00B50916">
      <w:pPr>
        <w:numPr>
          <w:ilvl w:val="0"/>
          <w:numId w:val="33"/>
        </w:numPr>
        <w:ind w:left="1418" w:hanging="282"/>
        <w:jc w:val="both"/>
      </w:pPr>
      <w:r w:rsidRPr="009C1BEB">
        <w:t>Estabelecido critério para ser gravado</w:t>
      </w:r>
      <w:r w:rsidR="003F1BA1" w:rsidRPr="009C1BEB">
        <w:t xml:space="preserve"> e enviado por email do arquivo de cancelamento somente para os tatus 101, 135, 136, 151, 155 retornados pela </w:t>
      </w:r>
      <w:r w:rsidR="00D951A5">
        <w:t>pagina de serviço</w:t>
      </w:r>
      <w:r w:rsidR="003F1BA1" w:rsidRPr="009C1BEB">
        <w:t xml:space="preserve"> </w:t>
      </w:r>
      <w:r w:rsidR="00D951A5">
        <w:t>SEFAZ</w:t>
      </w:r>
      <w:r w:rsidR="003F1BA1" w:rsidRPr="009C1BEB">
        <w:t>.</w:t>
      </w:r>
    </w:p>
    <w:p w:rsidR="003F1BA1" w:rsidRPr="009C1BEB" w:rsidRDefault="003F1BA1" w:rsidP="003F1BA1">
      <w:pPr>
        <w:numPr>
          <w:ilvl w:val="0"/>
          <w:numId w:val="33"/>
        </w:numPr>
        <w:ind w:left="1418" w:hanging="282"/>
        <w:jc w:val="both"/>
      </w:pPr>
      <w:r w:rsidRPr="009C1BEB">
        <w:t xml:space="preserve">Inserido a restrição do status 136 </w:t>
      </w:r>
      <w:r w:rsidR="00995F67">
        <w:t>no procedimento das notas a serem geradas</w:t>
      </w:r>
      <w:r w:rsidRPr="009C1BEB">
        <w:t xml:space="preserve"> para que as notas canceladas em eventos não fiquem visíveis em pendentes.</w:t>
      </w:r>
    </w:p>
    <w:p w:rsidR="003F1BA1" w:rsidRPr="009C1BEB" w:rsidRDefault="003F1BA1" w:rsidP="003F1BA1">
      <w:pPr>
        <w:numPr>
          <w:ilvl w:val="0"/>
          <w:numId w:val="33"/>
        </w:numPr>
        <w:ind w:left="1418" w:hanging="282"/>
        <w:jc w:val="both"/>
      </w:pPr>
      <w:r w:rsidRPr="009C1BEB">
        <w:t xml:space="preserve">Atualizado o script de atualização de </w:t>
      </w:r>
      <w:r w:rsidR="00995F67">
        <w:t>procedimentos das notas a serem geradas</w:t>
      </w:r>
      <w:r w:rsidRPr="009C1BEB">
        <w:t xml:space="preserve">. </w:t>
      </w:r>
    </w:p>
    <w:p w:rsidR="003310BF" w:rsidRDefault="00D05A3A" w:rsidP="00995F67">
      <w:pPr>
        <w:numPr>
          <w:ilvl w:val="0"/>
          <w:numId w:val="33"/>
        </w:numPr>
        <w:ind w:left="1418" w:hanging="282"/>
        <w:jc w:val="both"/>
      </w:pPr>
      <w:r>
        <w:t xml:space="preserve">Criado a rotina </w:t>
      </w:r>
      <w:r w:rsidR="003310BF" w:rsidRPr="009C1BEB">
        <w:t>de envio do arquivo XLM de cancelamento</w:t>
      </w:r>
      <w:r w:rsidR="00995F67">
        <w:t xml:space="preserve"> e inserida no script </w:t>
      </w:r>
      <w:r w:rsidR="009C1BEB" w:rsidRPr="009C1BEB">
        <w:t>de atualização.</w:t>
      </w:r>
    </w:p>
    <w:p w:rsidR="009C1BEB" w:rsidRDefault="002C3836" w:rsidP="002C3836">
      <w:pPr>
        <w:numPr>
          <w:ilvl w:val="0"/>
          <w:numId w:val="33"/>
        </w:numPr>
        <w:ind w:left="1418" w:hanging="282"/>
        <w:jc w:val="both"/>
      </w:pPr>
      <w:r>
        <w:t>Backup d</w:t>
      </w:r>
      <w:r w:rsidR="00D05A3A">
        <w:t>e</w:t>
      </w:r>
      <w:r>
        <w:t xml:space="preserve"> fontes efetuado.</w:t>
      </w:r>
    </w:p>
    <w:p w:rsidR="00C70242" w:rsidRDefault="00C70242" w:rsidP="002C3836">
      <w:pPr>
        <w:numPr>
          <w:ilvl w:val="0"/>
          <w:numId w:val="33"/>
        </w:numPr>
        <w:ind w:left="1418" w:hanging="282"/>
        <w:jc w:val="both"/>
      </w:pPr>
      <w:r>
        <w:t xml:space="preserve">Foi atualizada a pasta </w:t>
      </w:r>
      <w:r w:rsidR="00995F67">
        <w:t>do</w:t>
      </w:r>
      <w:r w:rsidR="0025226A">
        <w:t>s</w:t>
      </w:r>
      <w:r w:rsidR="00995F67">
        <w:t xml:space="preserve"> esquemas </w:t>
      </w:r>
      <w:r w:rsidR="0025226A">
        <w:t>(</w:t>
      </w:r>
      <w:r>
        <w:t>schemas</w:t>
      </w:r>
      <w:r w:rsidR="0025226A">
        <w:t>)</w:t>
      </w:r>
      <w:r>
        <w:t xml:space="preserve"> (não esquecer)</w:t>
      </w:r>
    </w:p>
    <w:p w:rsidR="0025226A" w:rsidRPr="009C1BEB" w:rsidRDefault="0025226A" w:rsidP="002C3836">
      <w:pPr>
        <w:numPr>
          <w:ilvl w:val="0"/>
          <w:numId w:val="33"/>
        </w:numPr>
        <w:ind w:left="1418" w:hanging="282"/>
        <w:jc w:val="both"/>
      </w:pPr>
      <w:r>
        <w:t>Obs</w:t>
      </w:r>
      <w:r w:rsidR="007A16CC">
        <w:t>.</w:t>
      </w:r>
      <w:r>
        <w:t>: Como foi revisada a rotina de atribuição dos nomes das pastas, durante a atualização pelo suporte, ele deve sempre</w:t>
      </w:r>
      <w:r w:rsidR="007A16CC">
        <w:t xml:space="preserve"> se</w:t>
      </w:r>
      <w:r>
        <w:t xml:space="preserve"> lembrar de mover todos os arquivos </w:t>
      </w:r>
      <w:r w:rsidR="007A16CC">
        <w:t xml:space="preserve">XML </w:t>
      </w:r>
      <w:r>
        <w:t>que est</w:t>
      </w:r>
      <w:r w:rsidR="007A16CC">
        <w:t>ão na pasta c:\Sistemas\GBNFe\Arq\Empr???\xml para a pasta c:\Sistemas\GBNFe\Arq\Empr???\log, onde ??? é o código da empresa ex: 001.</w:t>
      </w:r>
    </w:p>
    <w:p w:rsidR="00B50916" w:rsidRPr="009C1BEB" w:rsidRDefault="00B50916" w:rsidP="00B50916">
      <w:pPr>
        <w:pBdr>
          <w:bottom w:val="single" w:sz="6" w:space="1" w:color="auto"/>
        </w:pBdr>
        <w:jc w:val="both"/>
      </w:pPr>
    </w:p>
    <w:p w:rsidR="00B50916" w:rsidRPr="009C1BEB" w:rsidRDefault="00B50916" w:rsidP="00B50916">
      <w:pPr>
        <w:ind w:left="1136"/>
        <w:jc w:val="both"/>
      </w:pPr>
    </w:p>
    <w:p w:rsidR="00535ED0" w:rsidRPr="009C1BEB" w:rsidRDefault="00535ED0" w:rsidP="00535ED0">
      <w:pPr>
        <w:ind w:left="1136"/>
        <w:jc w:val="both"/>
      </w:pPr>
    </w:p>
    <w:sectPr w:rsidR="00535ED0" w:rsidRPr="009C1BEB" w:rsidSect="00A55406">
      <w:headerReference w:type="default" r:id="rId8"/>
      <w:footerReference w:type="default" r:id="rId9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992" w:rsidRDefault="00791992">
      <w:r>
        <w:separator/>
      </w:r>
    </w:p>
  </w:endnote>
  <w:endnote w:type="continuationSeparator" w:id="1">
    <w:p w:rsidR="00791992" w:rsidRDefault="00791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C71828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C71828" w:rsidRPr="008C706E">
            <w:rPr>
              <w:rFonts w:ascii="Cambria" w:hAnsi="Cambria"/>
              <w:b/>
            </w:rPr>
            <w:fldChar w:fldCharType="separate"/>
          </w:r>
          <w:r w:rsidR="009968DC">
            <w:rPr>
              <w:rFonts w:ascii="Cambria" w:hAnsi="Cambria"/>
              <w:b/>
              <w:noProof/>
            </w:rPr>
            <w:t>2</w:t>
          </w:r>
          <w:r w:rsidR="00C71828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C71828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C71828" w:rsidRPr="008C706E">
            <w:rPr>
              <w:rFonts w:ascii="Cambria" w:hAnsi="Cambria"/>
              <w:b/>
            </w:rPr>
            <w:fldChar w:fldCharType="separate"/>
          </w:r>
          <w:r w:rsidR="00503A89">
            <w:rPr>
              <w:rFonts w:ascii="Cambria" w:hAnsi="Cambria"/>
              <w:b/>
              <w:noProof/>
            </w:rPr>
            <w:t>2</w:t>
          </w:r>
          <w:r w:rsidR="00C71828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992" w:rsidRDefault="00791992">
      <w:r>
        <w:separator/>
      </w:r>
    </w:p>
  </w:footnote>
  <w:footnote w:type="continuationSeparator" w:id="1">
    <w:p w:rsidR="00791992" w:rsidRDefault="00791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1pt" o:ole="">
                <v:imagedata r:id="rId1" o:title=""/>
              </v:shape>
              <o:OLEObject Type="Embed" ProgID="PBrush" ShapeID="_x0000_i1025" DrawAspect="Content" ObjectID="_1425454895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807329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807329">
            <w:rPr>
              <w:b/>
              <w:color w:val="FFFFFF"/>
              <w:sz w:val="20"/>
              <w:szCs w:val="20"/>
            </w:rPr>
            <w:t>21</w:t>
          </w:r>
          <w:r>
            <w:rPr>
              <w:b/>
              <w:color w:val="FFFFFF"/>
              <w:sz w:val="20"/>
              <w:szCs w:val="20"/>
            </w:rPr>
            <w:t xml:space="preserve"> de </w:t>
          </w:r>
          <w:r w:rsidR="005671BE">
            <w:rPr>
              <w:b/>
              <w:color w:val="FFFFFF"/>
              <w:sz w:val="20"/>
              <w:szCs w:val="20"/>
            </w:rPr>
            <w:t>março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7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5"/>
  </w:num>
  <w:num w:numId="5">
    <w:abstractNumId w:val="27"/>
  </w:num>
  <w:num w:numId="6">
    <w:abstractNumId w:val="16"/>
  </w:num>
  <w:num w:numId="7">
    <w:abstractNumId w:val="29"/>
  </w:num>
  <w:num w:numId="8">
    <w:abstractNumId w:val="6"/>
  </w:num>
  <w:num w:numId="9">
    <w:abstractNumId w:val="30"/>
  </w:num>
  <w:num w:numId="10">
    <w:abstractNumId w:val="21"/>
  </w:num>
  <w:num w:numId="11">
    <w:abstractNumId w:val="31"/>
  </w:num>
  <w:num w:numId="12">
    <w:abstractNumId w:val="25"/>
  </w:num>
  <w:num w:numId="13">
    <w:abstractNumId w:val="24"/>
  </w:num>
  <w:num w:numId="14">
    <w:abstractNumId w:val="18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28"/>
  </w:num>
  <w:num w:numId="20">
    <w:abstractNumId w:val="4"/>
  </w:num>
  <w:num w:numId="21">
    <w:abstractNumId w:val="13"/>
  </w:num>
  <w:num w:numId="22">
    <w:abstractNumId w:val="34"/>
  </w:num>
  <w:num w:numId="23">
    <w:abstractNumId w:val="33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2"/>
  </w:num>
  <w:num w:numId="29">
    <w:abstractNumId w:val="9"/>
  </w:num>
  <w:num w:numId="30">
    <w:abstractNumId w:val="17"/>
  </w:num>
  <w:num w:numId="31">
    <w:abstractNumId w:val="23"/>
  </w:num>
  <w:num w:numId="32">
    <w:abstractNumId w:val="10"/>
  </w:num>
  <w:num w:numId="33">
    <w:abstractNumId w:val="2"/>
  </w:num>
  <w:num w:numId="34">
    <w:abstractNumId w:val="8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31DA"/>
    <w:rsid w:val="0000502B"/>
    <w:rsid w:val="00016BA8"/>
    <w:rsid w:val="000208EE"/>
    <w:rsid w:val="00021270"/>
    <w:rsid w:val="00036B87"/>
    <w:rsid w:val="00040BE2"/>
    <w:rsid w:val="00053D21"/>
    <w:rsid w:val="000602EF"/>
    <w:rsid w:val="00066090"/>
    <w:rsid w:val="000966F8"/>
    <w:rsid w:val="000A69E1"/>
    <w:rsid w:val="000B6E58"/>
    <w:rsid w:val="000C0C2F"/>
    <w:rsid w:val="000E431C"/>
    <w:rsid w:val="000E7D76"/>
    <w:rsid w:val="001047E1"/>
    <w:rsid w:val="00115A2D"/>
    <w:rsid w:val="001167FA"/>
    <w:rsid w:val="00123F85"/>
    <w:rsid w:val="001456F8"/>
    <w:rsid w:val="00154F76"/>
    <w:rsid w:val="00155D01"/>
    <w:rsid w:val="00162BD1"/>
    <w:rsid w:val="00170C05"/>
    <w:rsid w:val="00180EC4"/>
    <w:rsid w:val="001939BD"/>
    <w:rsid w:val="001A4FCB"/>
    <w:rsid w:val="001C060F"/>
    <w:rsid w:val="001C55FB"/>
    <w:rsid w:val="001D0899"/>
    <w:rsid w:val="001D1F47"/>
    <w:rsid w:val="00213EF3"/>
    <w:rsid w:val="00215ABF"/>
    <w:rsid w:val="00225172"/>
    <w:rsid w:val="00236A05"/>
    <w:rsid w:val="0024118C"/>
    <w:rsid w:val="00245717"/>
    <w:rsid w:val="0025226A"/>
    <w:rsid w:val="0026503D"/>
    <w:rsid w:val="00275A6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6448"/>
    <w:rsid w:val="0038506E"/>
    <w:rsid w:val="003F1BA1"/>
    <w:rsid w:val="003F501E"/>
    <w:rsid w:val="00400F7A"/>
    <w:rsid w:val="00401268"/>
    <w:rsid w:val="00403D6C"/>
    <w:rsid w:val="0040432E"/>
    <w:rsid w:val="0040438F"/>
    <w:rsid w:val="0041011C"/>
    <w:rsid w:val="004251B0"/>
    <w:rsid w:val="00437D93"/>
    <w:rsid w:val="004523D3"/>
    <w:rsid w:val="00456B93"/>
    <w:rsid w:val="0046096C"/>
    <w:rsid w:val="004840C5"/>
    <w:rsid w:val="0048594D"/>
    <w:rsid w:val="00492021"/>
    <w:rsid w:val="004932D4"/>
    <w:rsid w:val="004E009E"/>
    <w:rsid w:val="004F6B3C"/>
    <w:rsid w:val="004F79FE"/>
    <w:rsid w:val="005013D3"/>
    <w:rsid w:val="00503A89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3712"/>
    <w:rsid w:val="00591270"/>
    <w:rsid w:val="00596659"/>
    <w:rsid w:val="005B6A97"/>
    <w:rsid w:val="005D38E5"/>
    <w:rsid w:val="005D7847"/>
    <w:rsid w:val="005E2155"/>
    <w:rsid w:val="005E2E0C"/>
    <w:rsid w:val="005E6D03"/>
    <w:rsid w:val="005F24BF"/>
    <w:rsid w:val="005F40A5"/>
    <w:rsid w:val="005F7731"/>
    <w:rsid w:val="006016CE"/>
    <w:rsid w:val="006535AD"/>
    <w:rsid w:val="00675D0E"/>
    <w:rsid w:val="00690BAE"/>
    <w:rsid w:val="006C1F49"/>
    <w:rsid w:val="006C7E31"/>
    <w:rsid w:val="006D125E"/>
    <w:rsid w:val="0070171B"/>
    <w:rsid w:val="0070744A"/>
    <w:rsid w:val="0071465C"/>
    <w:rsid w:val="007372D0"/>
    <w:rsid w:val="00743B3F"/>
    <w:rsid w:val="00766ABB"/>
    <w:rsid w:val="007718A0"/>
    <w:rsid w:val="007766D9"/>
    <w:rsid w:val="00791992"/>
    <w:rsid w:val="007937F8"/>
    <w:rsid w:val="00796C57"/>
    <w:rsid w:val="007A16CC"/>
    <w:rsid w:val="007A3615"/>
    <w:rsid w:val="007A5C39"/>
    <w:rsid w:val="007B251C"/>
    <w:rsid w:val="007B37D6"/>
    <w:rsid w:val="007C6464"/>
    <w:rsid w:val="007D0AF5"/>
    <w:rsid w:val="007D57D4"/>
    <w:rsid w:val="007E0AF4"/>
    <w:rsid w:val="007E3BAD"/>
    <w:rsid w:val="00807329"/>
    <w:rsid w:val="008073F5"/>
    <w:rsid w:val="00815B14"/>
    <w:rsid w:val="00816A72"/>
    <w:rsid w:val="00830B93"/>
    <w:rsid w:val="008438A8"/>
    <w:rsid w:val="008547BA"/>
    <w:rsid w:val="008647DC"/>
    <w:rsid w:val="00871EDC"/>
    <w:rsid w:val="008847C6"/>
    <w:rsid w:val="00896B8D"/>
    <w:rsid w:val="008A5A23"/>
    <w:rsid w:val="008F03A8"/>
    <w:rsid w:val="00900964"/>
    <w:rsid w:val="00903CBA"/>
    <w:rsid w:val="0091403F"/>
    <w:rsid w:val="00951EA8"/>
    <w:rsid w:val="00986FEB"/>
    <w:rsid w:val="00995F67"/>
    <w:rsid w:val="009968DC"/>
    <w:rsid w:val="009A2E62"/>
    <w:rsid w:val="009A76F4"/>
    <w:rsid w:val="009A7EF8"/>
    <w:rsid w:val="009C1BEB"/>
    <w:rsid w:val="009D7052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7D0C"/>
    <w:rsid w:val="00AC6329"/>
    <w:rsid w:val="00AD1AE9"/>
    <w:rsid w:val="00AD30F5"/>
    <w:rsid w:val="00B12418"/>
    <w:rsid w:val="00B150F5"/>
    <w:rsid w:val="00B50916"/>
    <w:rsid w:val="00B55A20"/>
    <w:rsid w:val="00B924DC"/>
    <w:rsid w:val="00B94207"/>
    <w:rsid w:val="00BB1657"/>
    <w:rsid w:val="00BB41F2"/>
    <w:rsid w:val="00BB4806"/>
    <w:rsid w:val="00BC6A21"/>
    <w:rsid w:val="00BD5313"/>
    <w:rsid w:val="00C3405C"/>
    <w:rsid w:val="00C70242"/>
    <w:rsid w:val="00C71828"/>
    <w:rsid w:val="00C95EC1"/>
    <w:rsid w:val="00CA0BBD"/>
    <w:rsid w:val="00CA5A13"/>
    <w:rsid w:val="00CB5D65"/>
    <w:rsid w:val="00CD0CF6"/>
    <w:rsid w:val="00CD5F48"/>
    <w:rsid w:val="00CE7DA0"/>
    <w:rsid w:val="00CF2E1F"/>
    <w:rsid w:val="00D00398"/>
    <w:rsid w:val="00D026B6"/>
    <w:rsid w:val="00D05A3A"/>
    <w:rsid w:val="00D05D0F"/>
    <w:rsid w:val="00D06731"/>
    <w:rsid w:val="00D12001"/>
    <w:rsid w:val="00D248CF"/>
    <w:rsid w:val="00D4489F"/>
    <w:rsid w:val="00D546C0"/>
    <w:rsid w:val="00D61B3B"/>
    <w:rsid w:val="00D7086F"/>
    <w:rsid w:val="00D742B7"/>
    <w:rsid w:val="00D951A5"/>
    <w:rsid w:val="00DA7C66"/>
    <w:rsid w:val="00DC2C0E"/>
    <w:rsid w:val="00DC3215"/>
    <w:rsid w:val="00DC65DD"/>
    <w:rsid w:val="00DD0FC3"/>
    <w:rsid w:val="00DE6777"/>
    <w:rsid w:val="00E02BE1"/>
    <w:rsid w:val="00E041A6"/>
    <w:rsid w:val="00E112F4"/>
    <w:rsid w:val="00E14F4C"/>
    <w:rsid w:val="00E20848"/>
    <w:rsid w:val="00E2402B"/>
    <w:rsid w:val="00E664E6"/>
    <w:rsid w:val="00E749F2"/>
    <w:rsid w:val="00E76C2E"/>
    <w:rsid w:val="00E76F00"/>
    <w:rsid w:val="00E77482"/>
    <w:rsid w:val="00EA1B2A"/>
    <w:rsid w:val="00EB32FC"/>
    <w:rsid w:val="00EB3697"/>
    <w:rsid w:val="00EB3E11"/>
    <w:rsid w:val="00EC2C2C"/>
    <w:rsid w:val="00EC45C7"/>
    <w:rsid w:val="00ED0980"/>
    <w:rsid w:val="00EE1D80"/>
    <w:rsid w:val="00EF0A47"/>
    <w:rsid w:val="00F0384B"/>
    <w:rsid w:val="00F07FBE"/>
    <w:rsid w:val="00F6002B"/>
    <w:rsid w:val="00F61288"/>
    <w:rsid w:val="00F63E0A"/>
    <w:rsid w:val="00F7089F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26</cp:revision>
  <cp:lastPrinted>2013-03-22T13:51:00Z</cp:lastPrinted>
  <dcterms:created xsi:type="dcterms:W3CDTF">2013-03-14T17:33:00Z</dcterms:created>
  <dcterms:modified xsi:type="dcterms:W3CDTF">2013-03-22T13:55:00Z</dcterms:modified>
</cp:coreProperties>
</file>