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0A07" w:val="clear"/>
        <w:spacing w:before="800" w:after="0"/>
        <w:jc w:val="center"/>
      </w:pPr>
      <w:r>
        <w:rPr>
          <w:rFonts w:ascii="Arial" w:cs="Arial" w:eastAsia="Arial" w:hAnsi="Arial"/>
          <w:b/>
          <w:bCs/>
          <w:color w:val="FFFFFF"/>
          <w:spacing w:val="120"/>
          <w:sz w:val="52"/>
          <w:szCs w:val="52"/>
        </w:rPr>
        <w:t xml:space="preserve">UMADC CURITIBA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A89880"/>
          <w:spacing w:val="60"/>
          <w:sz w:val="24"/>
          <w:szCs w:val="24"/>
        </w:rPr>
        <w:t xml:space="preserve">Planejamento 2026 — Plataforma Digital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D4470A"/>
          <w:spacing w:val="200"/>
          <w:sz w:val="72"/>
          <w:szCs w:val="72"/>
        </w:rPr>
        <w:t xml:space="preserve">CHANGELOG</w:t>
      </w:r>
    </w:p>
    <w:p>
      <w:pPr>
        <w:spacing w:before="60" w:after="0"/>
        <w:jc w:val="center"/>
      </w:pPr>
      <w:r>
        <w:rPr>
          <w:rFonts w:ascii="Arial" w:cs="Arial" w:eastAsia="Arial" w:hAnsi="Arial"/>
          <w:b/>
          <w:bCs/>
          <w:color w:val="4A9E8A"/>
          <w:sz w:val="36"/>
          <w:szCs w:val="36"/>
        </w:rPr>
        <w:t xml:space="preserve">v1.0  →  v2.0</w:t>
      </w:r>
    </w:p>
    <w:p>
      <w:pPr>
        <w:spacing w:after="120"/>
      </w:pPr>
    </w:p>
    <w:p>
      <w:pPr>
        <w:pBdr>
          <w:bottom w:val="single" w:color="D4470A" w:sz="12" w:space="1"/>
        </w:pBdr>
        <w:spacing w:after="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A89880"/>
          <w:sz w:val="20"/>
          <w:szCs w:val="20"/>
        </w:rPr>
        <w:t xml:space="preserve">Nova Identidade Visual 2026  ·  "Até que todos ouçam"  ·  Romanos 10.14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A89880"/>
          <w:sz w:val="20"/>
          <w:szCs w:val="20"/>
        </w:rPr>
        <w:t xml:space="preserve">04 de março de 2026</w:t>
      </w:r>
    </w:p>
    <w:p>
      <w:pPr>
        <w:spacing w:after="6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D4470A"/>
          <w:sz w:val="34"/>
          <w:szCs w:val="34"/>
        </w:rPr>
        <w:t xml:space="preserve">01. Resumo da Versão</w:t>
      </w:r>
    </w:p>
    <w:p>
      <w:pPr>
        <w:pBdr>
          <w:bottom w:val="single" w:color="D4470A" w:sz="6" w:space="1"/>
        </w:pBdr>
        <w:spacing w:after="0"/>
      </w:pP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versão 2.0 da plataforma digital da UMADC Curitiba aplica a </w:t>
      </w:r>
      <w:r>
        <w:rPr>
          <w:rFonts w:ascii="Arial" w:cs="Arial" w:eastAsia="Arial" w:hAnsi="Arial"/>
          <w:b/>
          <w:bCs/>
          <w:color w:val="D4470A"/>
          <w:sz w:val="22"/>
          <w:szCs w:val="22"/>
        </w:rPr>
        <w:t xml:space="preserve">nova Identidade Visual 2026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em todos os três arquivos da plataforma. A mudança é exclusivamente visual — toda a estrutura, conteúdo, dados e funcionalidades da versão 1.0 foram preservados integralmente.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D4470A" w:sz="8"/>
              <w:left w:val="single" w:color="D4470A" w:sz="16"/>
              <w:bottom w:val="single" w:color="E0D5C8" w:sz="4"/>
              <w:right w:val="none" w:color="FFFFFF" w:sz="0"/>
            </w:tcBorders>
            <w:shd w:fill="FFF8F3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470A"/>
                <w:sz w:val="20"/>
                <w:szCs w:val="20"/>
              </w:rPr>
              <w:t xml:space="preserve">O que mudou: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Paleta de cores completa (CSS, inline styles, JavaScript, PDF gerado)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Background: fundo.png → Mapa Urbano da nova ID visual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Versão identificada em título, comentário de cabeçalho e badge visual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Aba Material do index: paleta, fundo e instruções de uso atualizadas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4A9E8A"/>
                <w:sz w:val="20"/>
                <w:szCs w:val="20"/>
              </w:rPr>
              <w:t xml:space="preserve">O que não mudou: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Estrutura de abas, cards, seções, navegação, dados, lógica JavaScript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D4470A"/>
          <w:sz w:val="34"/>
          <w:szCs w:val="34"/>
        </w:rPr>
        <w:t xml:space="preserve">02. Arquivos Modificados</w:t>
      </w:r>
    </w:p>
    <w:p>
      <w:pPr>
        <w:pBdr>
          <w:bottom w:val="single" w:color="D4470A" w:sz="6" w:space="1"/>
        </w:pBdr>
        <w:spacing w:after="0"/>
      </w:pPr>
    </w:p>
    <w:p>
      <w:pPr>
        <w:spacing w:after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000"/>
        <w:gridCol w:w="1106"/>
      </w:tblGrid>
      <w:tr>
        <w:trPr>
          <w:tblHeader/>
        </w:trPr>
        <w:tc>
          <w:tcPr>
            <w:tcW w:type="dxa" w:w="2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0D0A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7"/>
                <w:szCs w:val="17"/>
              </w:rPr>
              <w:t xml:space="preserve">ARQUIVO</w:t>
            </w:r>
          </w:p>
        </w:tc>
        <w:tc>
          <w:tcPr>
            <w:tcW w:type="dxa" w:w="5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0D0A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1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0D0A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7"/>
                <w:szCs w:val="17"/>
              </w:rPr>
              <w:t xml:space="preserve">LINHAS</w:t>
            </w:r>
          </w:p>
        </w:tc>
        <w:tc>
          <w:tcPr>
            <w:tcW w:type="dxa" w:w="1106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0D0A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470A"/>
                <w:sz w:val="18"/>
                <w:szCs w:val="18"/>
              </w:rPr>
              <w:t xml:space="preserve">index.html</w:t>
            </w:r>
          </w:p>
        </w:tc>
        <w:tc>
          <w:tcPr>
            <w:tcW w:type="dxa" w:w="5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Página principal — Home, Diretoria, Regionais, Agenda, Projetos, Material</w:t>
            </w:r>
          </w:p>
        </w:tc>
        <w:tc>
          <w:tcPr>
            <w:tcW w:type="dxa" w:w="1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E8A"/>
                <w:sz w:val="18"/>
                <w:szCs w:val="18"/>
              </w:rPr>
              <w:t xml:space="preserve">950</w:t>
            </w:r>
          </w:p>
        </w:tc>
      </w:tr>
      <w:tr>
        <w:tc>
          <w:tcPr>
            <w:tcW w:type="dxa" w:w="2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470A"/>
                <w:sz w:val="18"/>
                <w:szCs w:val="18"/>
              </w:rPr>
              <w:t xml:space="preserve">dashboardreuniao.html</w:t>
            </w:r>
          </w:p>
        </w:tc>
        <w:tc>
          <w:tcPr>
            <w:tcW w:type="dxa" w:w="5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de presença da Reunião Geral — 23/02/2026</w:t>
            </w:r>
          </w:p>
        </w:tc>
        <w:tc>
          <w:tcPr>
            <w:tcW w:type="dxa" w:w="1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E8A"/>
                <w:sz w:val="18"/>
                <w:szCs w:val="18"/>
              </w:rPr>
              <w:t xml:space="preserve">1.543</w:t>
            </w:r>
          </w:p>
        </w:tc>
      </w:tr>
      <w:tr>
        <w:tc>
          <w:tcPr>
            <w:tcW w:type="dxa" w:w="2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470A"/>
                <w:sz w:val="18"/>
                <w:szCs w:val="18"/>
              </w:rPr>
              <w:t xml:space="preserve">regional.html</w:t>
            </w:r>
          </w:p>
        </w:tc>
        <w:tc>
          <w:tcPr>
            <w:tcW w:type="dxa" w:w="5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Apresentação regional em slides — mapa, dados, estratégias</w:t>
            </w:r>
          </w:p>
        </w:tc>
        <w:tc>
          <w:tcPr>
            <w:tcW w:type="dxa" w:w="1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E8A"/>
                <w:sz w:val="18"/>
                <w:szCs w:val="18"/>
              </w:rPr>
              <w:t xml:space="preserve">2.499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D4470A"/>
          <w:sz w:val="34"/>
          <w:szCs w:val="34"/>
        </w:rPr>
        <w:t xml:space="preserve">03. Nova Paleta de Cores</w:t>
      </w:r>
    </w:p>
    <w:p>
      <w:pPr>
        <w:pBdr>
          <w:bottom w:val="single" w:color="D4470A" w:sz="6" w:space="1"/>
        </w:pBdr>
        <w:spacing w:after="0"/>
      </w:pPr>
    </w:p>
    <w:p>
      <w:pPr>
        <w:spacing w:after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3106"/>
      </w:tblGrid>
      <w:tr>
        <w:trPr>
          <w:tblHeader/>
        </w:trPr>
        <w:tc>
          <w:tcPr>
            <w:tcW w:type="dxa" w:w="2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0D0A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7"/>
                <w:szCs w:val="17"/>
              </w:rPr>
              <w:t xml:space="preserve">VARIÁVEL</w:t>
            </w:r>
          </w:p>
        </w:tc>
        <w:tc>
          <w:tcPr>
            <w:tcW w:type="dxa" w:w="2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0D0A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7"/>
                <w:szCs w:val="17"/>
              </w:rPr>
              <w:t xml:space="preserve">V1.0 (ANTERIOR)</w:t>
            </w:r>
          </w:p>
        </w:tc>
        <w:tc>
          <w:tcPr>
            <w:tcW w:type="dxa" w:w="2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0D0A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7"/>
                <w:szCs w:val="17"/>
              </w:rPr>
              <w:t xml:space="preserve">V2.0 (NOVA ID)</w:t>
            </w:r>
          </w:p>
        </w:tc>
        <w:tc>
          <w:tcPr>
            <w:tcW w:type="dxa" w:w="3106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0D0A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7"/>
                <w:szCs w:val="17"/>
              </w:rPr>
              <w:t xml:space="preserve">USO</w:t>
            </w:r>
          </w:p>
        </w:tc>
      </w:tr>
      <w:tr>
        <w:tc>
          <w:tcPr>
            <w:tcW w:type="dxa" w:w="15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470A"/>
                <w:sz w:val="17"/>
                <w:szCs w:val="17"/>
              </w:rPr>
              <w:t xml:space="preserve">--bg</w:t>
            </w:r>
          </w:p>
        </w:tc>
        <w:tc>
          <w:tcPr>
            <w:tcW w:type="dxa" w:w="2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Fundo principal</w:t>
            </w:r>
          </w:p>
        </w:tc>
        <w:tc>
          <w:tcPr>
            <w:tcW w:type="dxa" w:w="2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trike/>
                <w:color w:val="888888"/>
                <w:sz w:val="16"/>
                <w:szCs w:val="16"/>
              </w:rPr>
              <w:t xml:space="preserve">#050a14</w:t>
            </w:r>
          </w:p>
        </w:tc>
        <w:tc>
          <w:tcPr>
            <w:tcW w:type="dxa" w:w="22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E8A"/>
                <w:sz w:val="16"/>
                <w:szCs w:val="16"/>
              </w:rPr>
              <w:t xml:space="preserve">#0D0A07</w:t>
            </w:r>
          </w:p>
        </w:tc>
      </w:tr>
      <w:tr>
        <w:tc>
          <w:tcPr>
            <w:tcW w:type="dxa" w:w="15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470A"/>
                <w:sz w:val="17"/>
                <w:szCs w:val="17"/>
              </w:rPr>
              <w:t xml:space="preserve">--primary</w:t>
            </w:r>
          </w:p>
        </w:tc>
        <w:tc>
          <w:tcPr>
            <w:tcW w:type="dxa" w:w="2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Cor primária</w:t>
            </w:r>
          </w:p>
        </w:tc>
        <w:tc>
          <w:tcPr>
            <w:tcW w:type="dxa" w:w="2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trike/>
                <w:color w:val="888888"/>
                <w:sz w:val="16"/>
                <w:szCs w:val="16"/>
              </w:rPr>
              <w:t xml:space="preserve">#0056D2</w:t>
            </w:r>
          </w:p>
        </w:tc>
        <w:tc>
          <w:tcPr>
            <w:tcW w:type="dxa" w:w="22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E8A"/>
                <w:sz w:val="16"/>
                <w:szCs w:val="16"/>
              </w:rPr>
              <w:t xml:space="preserve">#D4470A</w:t>
            </w:r>
          </w:p>
        </w:tc>
      </w:tr>
      <w:tr>
        <w:tc>
          <w:tcPr>
            <w:tcW w:type="dxa" w:w="15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470A"/>
                <w:sz w:val="17"/>
                <w:szCs w:val="17"/>
              </w:rPr>
              <w:t xml:space="preserve">--accent</w:t>
            </w:r>
          </w:p>
        </w:tc>
        <w:tc>
          <w:tcPr>
            <w:tcW w:type="dxa" w:w="2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Destaque / badges</w:t>
            </w:r>
          </w:p>
        </w:tc>
        <w:tc>
          <w:tcPr>
            <w:tcW w:type="dxa" w:w="2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trike/>
                <w:color w:val="888888"/>
                <w:sz w:val="16"/>
                <w:szCs w:val="16"/>
              </w:rPr>
              <w:t xml:space="preserve">#F59E0B</w:t>
            </w:r>
          </w:p>
        </w:tc>
        <w:tc>
          <w:tcPr>
            <w:tcW w:type="dxa" w:w="22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E8A"/>
                <w:sz w:val="16"/>
                <w:szCs w:val="16"/>
              </w:rPr>
              <w:t xml:space="preserve">#D4470A</w:t>
            </w:r>
          </w:p>
        </w:tc>
      </w:tr>
      <w:tr>
        <w:tc>
          <w:tcPr>
            <w:tcW w:type="dxa" w:w="15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470A"/>
                <w:sz w:val="17"/>
                <w:szCs w:val="17"/>
              </w:rPr>
              <w:t xml:space="preserve">--secondary</w:t>
            </w:r>
          </w:p>
        </w:tc>
        <w:tc>
          <w:tcPr>
            <w:tcW w:type="dxa" w:w="2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Cor secundária (nova)</w:t>
            </w:r>
          </w:p>
        </w:tc>
        <w:tc>
          <w:tcPr>
            <w:tcW w:type="dxa" w:w="2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trike/>
                <w:color w:val="888888"/>
                <w:sz w:val="16"/>
                <w:szCs w:val="16"/>
              </w:rPr>
              <w:t xml:space="preserve">—</w:t>
            </w:r>
          </w:p>
        </w:tc>
        <w:tc>
          <w:tcPr>
            <w:tcW w:type="dxa" w:w="22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E8A"/>
                <w:sz w:val="16"/>
                <w:szCs w:val="16"/>
              </w:rPr>
              <w:t xml:space="preserve">#4A9E8A</w:t>
            </w:r>
          </w:p>
        </w:tc>
      </w:tr>
      <w:tr>
        <w:tc>
          <w:tcPr>
            <w:tcW w:type="dxa" w:w="15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470A"/>
                <w:sz w:val="17"/>
                <w:szCs w:val="17"/>
              </w:rPr>
              <w:t xml:space="preserve">--muted</w:t>
            </w:r>
          </w:p>
        </w:tc>
        <w:tc>
          <w:tcPr>
            <w:tcW w:type="dxa" w:w="2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Texto suave</w:t>
            </w:r>
          </w:p>
        </w:tc>
        <w:tc>
          <w:tcPr>
            <w:tcW w:type="dxa" w:w="2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trike/>
                <w:color w:val="888888"/>
                <w:sz w:val="16"/>
                <w:szCs w:val="16"/>
              </w:rPr>
              <w:t xml:space="preserve">#94A3B8</w:t>
            </w:r>
          </w:p>
        </w:tc>
        <w:tc>
          <w:tcPr>
            <w:tcW w:type="dxa" w:w="22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E8A"/>
                <w:sz w:val="16"/>
                <w:szCs w:val="16"/>
              </w:rPr>
              <w:t xml:space="preserve">#A89880</w:t>
            </w:r>
          </w:p>
        </w:tc>
      </w:tr>
      <w:tr>
        <w:tc>
          <w:tcPr>
            <w:tcW w:type="dxa" w:w="15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470A"/>
                <w:sz w:val="17"/>
                <w:szCs w:val="17"/>
              </w:rPr>
              <w:t xml:space="preserve">--glass</w:t>
            </w:r>
          </w:p>
        </w:tc>
        <w:tc>
          <w:tcPr>
            <w:tcW w:type="dxa" w:w="2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Cards translúcidos</w:t>
            </w:r>
          </w:p>
        </w:tc>
        <w:tc>
          <w:tcPr>
            <w:tcW w:type="dxa" w:w="2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trike/>
                <w:color w:val="888888"/>
                <w:sz w:val="16"/>
                <w:szCs w:val="16"/>
              </w:rPr>
              <w:t xml:space="preserve">rgba azul</w:t>
            </w:r>
          </w:p>
        </w:tc>
        <w:tc>
          <w:tcPr>
            <w:tcW w:type="dxa" w:w="22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E8A"/>
                <w:sz w:val="16"/>
                <w:szCs w:val="16"/>
              </w:rPr>
              <w:t xml:space="preserve">rgba quente</w:t>
            </w:r>
          </w:p>
        </w:tc>
      </w:tr>
      <w:tr>
        <w:tc>
          <w:tcPr>
            <w:tcW w:type="dxa" w:w="15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470A"/>
                <w:sz w:val="17"/>
                <w:szCs w:val="17"/>
              </w:rPr>
              <w:t xml:space="preserve">Background</w:t>
            </w:r>
          </w:p>
        </w:tc>
        <w:tc>
          <w:tcPr>
            <w:tcW w:type="dxa" w:w="2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Imagem de fundo</w:t>
            </w:r>
          </w:p>
        </w:tc>
        <w:tc>
          <w:tcPr>
            <w:tcW w:type="dxa" w:w="2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trike/>
                <w:color w:val="888888"/>
                <w:sz w:val="16"/>
                <w:szCs w:val="16"/>
              </w:rPr>
              <w:t xml:space="preserve">fundo.png</w:t>
            </w:r>
          </w:p>
        </w:tc>
        <w:tc>
          <w:tcPr>
            <w:tcW w:type="dxa" w:w="226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E8A"/>
                <w:sz w:val="16"/>
                <w:szCs w:val="16"/>
              </w:rPr>
              <w:t xml:space="preserve">mapa urbano</w:t>
            </w:r>
          </w:p>
        </w:tc>
      </w:tr>
    </w:tbl>
    <w:p>
      <w:pPr>
        <w:spacing w:after="20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D4470A"/>
          <w:spacing w:val="40"/>
          <w:sz w:val="16"/>
          <w:szCs w:val="16"/>
        </w:rPr>
        <w:t xml:space="preserve">DESCRIÇÃO DAS CORES — NOVA ID 2026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7106"/>
      </w:tblGrid>
      <w:tr>
        <w:tc>
          <w:tcPr>
            <w:tcW w:type="dxa" w:w="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D447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470A"/>
                <w:sz w:val="18"/>
                <w:szCs w:val="18"/>
              </w:rPr>
              <w:t xml:space="preserve">#D4470A — Laranja</w:t>
            </w:r>
          </w:p>
        </w:tc>
        <w:tc>
          <w:tcPr>
            <w:tcW w:type="dxa" w:w="7106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Cor dominante. Baseada na tipografia "TODOS" do tema "Até que todos ouçam". Usada em destaques, badges, bordas ativas, ícones principais e headers do PDF.</w:t>
            </w:r>
          </w:p>
        </w:tc>
      </w:tr>
      <w:tr>
        <w:tc>
          <w:tcPr>
            <w:tcW w:type="dxa" w:w="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4A9E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9E8A"/>
                <w:sz w:val="18"/>
                <w:szCs w:val="18"/>
              </w:rPr>
              <w:t xml:space="preserve">#4A9E8A — Teal</w:t>
            </w:r>
          </w:p>
        </w:tc>
        <w:tc>
          <w:tcPr>
            <w:tcW w:type="dxa" w:w="7106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Cor secundária. Baseada na tipografia "ATÉ QUE" e "OUÇAM" do tema. Substituiu o azul em cards coordenação, tags, meta-tags, progress bars, polígonos do mapa e bordas internas.</w:t>
            </w:r>
          </w:p>
        </w:tc>
      </w:tr>
      <w:tr>
        <w:tc>
          <w:tcPr>
            <w:tcW w:type="dxa" w:w="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2a2a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#0D0A07 — Preto quente</w:t>
            </w:r>
          </w:p>
        </w:tc>
        <w:tc>
          <w:tcPr>
            <w:tcW w:type="dxa" w:w="7106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Fundo principal. Tom quente (marrom-carvão) em vez do azul frio anterior. Alinhado ao mapa urbano da nova ID.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D4470A"/>
          <w:sz w:val="34"/>
          <w:szCs w:val="34"/>
        </w:rPr>
        <w:t xml:space="preserve">04. Detalhamento por Arquivo</w:t>
      </w:r>
    </w:p>
    <w:p>
      <w:pPr>
        <w:pBdr>
          <w:bottom w:val="single" w:color="D4470A" w:sz="6" w:space="1"/>
        </w:pBdr>
        <w:spacing w:after="0"/>
      </w:pPr>
    </w:p>
    <w:p>
      <w:pPr>
        <w:spacing w:after="120"/>
      </w:pPr>
    </w:p>
    <w:p>
      <w:pPr>
        <w:pStyle w:val="Heading2"/>
      </w:pPr>
      <w:r>
        <w:rPr>
          <w:rFonts w:ascii="Courier New" w:cs="Courier New" w:eastAsia="Courier New" w:hAnsi="Courier New"/>
          <w:b/>
          <w:bCs/>
          <w:color w:val="D4470A"/>
          <w:sz w:val="26"/>
          <w:szCs w:val="26"/>
        </w:rPr>
        <w:t xml:space="preserve">index.html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Variáveis CSS :root — todas as 7 variáveis atualizadas para nova paleta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theme-color da PWA atualizado para #0D0A07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bg-overlay: fundo.png → parte_da_nova_is_visual.png (mapa urbano)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Header, abas, hero: backgrounds e gradientes com nova paleta quente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Cards diretoria (.gold / .blue): laranja e teal substituindo âmbar e azul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Cards de foto: bordas, avatares, iniciais — nova paleta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Cards de projetos (.proj-grid-ext / .proj-grid-int): gradientes atualizados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Tags da agenda (.t-lid, .t-ebj, .t-esp): teal e laranja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Aba Material: paleta, swatches e nomes de cores atualizados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Seção "Padrão de Fundo": atualizada para o mapa urbano com instruções de uso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PDF gerado (jsPDF): faixas, header, headStyles da tabela, tagColors — nova paleta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Input de busca na Diretoria: cor de focus atualizada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Legenda da Diretoria: gradientes dos ícones atualizados</w:t>
      </w:r>
    </w:p>
    <w:p>
      <w:pPr>
        <w:spacing w:after="140"/>
      </w:pPr>
    </w:p>
    <w:p>
      <w:pPr>
        <w:pStyle w:val="Heading2"/>
      </w:pPr>
      <w:r>
        <w:rPr>
          <w:rFonts w:ascii="Courier New" w:cs="Courier New" w:eastAsia="Courier New" w:hAnsi="Courier New"/>
          <w:b/>
          <w:bCs/>
          <w:color w:val="D4470A"/>
          <w:sz w:val="26"/>
          <w:szCs w:val="26"/>
        </w:rPr>
        <w:t xml:space="preserve">dashboardreuniao.html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Variáveis :root: primary-bg, secondary-bg, tertiary-bg, border-color, text-secondary, accent-blue, accent-amber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Gradiente do body: azul-marinho → preto quente (#0D0A07 / #1a1108)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KPI cards: backgrounds, bordas de status presentes/ausentes/taxa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Tabs: background do container e cor do botão 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Cards regionais: hover, box-shadow — laranja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Status badges: .status-medio → teal (antes âmbar)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Faltante-item: border-left → laranja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Modal close hover, btn-copy hover → laranja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Recomendações: border-left-color médio prazo → teal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Charts (Chart.js): borderColor, labels, grid → tons quentes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KPI taxa: valor e ícone → teal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Modal stats: "Sem Contato" → teal</w:t>
      </w:r>
    </w:p>
    <w:p>
      <w:pPr>
        <w:spacing w:after="140"/>
      </w:pPr>
    </w:p>
    <w:p>
      <w:pPr>
        <w:pStyle w:val="Heading2"/>
      </w:pPr>
      <w:r>
        <w:rPr>
          <w:rFonts w:ascii="Courier New" w:cs="Courier New" w:eastAsia="Courier New" w:hAnsi="Courier New"/>
          <w:b/>
          <w:bCs/>
          <w:color w:val="D4470A"/>
          <w:sz w:val="26"/>
          <w:szCs w:val="26"/>
        </w:rPr>
        <w:t xml:space="preserve">regional.html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Variáveis :root completas: bg, primary, accent, muted, gradient, glass, glass-border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theme-color da PWA atualizado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bg-overlay: fundo.png → parte_da_nova_is_visual.png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h1 gradient: cinza-azulado → cinza-terroso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Estratégia cards: hover e ícone → laranja (antes azul)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Meta-tags das estratégias: teal (antes azul)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Progress bar, pins do mapa, back-btn, fullscreen-btn → laranja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Mapa Leaflet: polígono regional → laranja, Curitiba → bege acinzentado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Indicator cards: barras de visitantes (laranja) e conversões (teal)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Dot de navegação ativo → laranja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Bloco coordenação fixo: background quente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Modal de líderes: bordas, label, hover → laranja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Lista de líderes: texto muted, hover de cards → nova paleta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Textos inline muted (#94A3B8 → #A89880) em todo o arquivo</w:t>
      </w:r>
    </w:p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D4470A"/>
          <w:sz w:val="34"/>
          <w:szCs w:val="34"/>
        </w:rPr>
        <w:t xml:space="preserve">05. Versionamento Aplicado</w:t>
      </w:r>
    </w:p>
    <w:p>
      <w:pPr>
        <w:pBdr>
          <w:bottom w:val="single" w:color="D4470A" w:sz="6" w:space="1"/>
        </w:pBdr>
        <w:spacing w:after="0"/>
      </w:pP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três arquivos receberam as seguintes marcações de versão: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tblHeader/>
        </w:trPr>
        <w:tc>
          <w:tcPr>
            <w:tcW w:type="dxa" w:w="2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0D0A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7"/>
                <w:szCs w:val="17"/>
              </w:rPr>
              <w:t xml:space="preserve">MARCAÇÃO</w:t>
            </w:r>
          </w:p>
        </w:tc>
        <w:tc>
          <w:tcPr>
            <w:tcW w:type="dxa" w:w="7106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0D0A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17"/>
                <w:szCs w:val="17"/>
              </w:rPr>
              <w:t xml:space="preserve">CONTEÚDO / LOCAL</w:t>
            </w:r>
          </w:p>
        </w:tc>
      </w:tr>
      <w:tr>
        <w:tc>
          <w:tcPr>
            <w:tcW w:type="dxa" w:w="2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470A"/>
                <w:sz w:val="18"/>
                <w:szCs w:val="18"/>
              </w:rPr>
              <w:t xml:space="preserve">&lt;title&gt;</w:t>
            </w:r>
          </w:p>
        </w:tc>
        <w:tc>
          <w:tcPr>
            <w:tcW w:type="dxa" w:w="7106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Sufixo "· v2.0" adicionado ao título de cada página</w:t>
            </w:r>
          </w:p>
        </w:tc>
      </w:tr>
      <w:tr>
        <w:tc>
          <w:tcPr>
            <w:tcW w:type="dxa" w:w="2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470A"/>
                <w:sz w:val="18"/>
                <w:szCs w:val="18"/>
              </w:rPr>
              <w:t xml:space="preserve">Comentário HTML</w:t>
            </w:r>
          </w:p>
        </w:tc>
        <w:tc>
          <w:tcPr>
            <w:tcW w:type="dxa" w:w="7106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Bloco no topo após &lt;html&gt;: Versão, Data, Paleta, Tema</w:t>
            </w:r>
          </w:p>
        </w:tc>
      </w:tr>
      <w:tr>
        <w:tc>
          <w:tcPr>
            <w:tcW w:type="dxa" w:w="2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470A"/>
                <w:sz w:val="18"/>
                <w:szCs w:val="18"/>
              </w:rPr>
              <w:t xml:space="preserve">Badge visual</w:t>
            </w:r>
          </w:p>
        </w:tc>
        <w:tc>
          <w:tcPr>
            <w:tcW w:type="dxa" w:w="7106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"v2.0" fixado no canto inferior direito — discreto, pointer-events:none</w:t>
            </w:r>
          </w:p>
        </w:tc>
      </w:tr>
    </w:tbl>
    <w:p>
      <w:pPr>
        <w:spacing w:after="240"/>
      </w:pPr>
    </w:p>
    <w:p>
      <w:pPr>
        <w:pBdr>
          <w:bottom w:val="single" w:color="4A9E8A" w:sz="4" w:space="1"/>
        </w:pBdr>
        <w:spacing w:after="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A89880"/>
          <w:sz w:val="18"/>
          <w:szCs w:val="18"/>
        </w:rPr>
        <w:t xml:space="preserve">UMADC Curitiba  ·  Gestão 2026/2027  ·  </w:t>
      </w:r>
      <w:r>
        <w:rPr>
          <w:rFonts w:ascii="Arial" w:cs="Arial" w:eastAsia="Arial" w:hAnsi="Arial"/>
          <w:i/>
          <w:iCs/>
          <w:color w:val="A89880"/>
          <w:sz w:val="18"/>
          <w:szCs w:val="18"/>
        </w:rPr>
        <w:t xml:space="preserve">"Até que todos ouçam"</w:t>
      </w:r>
      <w:r>
        <w:rPr>
          <w:rFonts w:ascii="Arial" w:cs="Arial" w:eastAsia="Arial" w:hAnsi="Arial"/>
          <w:color w:val="A89880"/>
          <w:sz w:val="18"/>
          <w:szCs w:val="18"/>
        </w:rPr>
        <w:t xml:space="preserve">  ·  Romanos 10.14</w:t>
      </w:r>
    </w:p>
    <w:p>
      <w:pPr>
        <w:spacing w:before="40"/>
        <w:jc w:val="center"/>
      </w:pPr>
      <w:r>
        <w:rPr>
          <w:rFonts w:ascii="Arial" w:cs="Arial" w:eastAsia="Arial" w:hAnsi="Arial"/>
          <w:color w:val="4A9E8A"/>
          <w:sz w:val="16"/>
          <w:szCs w:val="16"/>
        </w:rPr>
        <w:t xml:space="preserve">Changelog gerado em 04/03/2026  ·  v1.0 → v2.0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D4470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A9E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2026-03-04T16:26:08.234Z</dcterms:created>
  <dcterms:modified xsi:type="dcterms:W3CDTF">2026-03-04T16:26:08.235Z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