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6"/>
          <w:szCs w:val="26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Especificação de caso de uso para visualização da conta do administrador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conta do administrador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visualizar a conta do administrador na plataforma web,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Administrador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administrador deve estar autenticado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fluxo começa quando o usuário acessa a página inicial da plataforma web.</w:t>
      </w:r>
    </w:p>
    <w:p w:rsidR="00000000" w:rsidDel="00000000" w:rsidP="00000000" w:rsidRDefault="00000000" w:rsidRPr="00000000" w14:paraId="0000006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Acessar a página inicial da aplicação web.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link “Minha conta”.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todos os dados do administrador na página. </w:t>
      </w:r>
      <w:r w:rsidDel="00000000" w:rsidR="00000000" w:rsidRPr="00000000">
        <w:rPr>
          <w:rFonts w:ascii="Lato" w:cs="Lato" w:eastAsia="Lato" w:hAnsi="Lato"/>
          <w:i w:val="1"/>
          <w:sz w:val="16"/>
          <w:szCs w:val="16"/>
          <w:rtl w:val="0"/>
        </w:rPr>
        <w:t xml:space="preserve">Obs: Ver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FA01</w:t>
      </w:r>
      <w:r w:rsidDel="00000000" w:rsidR="00000000" w:rsidRPr="00000000">
        <w:rPr>
          <w:rFonts w:ascii="Lato" w:cs="Lato" w:eastAsia="Lato" w:hAnsi="Lato"/>
          <w:rtl w:val="0"/>
        </w:rPr>
        <w:t xml:space="preserve"> - Visualizar todos os administradores.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item 3 do fluxo principal o administrador clica no link “Visualizar outros administradores”.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em uma tabela a lista de todos os administradores do sistema.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nome de um dos administradores.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todos os dados do administrador selecionado na página.  </w:t>
      </w:r>
      <w:r w:rsidDel="00000000" w:rsidR="00000000" w:rsidRPr="00000000">
        <w:rPr>
          <w:rFonts w:ascii="Lato" w:cs="Lato" w:eastAsia="Lato" w:hAnsi="Lato"/>
          <w:i w:val="1"/>
          <w:sz w:val="16"/>
          <w:szCs w:val="16"/>
          <w:rtl w:val="0"/>
        </w:rPr>
        <w:t xml:space="preserve">Obs: Ver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FE01 - Falha na exibição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item 3 do fluxo principal, o sistema falha na exibição dos dados do usuário.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a tela de início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