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56"/>
          <w:szCs w:val="56"/>
        </w:rPr>
        <w:t xml:space="preserve">Architecture Design Document</w:t>
      </w:r>
    </w:p>
    <w:p>
      <w:pPr>
        <w:spacing w:after="120"/>
        <w:jc w:val="center"/>
      </w:pPr>
      <w:r>
        <w:rPr>
          <w:rFonts w:ascii="Arial" w:cs="Arial" w:eastAsia="Arial" w:hAnsi="Arial"/>
          <w:color w:val="2E86C1"/>
          <w:sz w:val="32"/>
          <w:szCs w:val="32"/>
        </w:rPr>
        <w:t xml:space="preserve">Enterprise E-Commerce Microservices Platform</w:t>
      </w:r>
    </w:p>
    <w:p>
      <w:pPr>
        <w:spacing w:after="400"/>
      </w:pPr>
    </w:p>
    <w:p>
      <w:pPr>
        <w:pBdr>
          <w:top w:val="single" w:color="BDC3C7" w:sz="2" w:space="8"/>
        </w:pBdr>
        <w:spacing w:after="80"/>
        <w:jc w:val="center"/>
      </w:pPr>
      <w:r>
        <w:rPr>
          <w:rFonts w:ascii="Arial" w:cs="Arial" w:eastAsia="Arial" w:hAnsi="Arial"/>
          <w:color w:val="2C3E50"/>
          <w:sz w:val="24"/>
          <w:szCs w:val="24"/>
        </w:rPr>
        <w:t xml:space="preserve">Author: Vanilson</w:t>
      </w:r>
    </w:p>
    <w:p>
      <w:pPr>
        <w:spacing w:after="80"/>
        <w:jc w:val="center"/>
      </w:pPr>
      <w:r>
        <w:rPr>
          <w:rFonts w:ascii="Arial" w:cs="Arial" w:eastAsia="Arial" w:hAnsi="Arial"/>
          <w:color w:val="2C3E50"/>
          <w:sz w:val="24"/>
          <w:szCs w:val="24"/>
        </w:rPr>
        <w:t xml:space="preserve">Date: April 11, 2026</w:t>
      </w:r>
    </w:p>
    <w:p>
      <w:pPr>
        <w:spacing w:after="80"/>
        <w:jc w:val="center"/>
      </w:pPr>
      <w:r>
        <w:rPr>
          <w:rFonts w:ascii="Arial" w:cs="Arial" w:eastAsia="Arial" w:hAnsi="Arial"/>
          <w:color w:val="2C3E50"/>
          <w:sz w:val="24"/>
          <w:szCs w:val="24"/>
        </w:rPr>
        <w:t xml:space="preserve">Version: 1.0</w:t>
      </w:r>
    </w:p>
    <w:p>
      <w:pPr>
        <w:spacing w:after="80"/>
        <w:jc w:val="center"/>
      </w:pPr>
      <w:r>
        <w:rPr>
          <w:rFonts w:ascii="Arial" w:cs="Arial" w:eastAsia="Arial" w:hAnsi="Arial"/>
          <w:color w:val="2C3E50"/>
          <w:sz w:val="24"/>
          <w:szCs w:val="24"/>
        </w:rPr>
        <w:t xml:space="preserve">Status: Living Document</w:t>
      </w:r>
    </w:p>
    <w:p>
      <w:pPr>
        <w:sectPr>
          <w:pgSz w:w="12240" w:h="15840" w:orient="portrait"/>
          <w:pgMar w:top="1440" w:right="1440" w:bottom="1440" w:left="1440" w:header="708" w:footer="708" w:gutter="0"/>
          <w:pgNumType/>
          <w:docGrid w:linePitch="360"/>
        </w:sectPr>
      </w:pPr>
    </w:p>
    <w:p>
      <w:r>
        <w:br w:type="page"/>
      </w:r>
    </w:p>
    <w:p>
      <w:pPr>
        <w:pStyle w:val="Heading1"/>
      </w:pPr>
      <w:r>
        <w:t xml:space="preserve">1. Executive Summary</w:t>
      </w:r>
    </w:p>
    <w:p>
      <w:pPr>
        <w:spacing w:after="160"/>
      </w:pPr>
      <w:r>
        <w:rPr>
          <w:rFonts w:ascii="Arial" w:cs="Arial" w:eastAsia="Arial" w:hAnsi="Arial"/>
          <w:color w:val="2C3E50"/>
          <w:sz w:val="22"/>
          <w:szCs w:val="22"/>
        </w:rPr>
        <w:t xml:space="preserve">This document describes the architecture of the Enterprise E-Commerce Microservices Platform, a production-grade, cloud-native SaaS system built with twelve Spring Boot microservices. It is intended as the primary onboarding reference for new team members, technical leads, and non-technical stakeholders who need to understand what the platform does, how it is structured, and why key design decisions were made.</w:t>
      </w:r>
    </w:p>
    <w:p>
      <w:pPr>
        <w:spacing w:after="160"/>
      </w:pPr>
      <w:r>
        <w:rPr>
          <w:rFonts w:ascii="Arial" w:cs="Arial" w:eastAsia="Arial" w:hAnsi="Arial"/>
          <w:color w:val="2C3E50"/>
          <w:sz w:val="22"/>
          <w:szCs w:val="22"/>
        </w:rPr>
        <w:t xml:space="preserve">The platform enables multiple tenants (business customers) to operate independent e-commerce storefronts on shared infrastructure. Each tenant's data is isolated at the database row level, with enforcement at every layer from the API gateway through to the persistence tier. The system handles the full commerce lifecycle: customer management, product catalogues, shopping carts, order placement, payment processing, and email notifications.</w:t>
      </w:r>
    </w:p>
    <w:p>
      <w:pPr>
        <w:spacing w:after="160"/>
      </w:pPr>
      <w:r>
        <w:rPr>
          <w:rFonts w:ascii="Arial" w:cs="Arial" w:eastAsia="Arial" w:hAnsi="Arial"/>
          <w:color w:val="2C3E50"/>
          <w:sz w:val="22"/>
          <w:szCs w:val="22"/>
        </w:rPr>
        <w:t xml:space="preserve">Rather than a single monolithic application, the platform decomposes these capabilities into independently deployable services that communicate through Apache Kafka events and synchronous REST calls via an API gateway. This architecture enables independent scaling, isolated failure domains, and the ability for different teams to own and evolve individual services without coordinating deployments.</w:t>
      </w:r>
    </w:p>
    <w:p>
      <w:pPr>
        <w:spacing w:after="160"/>
      </w:pPr>
      <w:r>
        <w:rPr>
          <w:rFonts w:ascii="Arial" w:cs="Arial" w:eastAsia="Arial" w:hAnsi="Arial"/>
          <w:color w:val="2C3E50"/>
          <w:sz w:val="22"/>
          <w:szCs w:val="22"/>
        </w:rPr>
        <w:t xml:space="preserve">The four most consequential architectural decisions are documented in dedicated Architecture Decision Records (ADRs), referenced inline throughout this document. These cover the choreography saga pattern for distributed transactions, the transactional outbox for reliable event publishing, the polyglot persistence strategy, and the multi-tenancy isolation model.</w:t>
      </w:r>
    </w:p>
    <w:p>
      <w:pPr>
        <w:pBdr>
          <w:bottom w:val="single" w:color="2E86C1" w:sz="4" w:space="8"/>
        </w:pBdr>
        <w:spacing w:after="200" w:before="200"/>
      </w:pPr>
    </w:p>
    <w:p>
      <w:pPr>
        <w:pStyle w:val="Heading1"/>
      </w:pPr>
      <w:r>
        <w:t xml:space="preserve">2. Business Context and Problem Statement</w:t>
      </w:r>
    </w:p>
    <w:p>
      <w:pPr>
        <w:pStyle w:val="Heading2"/>
      </w:pPr>
      <w:r>
        <w:t xml:space="preserve">2.1 The Problem</w:t>
      </w:r>
    </w:p>
    <w:p>
      <w:pPr>
        <w:spacing w:after="160"/>
      </w:pPr>
      <w:r>
        <w:rPr>
          <w:rFonts w:ascii="Arial" w:cs="Arial" w:eastAsia="Arial" w:hAnsi="Arial"/>
          <w:color w:val="2C3E50"/>
          <w:sz w:val="22"/>
          <w:szCs w:val="22"/>
        </w:rPr>
        <w:t xml:space="preserve">Building a multi-tenant e-commerce platform requires solving several problems simultaneously. Orders must be processed reliably across service boundaries without losing data or creating inconsistencies. Multiple business customers must share infrastructure without any possibility of seeing each other's data. The system must remain available and responsive even when individual components fail. And the platform must be operationally manageable, with clear observability into what is happening across a dozen services at any given time.</w:t>
      </w:r>
    </w:p>
    <w:p>
      <w:pPr>
        <w:spacing w:after="160"/>
      </w:pPr>
      <w:r>
        <w:rPr>
          <w:rFonts w:ascii="Arial" w:cs="Arial" w:eastAsia="Arial" w:hAnsi="Arial"/>
          <w:color w:val="2C3E50"/>
          <w:sz w:val="22"/>
          <w:szCs w:val="22"/>
        </w:rPr>
        <w:t xml:space="preserve">A monolithic architecture could address some of these concerns, but it creates tight coupling between business domains, makes independent scaling impossible, and turns every deployment into a coordinated, high-risk event. The microservices approach trades that simplicity for operational complexity, but gains isolation, independent deployability, and the ability to choose the right technology for each workload.</w:t>
      </w:r>
    </w:p>
    <w:p>
      <w:pPr>
        <w:pStyle w:val="Heading2"/>
      </w:pPr>
      <w:r>
        <w:t xml:space="preserve">2.2 Core Business Requirements</w:t>
      </w:r>
    </w:p>
    <w:p>
      <w:pPr>
        <w:pStyle w:val="ListParagraph"/>
        <w:numPr>
          <w:ilvl w:val="0"/>
          <w:numId w:val="2"/>
        </w:numPr>
        <w:spacing w:after="80"/>
      </w:pPr>
      <w:r>
        <w:rPr>
          <w:rFonts w:ascii="Arial" w:cs="Arial" w:eastAsia="Arial" w:hAnsi="Arial"/>
          <w:color w:val="2C3E50"/>
          <w:sz w:val="22"/>
          <w:szCs w:val="22"/>
        </w:rPr>
        <w:t xml:space="preserve">Multi-tenant SaaS delivery: multiple business customers share one deployment, each with strict data isolation.</w:t>
      </w:r>
    </w:p>
    <w:p>
      <w:pPr>
        <w:pStyle w:val="ListParagraph"/>
        <w:numPr>
          <w:ilvl w:val="0"/>
          <w:numId w:val="2"/>
        </w:numPr>
        <w:spacing w:after="80"/>
      </w:pPr>
      <w:r>
        <w:rPr>
          <w:rFonts w:ascii="Arial" w:cs="Arial" w:eastAsia="Arial" w:hAnsi="Arial"/>
          <w:color w:val="2C3E50"/>
          <w:sz w:val="22"/>
          <w:szCs w:val="22"/>
        </w:rPr>
        <w:t xml:space="preserve">Full commerce lifecycle: customer registration, product browsing, cart management, order placement, payment processing, and notifications.</w:t>
      </w:r>
    </w:p>
    <w:p>
      <w:pPr>
        <w:pStyle w:val="ListParagraph"/>
        <w:numPr>
          <w:ilvl w:val="0"/>
          <w:numId w:val="2"/>
        </w:numPr>
        <w:spacing w:after="80"/>
      </w:pPr>
      <w:r>
        <w:rPr>
          <w:rFonts w:ascii="Arial" w:cs="Arial" w:eastAsia="Arial" w:hAnsi="Arial"/>
          <w:color w:val="2C3E50"/>
          <w:sz w:val="22"/>
          <w:szCs w:val="22"/>
        </w:rPr>
        <w:t xml:space="preserve">Reliable order processing: an order must never be silently lost, even if a service is temporarily unavailable.</w:t>
      </w:r>
    </w:p>
    <w:p>
      <w:pPr>
        <w:pStyle w:val="ListParagraph"/>
        <w:numPr>
          <w:ilvl w:val="0"/>
          <w:numId w:val="2"/>
        </w:numPr>
        <w:spacing w:after="80"/>
      </w:pPr>
      <w:r>
        <w:rPr>
          <w:rFonts w:ascii="Arial" w:cs="Arial" w:eastAsia="Arial" w:hAnsi="Arial"/>
          <w:color w:val="2C3E50"/>
          <w:sz w:val="22"/>
          <w:szCs w:val="22"/>
        </w:rPr>
        <w:t xml:space="preserve">Independent service evolution: teams must be able to deploy, scale, and update individual services without platform-wide coordination.</w:t>
      </w:r>
    </w:p>
    <w:p>
      <w:pPr>
        <w:pStyle w:val="ListParagraph"/>
        <w:numPr>
          <w:ilvl w:val="0"/>
          <w:numId w:val="2"/>
        </w:numPr>
        <w:spacing w:after="80"/>
      </w:pPr>
      <w:r>
        <w:rPr>
          <w:rFonts w:ascii="Arial" w:cs="Arial" w:eastAsia="Arial" w:hAnsi="Arial"/>
          <w:color w:val="2C3E50"/>
          <w:sz w:val="22"/>
          <w:szCs w:val="22"/>
        </w:rPr>
        <w:t xml:space="preserve">Observability: engineers must be able to trace a single request across all services and monitor system health in real time.</w:t>
      </w:r>
    </w:p>
    <w:p>
      <w:pPr>
        <w:pBdr>
          <w:bottom w:val="single" w:color="2E86C1" w:sz="4" w:space="8"/>
        </w:pBdr>
        <w:spacing w:after="200" w:before="200"/>
      </w:pPr>
    </w:p>
    <w:p>
      <w:pPr>
        <w:pStyle w:val="Heading1"/>
      </w:pPr>
      <w:r>
        <w:t xml:space="preserve">3. Constraints</w:t>
      </w:r>
    </w:p>
    <w:p>
      <w:pPr>
        <w:pStyle w:val="Heading2"/>
      </w:pPr>
      <w:r>
        <w:t xml:space="preserve">3.1 Architectural and Non-Functional Requirements</w:t>
      </w:r>
    </w:p>
    <w:p>
      <w:pPr>
        <w:pStyle w:val="ListParagraph"/>
        <w:numPr>
          <w:ilvl w:val="0"/>
          <w:numId w:val="2"/>
        </w:numPr>
        <w:spacing w:after="80"/>
      </w:pPr>
      <w:r>
        <w:rPr>
          <w:rFonts w:ascii="Arial" w:cs="Arial" w:eastAsia="Arial" w:hAnsi="Arial"/>
          <w:color w:val="2C3E50"/>
          <w:sz w:val="22"/>
          <w:szCs w:val="22"/>
        </w:rPr>
        <w:t xml:space="preserve">Eventual consistency: the system accepts that data across services will be temporarily inconsistent after a write, converging to a consistent state within seconds.</w:t>
      </w:r>
    </w:p>
    <w:p>
      <w:pPr>
        <w:pStyle w:val="ListParagraph"/>
        <w:numPr>
          <w:ilvl w:val="0"/>
          <w:numId w:val="2"/>
        </w:numPr>
        <w:spacing w:after="80"/>
      </w:pPr>
      <w:r>
        <w:rPr>
          <w:rFonts w:ascii="Arial" w:cs="Arial" w:eastAsia="Arial" w:hAnsi="Arial"/>
          <w:color w:val="2C3E50"/>
          <w:sz w:val="22"/>
          <w:szCs w:val="22"/>
        </w:rPr>
        <w:t xml:space="preserve">At-least-once event delivery: Kafka consumers may receive duplicate events. Every consumer must be idempotent.</w:t>
      </w:r>
    </w:p>
    <w:p>
      <w:pPr>
        <w:pStyle w:val="ListParagraph"/>
        <w:numPr>
          <w:ilvl w:val="0"/>
          <w:numId w:val="2"/>
        </w:numPr>
        <w:spacing w:after="80"/>
      </w:pPr>
      <w:r>
        <w:rPr>
          <w:rFonts w:ascii="Arial" w:cs="Arial" w:eastAsia="Arial" w:hAnsi="Arial"/>
          <w:color w:val="2C3E50"/>
          <w:sz w:val="22"/>
          <w:szCs w:val="22"/>
        </w:rPr>
        <w:t xml:space="preserve">Row-level tenant isolation: every query for tenant-scoped data must include a tenant_id filter, enforced transparently by the framework.</w:t>
      </w:r>
    </w:p>
    <w:p>
      <w:pPr>
        <w:pStyle w:val="ListParagraph"/>
        <w:numPr>
          <w:ilvl w:val="0"/>
          <w:numId w:val="2"/>
        </w:numPr>
        <w:spacing w:after="80"/>
      </w:pPr>
      <w:r>
        <w:rPr>
          <w:rFonts w:ascii="Arial" w:cs="Arial" w:eastAsia="Arial" w:hAnsi="Arial"/>
          <w:color w:val="2C3E50"/>
          <w:sz w:val="22"/>
          <w:szCs w:val="22"/>
        </w:rPr>
        <w:t xml:space="preserve">No distributed transactions: XA/two-phase commit is explicitly excluded. Cross-service consistency is achieved through sagas and compensation.</w:t>
      </w:r>
    </w:p>
    <w:p>
      <w:pPr>
        <w:pStyle w:val="ListParagraph"/>
        <w:numPr>
          <w:ilvl w:val="0"/>
          <w:numId w:val="2"/>
        </w:numPr>
        <w:spacing w:after="80"/>
      </w:pPr>
      <w:r>
        <w:rPr>
          <w:rFonts w:ascii="Arial" w:cs="Arial" w:eastAsia="Arial" w:hAnsi="Arial"/>
          <w:color w:val="2C3E50"/>
          <w:sz w:val="22"/>
          <w:szCs w:val="22"/>
        </w:rPr>
        <w:t xml:space="preserve">Gateway latency target: the API gateway filter chain (tenant validation, JWT verification, load shedding, request ID injection) must add less than 50ms of overhead to each request.</w:t>
      </w:r>
    </w:p>
    <w:p>
      <w:pPr>
        <w:pStyle w:val="ListParagraph"/>
        <w:numPr>
          <w:ilvl w:val="0"/>
          <w:numId w:val="2"/>
        </w:numPr>
        <w:spacing w:after="80"/>
      </w:pPr>
      <w:r>
        <w:rPr>
          <w:rFonts w:ascii="Arial" w:cs="Arial" w:eastAsia="Arial" w:hAnsi="Arial"/>
          <w:color w:val="2C3E50"/>
          <w:sz w:val="22"/>
          <w:szCs w:val="22"/>
        </w:rPr>
        <w:t xml:space="preserve">Zero-downtime deployments: services must be deployable independently via rolling updates in Kubernetes without dropping in-flight requests.</w:t>
      </w:r>
    </w:p>
    <w:p>
      <w:pPr>
        <w:pStyle w:val="Heading2"/>
      </w:pPr>
      <w:r>
        <w:t xml:space="preserve">3.2 Technology Stack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Java</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17 (LTS)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Runtime for all services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Spring Boot</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3.2.5</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Application framework</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Spring Cloud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2023.0.1</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Service discovery, config, gateway</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Apache Kafka</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3.x</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Event bus (choreography saga, notifications)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PostgreSQL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15</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ACID persistence (orders, payments, products, auth)</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MongoDB</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7.0</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Document persistence (customers, notifications)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Redis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7.2 (Sentinel)</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Ephemeral cart sessions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HashiCorp Vault</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Dev mode</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Secrets management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Docker Compose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3.8+</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Local and HA deployment</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Kubernetes + Helm</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Latest</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Production GitOps delivery</w:t>
            </w:r>
          </w:p>
        </w:tc>
      </w:tr>
    </w:tbl>
    <w:p>
      <w:pPr>
        <w:pBdr>
          <w:bottom w:val="single" w:color="2E86C1" w:sz="4" w:space="8"/>
        </w:pBdr>
        <w:spacing w:after="200" w:before="200"/>
      </w:pPr>
    </w:p>
    <w:p>
      <w:pPr>
        <w:pStyle w:val="Heading1"/>
      </w:pPr>
      <w:r>
        <w:t xml:space="preserve">4. System Overview</w:t>
      </w:r>
    </w:p>
    <w:p>
      <w:pPr>
        <w:pStyle w:val="Heading2"/>
      </w:pPr>
      <w:r>
        <w:t xml:space="preserve">4.1 Service Catalogue</w:t>
      </w:r>
    </w:p>
    <w:p>
      <w:pPr>
        <w:spacing w:after="160"/>
      </w:pPr>
      <w:r>
        <w:rPr>
          <w:rFonts w:ascii="Arial" w:cs="Arial" w:eastAsia="Arial" w:hAnsi="Arial"/>
          <w:color w:val="2C3E50"/>
          <w:sz w:val="22"/>
          <w:szCs w:val="22"/>
        </w:rPr>
        <w:t xml:space="preserve">The platform consists of twelve Spring Boot modules. Three are infrastructure services (gateway, config server, discovery server) and nine are application or library modules. The tenant-context module is a shared library, not a standalone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Port</w:t>
            </w:r>
          </w:p>
        </w:tc>
        <w:tc>
          <w:tcPr>
            <w:tcW w:type="dxa" w:w="6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gateway-api-service</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8222</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Single entry point. Runs tenant validation, JWT auth, load shedding, and request ID filters.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config-service</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8888</w:t>
            </w:r>
          </w:p>
        </w:tc>
        <w:tc>
          <w:tcPr>
            <w:tcW w:type="dxa" w:w="6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Spring Cloud Config server. Centralises YAML configuration, backed by Vault for secrets.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discovery-service</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8761</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Eureka server. Service registry for client-side load balancing and health checks.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authentication-service</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8085</w:t>
            </w:r>
          </w:p>
        </w:tc>
        <w:tc>
          <w:tcPr>
            <w:tcW w:type="dxa" w:w="6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JWT-based auth. Issues access/refresh tokens, handles token rotation and revocation.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tenant-service</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8095</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Manages tenant lifecycle (CRUD). The gateway validates X-Tenant-ID against this service.</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customer-service</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8090</w:t>
            </w:r>
          </w:p>
        </w:tc>
        <w:tc>
          <w:tcPr>
            <w:tcW w:type="dxa" w:w="6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Customer profiles stored in MongoDB. Flexible schema for varying tenant data models.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product-service</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8082</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Product catalogue and inventory. Uses pessimistic locking for stock reservation.</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cart-service</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8091</w:t>
            </w:r>
          </w:p>
        </w:tc>
        <w:tc>
          <w:tcPr>
            <w:tcW w:type="dxa" w:w="6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Shopping cart sessions in Redis. TTL-based expiry, highest throughput of any service.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order-service</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8083</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Order lifecycle. Publishes saga events via transactional outbox. Saga state machine.</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payment-service</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8086</w:t>
            </w:r>
          </w:p>
        </w:tc>
        <w:tc>
          <w:tcPr>
            <w:tcW w:type="dxa" w:w="6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Payment authorisation. Listens for inventory.reserved, publishes payment outcome.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notification-service</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8040</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Sends emails via MailHog. Consumes order/payment topics, handles DLQ, deduplicates.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tenant-context</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N/A</w:t>
            </w:r>
          </w:p>
        </w:tc>
        <w:tc>
          <w:tcPr>
            <w:tcW w:type="dxa" w:w="6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Shared library. Provides ThreadLocal tenant context, Hibernate filter, Feign interceptor.</w:t>
            </w:r>
          </w:p>
        </w:tc>
      </w:tr>
    </w:tbl>
    <w:p>
      <w:pPr>
        <w:pStyle w:val="Heading2"/>
      </w:pPr>
      <w:r>
        <w:t xml:space="preserve">4.2 Startup Dependency Chain</w:t>
      </w:r>
    </w:p>
    <w:p>
      <w:pPr>
        <w:spacing w:after="160"/>
      </w:pPr>
      <w:r>
        <w:rPr>
          <w:rFonts w:ascii="Arial" w:cs="Arial" w:eastAsia="Arial" w:hAnsi="Arial"/>
          <w:color w:val="2C3E50"/>
          <w:sz w:val="22"/>
          <w:szCs w:val="22"/>
        </w:rPr>
        <w:t xml:space="preserve">Services must start in a specific order because each depends on infrastructure provided by the one before it. The Maven reactor build order reflects this chain:</w:t>
      </w:r>
    </w:p>
    <w:p>
      <w:pPr>
        <w:spacing w:after="160"/>
      </w:pPr>
      <w:r>
        <w:rPr>
          <w:rFonts w:ascii="Arial" w:cs="Arial" w:eastAsia="Arial" w:hAnsi="Arial"/>
          <w:b/>
          <w:bCs/>
          <w:color w:val="2C3E50"/>
          <w:sz w:val="22"/>
          <w:szCs w:val="22"/>
        </w:rPr>
        <w:t xml:space="preserve">tenant-context</w:t>
      </w:r>
      <w:r>
        <w:rPr>
          <w:rFonts w:ascii="Arial" w:cs="Arial" w:eastAsia="Arial" w:hAnsi="Arial"/>
          <w:color w:val="2C3E50"/>
          <w:sz w:val="22"/>
          <w:szCs w:val="22"/>
        </w:rPr>
        <w:t xml:space="preserve"> (shared library) → </w:t>
      </w:r>
      <w:r>
        <w:rPr>
          <w:rFonts w:ascii="Arial" w:cs="Arial" w:eastAsia="Arial" w:hAnsi="Arial"/>
          <w:b/>
          <w:bCs/>
          <w:color w:val="2C3E50"/>
          <w:sz w:val="22"/>
          <w:szCs w:val="22"/>
        </w:rPr>
        <w:t xml:space="preserve">tenant-service</w:t>
      </w:r>
      <w:r>
        <w:rPr>
          <w:rFonts w:ascii="Arial" w:cs="Arial" w:eastAsia="Arial" w:hAnsi="Arial"/>
          <w:color w:val="2C3E50"/>
          <w:sz w:val="22"/>
          <w:szCs w:val="22"/>
        </w:rPr>
        <w:t xml:space="preserve"> → </w:t>
      </w:r>
      <w:r>
        <w:rPr>
          <w:rFonts w:ascii="Arial" w:cs="Arial" w:eastAsia="Arial" w:hAnsi="Arial"/>
          <w:b/>
          <w:bCs/>
          <w:color w:val="2C3E50"/>
          <w:sz w:val="22"/>
          <w:szCs w:val="22"/>
        </w:rPr>
        <w:t xml:space="preserve">discovery-service</w:t>
      </w:r>
      <w:r>
        <w:rPr>
          <w:rFonts w:ascii="Arial" w:cs="Arial" w:eastAsia="Arial" w:hAnsi="Arial"/>
          <w:color w:val="2C3E50"/>
          <w:sz w:val="22"/>
          <w:szCs w:val="22"/>
        </w:rPr>
        <w:t xml:space="preserve"> (Eureka, port 8761) → </w:t>
      </w:r>
      <w:r>
        <w:rPr>
          <w:rFonts w:ascii="Arial" w:cs="Arial" w:eastAsia="Arial" w:hAnsi="Arial"/>
          <w:b/>
          <w:bCs/>
          <w:color w:val="2C3E50"/>
          <w:sz w:val="22"/>
          <w:szCs w:val="22"/>
        </w:rPr>
        <w:t xml:space="preserve">config-service</w:t>
      </w:r>
      <w:r>
        <w:rPr>
          <w:rFonts w:ascii="Arial" w:cs="Arial" w:eastAsia="Arial" w:hAnsi="Arial"/>
          <w:color w:val="2C3E50"/>
          <w:sz w:val="22"/>
          <w:szCs w:val="22"/>
        </w:rPr>
        <w:t xml:space="preserve"> (Spring Cloud Config, port 8888) → </w:t>
      </w:r>
      <w:r>
        <w:rPr>
          <w:rFonts w:ascii="Arial" w:cs="Arial" w:eastAsia="Arial" w:hAnsi="Arial"/>
          <w:b/>
          <w:bCs/>
          <w:color w:val="2C3E50"/>
          <w:sz w:val="22"/>
          <w:szCs w:val="22"/>
        </w:rPr>
        <w:t xml:space="preserve">all application services</w:t>
      </w:r>
      <w:r>
        <w:rPr>
          <w:rFonts w:ascii="Arial" w:cs="Arial" w:eastAsia="Arial" w:hAnsi="Arial"/>
          <w:color w:val="2C3E50"/>
          <w:sz w:val="22"/>
          <w:szCs w:val="22"/>
        </w:rPr>
        <w:t xml:space="preserve"> → </w:t>
      </w:r>
      <w:r>
        <w:rPr>
          <w:rFonts w:ascii="Arial" w:cs="Arial" w:eastAsia="Arial" w:hAnsi="Arial"/>
          <w:b/>
          <w:bCs/>
          <w:color w:val="2C3E50"/>
          <w:sz w:val="22"/>
          <w:szCs w:val="22"/>
        </w:rPr>
        <w:t xml:space="preserve">gateway-api-service</w:t>
      </w:r>
      <w:r>
        <w:rPr>
          <w:rFonts w:ascii="Arial" w:cs="Arial" w:eastAsia="Arial" w:hAnsi="Arial"/>
          <w:color w:val="2C3E50"/>
          <w:sz w:val="22"/>
          <w:szCs w:val="22"/>
        </w:rPr>
        <w:t xml:space="preserve"> (port 8222)</w:t>
      </w:r>
    </w:p>
    <w:p>
      <w:pPr>
        <w:spacing w:after="160"/>
      </w:pPr>
      <w:r>
        <w:rPr>
          <w:rFonts w:ascii="Arial" w:cs="Arial" w:eastAsia="Arial" w:hAnsi="Arial"/>
          <w:color w:val="2C3E50"/>
          <w:sz w:val="22"/>
          <w:szCs w:val="22"/>
        </w:rPr>
        <w:t xml:space="preserve">Every application service declares an optional config import (optional:configserver:http://localhost:8888). The optional: prefix means services will start with local defaults if the config server is unavailable, preventing a hard dependency during development.</w:t>
      </w:r>
    </w:p>
    <w:p>
      <w:pPr>
        <w:pStyle w:val="Heading2"/>
      </w:pPr>
      <w:r>
        <w:t xml:space="preserve">4.3 Network Topology</w:t>
      </w:r>
    </w:p>
    <w:p>
      <w:pPr>
        <w:spacing w:after="160"/>
      </w:pPr>
      <w:r>
        <w:rPr>
          <w:rFonts w:ascii="Arial" w:cs="Arial" w:eastAsia="Arial" w:hAnsi="Arial"/>
          <w:color w:val="2C3E50"/>
          <w:sz w:val="22"/>
          <w:szCs w:val="22"/>
        </w:rPr>
        <w:t xml:space="preserve">Docker Compose defines three isolated networks to enforce separation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Network</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Members</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infra-net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Kafka, Zookeeper, Redis, 4x PostgreSQL, MongoDB, Vault</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Internal-only infrastructure. Not exposed to the host except via mapped ports.</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services-net</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All Spring Boot services, config-service, discovery-service</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Service mesh. All inter-service communication flows through this network.</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monitoring-net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Prometheus, Grafana, Zipkin, Loki, Promtail</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Observability stack. Scrapes metrics and collects logs/traces from services-net.</w:t>
            </w:r>
          </w:p>
        </w:tc>
      </w:tr>
    </w:tbl>
    <w:p>
      <w:pPr>
        <w:pBdr>
          <w:bottom w:val="single" w:color="2E86C1" w:sz="4" w:space="8"/>
        </w:pBdr>
        <w:spacing w:after="200" w:before="200"/>
      </w:pPr>
    </w:p>
    <w:p>
      <w:pPr>
        <w:pStyle w:val="Heading1"/>
      </w:pPr>
      <w:r>
        <w:t xml:space="preserve">5. Gateway and Security</w:t>
      </w:r>
    </w:p>
    <w:p>
      <w:pPr>
        <w:pStyle w:val="Heading2"/>
      </w:pPr>
      <w:r>
        <w:t xml:space="preserve">5.1 Gateway Filter Chain</w:t>
      </w:r>
    </w:p>
    <w:p>
      <w:pPr>
        <w:spacing w:after="160"/>
      </w:pPr>
      <w:r>
        <w:rPr>
          <w:rFonts w:ascii="Arial" w:cs="Arial" w:eastAsia="Arial" w:hAnsi="Arial"/>
          <w:color w:val="2C3E50"/>
          <w:sz w:val="22"/>
          <w:szCs w:val="22"/>
        </w:rPr>
        <w:t xml:space="preserve">Every inbound request to the platform passes through the API gateway (port 8222), which applies four filters in strict order. This chain enforces security, tenant isolation, and operational resilience at the perimeter before any business logic executes: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760"/>
        <w:gridCol w:w="270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Order</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Filter</w:t>
            </w:r>
          </w:p>
        </w:tc>
        <w:tc>
          <w:tcPr>
            <w:tcW w:type="dxa" w:w="3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c>
          <w:tcPr>
            <w:tcW w:type="dxa" w:w="2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Failure Behaviour</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TenantValidationFilter</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Extracts X-Tenant-ID header and validates it against tenant-service via Feign.</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Rejects with 403 Forbidden if missing or invalid.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2</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JwtAuthenticationFilter</w:t>
            </w:r>
          </w:p>
        </w:tc>
        <w:tc>
          <w:tcPr>
            <w:tcW w:type="dxa" w:w="3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Validates the Bearer token in the Authorization header. Verifies signature, expiry, and claims.</w:t>
            </w:r>
          </w:p>
        </w:tc>
        <w:tc>
          <w:tcPr>
            <w:tcW w:type="dxa" w:w="2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Rejects with 401 Unauthorized.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3</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LoadSheddingFilter</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Circuit-breaker pattern. Sheds requests when downstream services are overloaded.</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Returns 503 Service Unavailable.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4</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RequestIdFilter</w:t>
            </w:r>
          </w:p>
        </w:tc>
        <w:tc>
          <w:tcPr>
            <w:tcW w:type="dxa" w:w="3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Injects a unique X-Request-Id header for distributed tracing via Zipkin.</w:t>
            </w:r>
          </w:p>
        </w:tc>
        <w:tc>
          <w:tcPr>
            <w:tcW w:type="dxa" w:w="2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Always passes; generates ID if absent.</w:t>
            </w:r>
          </w:p>
        </w:tc>
      </w:tr>
    </w:tbl>
    <w:p>
      <w:pPr>
        <w:pStyle w:val="Heading2"/>
      </w:pPr>
      <w:r>
        <w:t xml:space="preserve">5.2 JWT Security Model</w:t>
      </w:r>
    </w:p>
    <w:p>
      <w:pPr>
        <w:spacing w:after="160"/>
      </w:pPr>
      <w:r>
        <w:rPr>
          <w:rFonts w:ascii="Arial" w:cs="Arial" w:eastAsia="Arial" w:hAnsi="Arial"/>
          <w:color w:val="2C3E50"/>
          <w:sz w:val="22"/>
          <w:szCs w:val="22"/>
        </w:rPr>
        <w:t xml:space="preserve">The authentication-service issues JWT tokens using BCrypt with a cost factor of 12 for password hashing. The session model is fully stateless: no server-side session storage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Token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Lifetime</w:t>
            </w:r>
          </w:p>
        </w:tc>
        <w:tc>
          <w:tcPr>
            <w:tcW w:type="dxa" w:w="5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Access Token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24 hours</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Authenticates API requests. Carried in the Authorization: Bearer header.</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Refresh Token</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7 days</w:t>
            </w:r>
          </w:p>
        </w:tc>
        <w:tc>
          <w:tcPr>
            <w:tcW w:type="dxa" w:w="5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Used to obtain a new access + refresh token pair without re-entering credentials.</w:t>
            </w:r>
          </w:p>
        </w:tc>
      </w:tr>
    </w:tbl>
    <w:p>
      <w:pPr>
        <w:spacing w:after="160"/>
      </w:pPr>
      <w:r>
        <w:rPr>
          <w:rFonts w:ascii="Arial" w:cs="Arial" w:eastAsia="Arial" w:hAnsi="Arial"/>
          <w:color w:val="2C3E50"/>
          <w:sz w:val="22"/>
          <w:szCs w:val="22"/>
        </w:rPr>
        <w:t xml:space="preserve">Token rotation is handled by RefreshTokenService.rotate(). When a refresh token is used, it is revoked and a new pair is issued. The /api/v1/auth/refresh endpoint is configured as permitAll so that revoked tokens still reach the service layer, which returns a proper error code rather than a generic 401.</w:t>
      </w:r>
    </w:p>
    <w:p>
      <w:pPr>
        <w:pStyle w:val="Heading2"/>
      </w:pPr>
      <w:r>
        <w:t xml:space="preserve">5.3 Vault Secrets Management</w:t>
      </w:r>
    </w:p>
    <w:p>
      <w:pPr>
        <w:spacing w:after="160"/>
      </w:pPr>
      <w:r>
        <w:rPr>
          <w:rFonts w:ascii="Arial" w:cs="Arial" w:eastAsia="Arial" w:hAnsi="Arial"/>
          <w:color w:val="2C3E50"/>
          <w:sz w:val="22"/>
          <w:szCs w:val="22"/>
        </w:rPr>
        <w:t xml:space="preserve">Sensitive configuration values (database credentials, JWT signing keys, API secrets) are stored in HashiCorp Vault rather than in plain-text YAML files. The config-service integrates with Vault in dev mode (token: root-token) and injects secrets into service configuration at startup. In production, AppRole or Kubernetes auth would replace the dev token.</w:t>
      </w:r>
    </w:p>
    <w:p>
      <w:pPr>
        <w:pBdr>
          <w:bottom w:val="single" w:color="2E86C1" w:sz="4" w:space="8"/>
        </w:pBdr>
        <w:spacing w:after="200" w:before="200"/>
      </w:pPr>
    </w:p>
    <w:p>
      <w:pPr>
        <w:pStyle w:val="Heading1"/>
      </w:pPr>
      <w:r>
        <w:t xml:space="preserve">6. Event-Driven Order Flow</w:t>
      </w:r>
    </w:p>
    <w:p>
      <w:pPr>
        <w:spacing w:after="160"/>
      </w:pPr>
      <w:r>
        <w:rPr>
          <w:rFonts w:ascii="Arial" w:cs="Arial" w:eastAsia="Arial" w:hAnsi="Arial"/>
          <w:color w:val="2C3E50"/>
          <w:sz w:val="22"/>
          <w:szCs w:val="22"/>
        </w:rPr>
        <w:t xml:space="preserve">The order fulfilment process is the most architecturally significant flow in the platform. It spans four services, uses a choreography saga for distributed consistency, and relies on a transactional outbox for reliable event publishing.</w:t>
      </w:r>
    </w:p>
    <w:p>
      <w:pPr>
        <w:pStyle w:val="Heading2"/>
      </w:pPr>
      <w:r>
        <w:t xml:space="preserve">6.1 Choreography Saga</w:t>
      </w:r>
    </w:p>
    <w:p>
      <w:pPr>
        <w:spacing w:after="160"/>
      </w:pPr>
      <w:r>
        <w:rPr>
          <w:rFonts w:ascii="Arial" w:cs="Arial" w:eastAsia="Arial" w:hAnsi="Arial"/>
          <w:i/>
          <w:iCs/>
          <w:color w:val="2C3E50"/>
          <w:sz w:val="22"/>
          <w:szCs w:val="22"/>
        </w:rPr>
        <w:t xml:space="preserve">Detailed rationale: </w:t>
      </w:r>
      <w:r>
        <w:rPr>
          <w:rFonts w:ascii="Arial" w:cs="Arial" w:eastAsia="Arial" w:hAnsi="Arial"/>
          <w:i/>
          <w:iCs/>
          <w:color w:val="2E86C1"/>
          <w:sz w:val="22"/>
          <w:szCs w:val="22"/>
        </w:rPr>
        <w:t xml:space="preserve">See ADR-001: Choreography Saga over Orchestration for Order Processing</w:t>
      </w:r>
      <w:r>
        <w:rPr>
          <w:rFonts w:ascii="Arial" w:cs="Arial" w:eastAsia="Arial" w:hAnsi="Arial"/>
          <w:i/>
          <w:iCs/>
          <w:color w:val="2C3E50"/>
          <w:sz w:val="22"/>
          <w:szCs w:val="22"/>
        </w:rPr>
        <w:t xml:space="preserve"> (docs/adr/ADR-001-choreography-saga.md)</w:t>
      </w:r>
    </w:p>
    <w:p>
      <w:pPr>
        <w:spacing w:after="160"/>
      </w:pPr>
      <w:r>
        <w:rPr>
          <w:rFonts w:ascii="Arial" w:cs="Arial" w:eastAsia="Arial" w:hAnsi="Arial"/>
          <w:color w:val="2C3E50"/>
          <w:sz w:val="22"/>
          <w:szCs w:val="22"/>
        </w:rPr>
        <w:t xml:space="preserve">There is no central orchestrator. Each service listens for the domain events it cares about, performs its local transaction, and publishes the outcome for the next participant. The full event sequence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560"/>
        <w:gridCol w:w="300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 Published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1</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Client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POST /api/v1/orders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N/A (receives 202 Accepted)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2</w:t>
            </w:r>
          </w:p>
        </w:tc>
        <w:tc>
          <w:tcPr>
            <w:tcW w:type="dxa" w:w="2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order-service</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Creates order in PENDING status, writes OutboxEvent</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order.requested (via outbox)</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3</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product-service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Reserves inventory using pessimistic lock</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inventory.reserved OR inventory.insufficient</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4</w:t>
            </w:r>
          </w:p>
        </w:tc>
        <w:tc>
          <w:tcPr>
            <w:tcW w:type="dxa" w:w="2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payment-service</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Authorises payment</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payment.authorized OR payment.failed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5</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order-service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OrderSagaConsumer updates order status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N/A (CONFIRMED or CANCELLED)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6</w:t>
            </w:r>
          </w:p>
        </w:tc>
        <w:tc>
          <w:tcPr>
            <w:tcW w:type="dxa" w:w="2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notification-service</w:t>
            </w:r>
          </w:p>
        </w:tc>
        <w:tc>
          <w:tcPr>
            <w:tcW w:type="dxa" w:w="3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Sends email notification to customer</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N/A (terminal)</w:t>
            </w:r>
          </w:p>
        </w:tc>
      </w:tr>
    </w:tbl>
    <w:p>
      <w:pPr>
        <w:spacing w:after="160"/>
      </w:pPr>
      <w:r>
        <w:rPr>
          <w:rFonts w:ascii="Arial" w:cs="Arial" w:eastAsia="Arial" w:hAnsi="Arial"/>
          <w:color w:val="2C3E50"/>
          <w:sz w:val="22"/>
          <w:szCs w:val="22"/>
        </w:rPr>
        <w:t xml:space="preserve">Compensation is implicit rather than explicit. Inventory is reserved (not decremented) until payment succeeds, and no money is captured until inventory is confirmed. On failure, the order is simply marked CANCELLED. The OrderSagaConsumer uses manual Kafka acknowledgement, committing the offset only after the database write succeeds, making the handler safe to re-run.</w:t>
      </w:r>
    </w:p>
    <w:p>
      <w:pPr>
        <w:pStyle w:val="Heading2"/>
      </w:pPr>
      <w:r>
        <w:t xml:space="preserve">6.2 Transactional Outbox</w:t>
      </w:r>
    </w:p>
    <w:p>
      <w:pPr>
        <w:spacing w:after="160"/>
      </w:pPr>
      <w:r>
        <w:rPr>
          <w:rFonts w:ascii="Arial" w:cs="Arial" w:eastAsia="Arial" w:hAnsi="Arial"/>
          <w:i/>
          <w:iCs/>
          <w:color w:val="2C3E50"/>
          <w:sz w:val="22"/>
          <w:szCs w:val="22"/>
        </w:rPr>
        <w:t xml:space="preserve">Detailed rationale: </w:t>
      </w:r>
      <w:r>
        <w:rPr>
          <w:rFonts w:ascii="Arial" w:cs="Arial" w:eastAsia="Arial" w:hAnsi="Arial"/>
          <w:i/>
          <w:iCs/>
          <w:color w:val="2E86C1"/>
          <w:sz w:val="22"/>
          <w:szCs w:val="22"/>
        </w:rPr>
        <w:t xml:space="preserve">See ADR-002: Transactional Outbox Pattern for Reliable Event Publishing</w:t>
      </w:r>
      <w:r>
        <w:rPr>
          <w:rFonts w:ascii="Arial" w:cs="Arial" w:eastAsia="Arial" w:hAnsi="Arial"/>
          <w:i/>
          <w:iCs/>
          <w:color w:val="2C3E50"/>
          <w:sz w:val="22"/>
          <w:szCs w:val="22"/>
        </w:rPr>
        <w:t xml:space="preserve"> (docs/adr/ADR-002-transactional-outbox.md)</w:t>
      </w:r>
    </w:p>
    <w:p>
      <w:pPr>
        <w:spacing w:after="160"/>
      </w:pPr>
      <w:r>
        <w:rPr>
          <w:rFonts w:ascii="Arial" w:cs="Arial" w:eastAsia="Arial" w:hAnsi="Arial"/>
          <w:color w:val="2C3E50"/>
          <w:sz w:val="22"/>
          <w:szCs w:val="22"/>
        </w:rPr>
        <w:t xml:space="preserve">The order-service faces the dual-write problem: it must write to PostgreSQL and publish to Kafka, but these are two separate systems that cannot share a transaction. The transactional outbox solves this by writing both the Order entity and an OutboxEvent record within a single database transaction. A separate scheduler (OutboxEventPublisher) polls the outbox_event table every 5 seconds and publishes pending events to Kafka. On success, the record is marked PUBLISHED; after 5 failures, it is marked FAILED for manual review.</w:t>
      </w:r>
    </w:p>
    <w:p>
      <w:pPr>
        <w:spacing w:after="160"/>
      </w:pPr>
      <w:r>
        <w:rPr>
          <w:rFonts w:ascii="Arial" w:cs="Arial" w:eastAsia="Arial" w:hAnsi="Arial"/>
          <w:color w:val="2C3E50"/>
          <w:sz w:val="22"/>
          <w:szCs w:val="22"/>
        </w:rPr>
        <w:t xml:space="preserve">The partition key on each OutboxEvent is set to the correlationId (saga ID), ensuring all events for a given order land on the same Kafka partition and maintain causal ordering.</w:t>
      </w:r>
    </w:p>
    <w:p>
      <w:pPr>
        <w:pStyle w:val="Heading2"/>
      </w:pPr>
      <w:r>
        <w:t xml:space="preserve">6.3 Idempotency and Dead Letter Queues</w:t>
      </w:r>
    </w:p>
    <w:p>
      <w:pPr>
        <w:spacing w:after="160"/>
      </w:pPr>
      <w:r>
        <w:rPr>
          <w:rFonts w:ascii="Arial" w:cs="Arial" w:eastAsia="Arial" w:hAnsi="Arial"/>
          <w:color w:val="2C3E50"/>
          <w:sz w:val="22"/>
          <w:szCs w:val="22"/>
        </w:rPr>
        <w:t xml:space="preserve">Because at-least-once delivery means consumers may receive duplicate events, the notification-service maintains a ProcessedEvent collection in MongoDB. Before processing any event, it checks whether the eventId has already been recorded. If so, the event is silently skipped.</w:t>
      </w:r>
    </w:p>
    <w:p>
      <w:pPr>
        <w:spacing w:after="160"/>
      </w:pPr>
      <w:r>
        <w:rPr>
          <w:rFonts w:ascii="Arial" w:cs="Arial" w:eastAsia="Arial" w:hAnsi="Arial"/>
          <w:color w:val="2C3E50"/>
          <w:sz w:val="22"/>
          <w:szCs w:val="22"/>
        </w:rPr>
        <w:t xml:space="preserve">Events that cannot be processed after repeated retries are routed to dead letter queues (payment-topic.DLQ, order-topic.DLQ). The DlqConsumer in notification-service persists these to MongoDB via DlqEventRepository for operations review.</w:t>
      </w:r>
    </w:p>
    <w:p>
      <w:pPr>
        <w:pBdr>
          <w:bottom w:val="single" w:color="2E86C1" w:sz="4" w:space="8"/>
        </w:pBdr>
        <w:spacing w:after="200" w:before="200"/>
      </w:pPr>
    </w:p>
    <w:p>
      <w:pPr>
        <w:pStyle w:val="Heading1"/>
      </w:pPr>
      <w:r>
        <w:t xml:space="preserve">7. Persistence Strategy</w:t>
      </w:r>
    </w:p>
    <w:p>
      <w:pPr>
        <w:spacing w:after="160"/>
      </w:pPr>
      <w:r>
        <w:rPr>
          <w:rFonts w:ascii="Arial" w:cs="Arial" w:eastAsia="Arial" w:hAnsi="Arial"/>
          <w:i/>
          <w:iCs/>
          <w:color w:val="2C3E50"/>
          <w:sz w:val="22"/>
          <w:szCs w:val="22"/>
        </w:rPr>
        <w:t xml:space="preserve">Detailed rationale: </w:t>
      </w:r>
      <w:r>
        <w:rPr>
          <w:rFonts w:ascii="Arial" w:cs="Arial" w:eastAsia="Arial" w:hAnsi="Arial"/>
          <w:i/>
          <w:iCs/>
          <w:color w:val="2E86C1"/>
          <w:sz w:val="22"/>
          <w:szCs w:val="22"/>
        </w:rPr>
        <w:t xml:space="preserve">See ADR-003: Polyglot Persistence Strategy</w:t>
      </w:r>
      <w:r>
        <w:rPr>
          <w:rFonts w:ascii="Arial" w:cs="Arial" w:eastAsia="Arial" w:hAnsi="Arial"/>
          <w:i/>
          <w:iCs/>
          <w:color w:val="2C3E50"/>
          <w:sz w:val="22"/>
          <w:szCs w:val="22"/>
        </w:rPr>
        <w:t xml:space="preserve"> (docs/adr/ADR-003-polyglot-persistence.md)</w:t>
      </w:r>
    </w:p>
    <w:p>
      <w:pPr>
        <w:spacing w:after="160"/>
      </w:pPr>
      <w:r>
        <w:rPr>
          <w:rFonts w:ascii="Arial" w:cs="Arial" w:eastAsia="Arial" w:hAnsi="Arial"/>
          <w:color w:val="2C3E50"/>
          <w:sz w:val="22"/>
          <w:szCs w:val="22"/>
        </w:rPr>
        <w:t xml:space="preserve">The platform uses three database technologies, each chosen for the specific workload characteristics of the services it supports. This is a deliberate trade-off: operational complexity increases (three technologies to monitor and maintain), but each service gets a persistence layer tuned to its actual needs rather than a generic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Database</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Services</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Why This Technology</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PostgreSQL 15 (4 isolated instances)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authentication, order, product, payment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ACID transactions, relational integrity, pessimistic locking for inventory, foreign keys for financial records.</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MongoDB 7.0 (Replica Set)</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customer, notification</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Flexible document schema for evolving customer profiles, append-heavy event logging, no cross-collection joins needed.</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Redis 7.2 (Sentinel)</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cart</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Ephemeral TTL-bound sessions, extreme read/write throughput (200 req/s rate limit), no durability requirement beyond session lifetime.</w:t>
            </w:r>
          </w:p>
        </w:tc>
      </w:tr>
    </w:tbl>
    <w:p>
      <w:pPr>
        <w:spacing w:after="160"/>
      </w:pPr>
      <w:r>
        <w:rPr>
          <w:rFonts w:ascii="Arial" w:cs="Arial" w:eastAsia="Arial" w:hAnsi="Arial"/>
          <w:color w:val="2C3E50"/>
          <w:sz w:val="22"/>
          <w:szCs w:val="22"/>
        </w:rPr>
        <w:t xml:space="preserve">Each PostgreSQL service gets its own isolated database instance (postgres-auth, postgres-order, postgres-product, postgres-payment), ensuring that a slow query or schema migration in one service cannot affect others. MongoDB is shared as a replica set with separate databases per service (customer_service_db, notification_service_db). Redis Sentinel provides automatic failover in the HA deployment variant.</w:t>
      </w:r>
    </w:p>
    <w:p>
      <w:pPr>
        <w:pBdr>
          <w:bottom w:val="single" w:color="2E86C1" w:sz="4" w:space="8"/>
        </w:pBdr>
        <w:spacing w:after="200" w:before="200"/>
      </w:pPr>
    </w:p>
    <w:p>
      <w:pPr>
        <w:pStyle w:val="Heading1"/>
      </w:pPr>
      <w:r>
        <w:t xml:space="preserve">8. Multi-Tenancy Design</w:t>
      </w:r>
    </w:p>
    <w:p>
      <w:pPr>
        <w:spacing w:after="160"/>
      </w:pPr>
      <w:r>
        <w:rPr>
          <w:rFonts w:ascii="Arial" w:cs="Arial" w:eastAsia="Arial" w:hAnsi="Arial"/>
          <w:i/>
          <w:iCs/>
          <w:color w:val="2C3E50"/>
          <w:sz w:val="22"/>
          <w:szCs w:val="22"/>
        </w:rPr>
        <w:t xml:space="preserve">Detailed rationale: </w:t>
      </w:r>
      <w:r>
        <w:rPr>
          <w:rFonts w:ascii="Arial" w:cs="Arial" w:eastAsia="Arial" w:hAnsi="Arial"/>
          <w:i/>
          <w:iCs/>
          <w:color w:val="2E86C1"/>
          <w:sz w:val="22"/>
          <w:szCs w:val="22"/>
        </w:rPr>
        <w:t xml:space="preserve">See ADR-004: Multi-Tenancy via ThreadLocal + Hibernate Filters</w:t>
      </w:r>
      <w:r>
        <w:rPr>
          <w:rFonts w:ascii="Arial" w:cs="Arial" w:eastAsia="Arial" w:hAnsi="Arial"/>
          <w:i/>
          <w:iCs/>
          <w:color w:val="2C3E50"/>
          <w:sz w:val="22"/>
          <w:szCs w:val="22"/>
        </w:rPr>
        <w:t xml:space="preserve"> (docs/adr/ADR-004-multitenant-threadlocal-hibernate.md)</w:t>
      </w:r>
    </w:p>
    <w:p>
      <w:pPr>
        <w:spacing w:after="160"/>
      </w:pPr>
      <w:r>
        <w:rPr>
          <w:rFonts w:ascii="Arial" w:cs="Arial" w:eastAsia="Arial" w:hAnsi="Arial"/>
          <w:color w:val="2C3E50"/>
          <w:sz w:val="22"/>
          <w:szCs w:val="22"/>
        </w:rPr>
        <w:t xml:space="preserve">The platform uses row-level tenant isolation with a tenant_id discriminator column on all multi-tenant entities. This is enforced by three infrastructure mechanisms that work together to ensure tenant context is never lost:</w:t>
      </w:r>
    </w:p>
    <w:p>
      <w:pPr>
        <w:pStyle w:val="Heading2"/>
      </w:pPr>
      <w:r>
        <w:t xml:space="preserve">8.1 Request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Gateway entry</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TenantValidationFilter</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Validates X-Tenant-ID header against tenant-service. Rejects invalid/missing IDs with 403.</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Service entry</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TenantInterceptor.preHandle()</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Extracts X-Tenant-ID from header, stores it in TenantContext (InheritableThreadLocal).</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Filter activation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TenantHibernateFilterActivator</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Enables Hibernate @Filter on the JPA session, auto-appending WHERE tenant_id = :tenantId.</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Business logic</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Service classes and repositories</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Execute normally. All JPA queries are filtered automatically. No tenant-aware code needed.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Request cleanup</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TenantInterceptor.afterCompletion()</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Clears TenantContext and deactivates the Hibernate filter to prevent thread-pool leaks.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Inter-service calls</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TenantFeignInterceptor</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Propagates X-Tenant-ID header on all outbound Feign calls automatically.</w:t>
            </w:r>
          </w:p>
        </w:tc>
      </w:tr>
    </w:tbl>
    <w:p>
      <w:pPr>
        <w:pStyle w:val="Heading2"/>
      </w:pPr>
      <w:r>
        <w:t xml:space="preserve">8.2 Developer Experience</w:t>
      </w:r>
    </w:p>
    <w:p>
      <w:pPr>
        <w:spacing w:after="160"/>
      </w:pPr>
      <w:r>
        <w:rPr>
          <w:rFonts w:ascii="Arial" w:cs="Arial" w:eastAsia="Arial" w:hAnsi="Arial"/>
          <w:color w:val="2C3E50"/>
          <w:sz w:val="22"/>
          <w:szCs w:val="22"/>
        </w:rPr>
        <w:t xml:space="preserve">The entire mechanism is packaged as a shared Maven library (tenant-context). Any service that adds this dependency and annotates its main class with @EnableMultiTenancy receives full tenant isolation with zero changes to its business logic or repository layer. The filter activator is registered conditionally: it only loads when JPA is on the classpath, so MongoDB and Redis services skip it without any configuration.</w:t>
      </w:r>
    </w:p>
    <w:p>
      <w:pPr>
        <w:spacing w:after="160"/>
      </w:pPr>
      <w:r>
        <w:rPr>
          <w:rFonts w:ascii="Arial" w:cs="Arial" w:eastAsia="Arial" w:hAnsi="Arial"/>
          <w:color w:val="2C3E50"/>
          <w:sz w:val="22"/>
          <w:szCs w:val="22"/>
        </w:rPr>
        <w:t xml:space="preserve">Cross-tenant operations (such as the OutboxEventPublisher polling all pending events) intentionally bypass the filter by running outside the normal request thread. These cases are explicitly documented in the relevant Javadoc.</w:t>
      </w:r>
    </w:p>
    <w:p>
      <w:pPr>
        <w:pBdr>
          <w:bottom w:val="single" w:color="2E86C1" w:sz="4" w:space="8"/>
        </w:pBdr>
        <w:spacing w:after="200" w:before="200"/>
      </w:pPr>
    </w:p>
    <w:p>
      <w:pPr>
        <w:pStyle w:val="Heading1"/>
      </w:pPr>
      <w:r>
        <w:t xml:space="preserve">9. Observability and Operations</w:t>
      </w:r>
    </w:p>
    <w:p>
      <w:pPr>
        <w:spacing w:after="160"/>
      </w:pPr>
      <w:r>
        <w:rPr>
          <w:rFonts w:ascii="Arial" w:cs="Arial" w:eastAsia="Arial" w:hAnsi="Arial"/>
          <w:color w:val="2C3E50"/>
          <w:sz w:val="22"/>
          <w:szCs w:val="22"/>
        </w:rPr>
        <w:t xml:space="preserve">The observability stack runs on a dedicated monitoring-net Docker network, scraping metrics and collecting logs/traces from services without affecting business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Tool</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Port</w:t>
            </w:r>
          </w:p>
        </w:tc>
        <w:tc>
          <w:tcPr>
            <w:tcW w:type="dxa" w:w="62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Prometheus</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9090</w:t>
            </w:r>
          </w:p>
        </w:tc>
        <w:tc>
          <w:tcPr>
            <w:tcW w:type="dxa" w:w="6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Metrics collection. Scrapes /actuator/prometheus endpoints from all services on a 15-second interval.</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Grafana</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3000</w:t>
            </w:r>
          </w:p>
        </w:tc>
        <w:tc>
          <w:tcPr>
            <w:tcW w:type="dxa" w:w="62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Dashboards and alerting. Pre-configured datasources for Prometheus, Loki, and Zipkin.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Zipkin</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9411</w:t>
            </w:r>
          </w:p>
        </w:tc>
        <w:tc>
          <w:tcPr>
            <w:tcW w:type="dxa" w:w="6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Distributed tracing. Spring Cloud Sleuth propagates trace IDs; Zipkin aggregates spans across services.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Loki + Promtail</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N/A</w:t>
            </w:r>
          </w:p>
        </w:tc>
        <w:tc>
          <w:tcPr>
            <w:tcW w:type="dxa" w:w="62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Log aggregation. Promtail tails service logs and ships them to Loki for querying in Grafana.</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Alertmanager</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N/A</w:t>
            </w:r>
          </w:p>
        </w:tc>
        <w:tc>
          <w:tcPr>
            <w:tcW w:type="dxa" w:w="6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Alert routing. Receives Prometheus alerts and routes them to configured notification channels.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MailHog</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8025</w:t>
            </w:r>
          </w:p>
        </w:tc>
        <w:tc>
          <w:tcPr>
            <w:tcW w:type="dxa" w:w="62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Email testing. Captures all SMTP traffic from notification-service for development review.</w:t>
            </w:r>
          </w:p>
        </w:tc>
      </w:tr>
    </w:tbl>
    <w:p>
      <w:pPr>
        <w:spacing w:after="160"/>
      </w:pPr>
      <w:r>
        <w:rPr>
          <w:rFonts w:ascii="Arial" w:cs="Arial" w:eastAsia="Arial" w:hAnsi="Arial"/>
          <w:color w:val="2C3E50"/>
          <w:sz w:val="22"/>
          <w:szCs w:val="22"/>
        </w:rPr>
        <w:t xml:space="preserve">Every service exposes health checks at /actuator/health (always permitAll) and API documentation at /swagger-ui.html. The X-Request-Id header injected by the gateway's RequestIdFilter enables correlation of a single user request across all services in Zipkin.</w:t>
      </w:r>
    </w:p>
    <w:p>
      <w:pPr>
        <w:pBdr>
          <w:bottom w:val="single" w:color="2E86C1" w:sz="4" w:space="8"/>
        </w:pBdr>
        <w:spacing w:after="200" w:before="200"/>
      </w:pPr>
    </w:p>
    <w:p>
      <w:pPr>
        <w:pStyle w:val="Heading1"/>
      </w:pPr>
      <w:r>
        <w:t xml:space="preserve">10. Deployment</w:t>
      </w:r>
    </w:p>
    <w:p>
      <w:pPr>
        <w:pStyle w:val="Heading2"/>
      </w:pPr>
      <w:r>
        <w:t xml:space="preserve">10.1 Local Development (Docker Compose)</w:t>
      </w:r>
    </w:p>
    <w:p>
      <w:pPr>
        <w:spacing w:after="160"/>
      </w:pPr>
      <w:r>
        <w:rPr>
          <w:rFonts w:ascii="Arial" w:cs="Arial" w:eastAsia="Arial" w:hAnsi="Arial"/>
          <w:color w:val="2C3E50"/>
          <w:sz w:val="22"/>
          <w:szCs w:val="22"/>
        </w:rPr>
        <w:t xml:space="preserve">Three Compose files support different development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docker-compose.yml</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Full stack: all infrastructure + all 12 services + monitoring. Requires ~6 GB Docker memory.</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docker-compose.ha.yml</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High-availability variant with Redis Sentinel and MongoDB replica set for testing failover.</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docker-compose.prod.yml</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Production-like configuration with resource limits, restart policies, and external secret injection.</w:t>
            </w:r>
          </w:p>
        </w:tc>
      </w:tr>
    </w:tbl>
    <w:p>
      <w:pPr>
        <w:pStyle w:val="Heading2"/>
      </w:pPr>
      <w:r>
        <w:t xml:space="preserve">10.2 Kubernetes / Helm</w:t>
      </w:r>
    </w:p>
    <w:p>
      <w:pPr>
        <w:spacing w:after="160"/>
      </w:pPr>
      <w:r>
        <w:rPr>
          <w:rFonts w:ascii="Arial" w:cs="Arial" w:eastAsia="Arial" w:hAnsi="Arial"/>
          <w:color w:val="2C3E50"/>
          <w:sz w:val="22"/>
          <w:szCs w:val="22"/>
        </w:rPr>
        <w:t xml:space="preserve">Production delivery uses Helm charts stored in the helm/ directory. The k8s/ directory contains raw Kubernetes manifests as a reference. The deployment strategy supports rolling updates for zero-downtime deployments, with readiness and liveness probes defined per service based on Spring Boot Actuator health endpoints.</w:t>
      </w:r>
    </w:p>
    <w:p>
      <w:pPr>
        <w:pStyle w:val="Heading2"/>
      </w:pPr>
      <w:r>
        <w:t xml:space="preserve">10.3 Standard Package Layout</w:t>
      </w:r>
    </w:p>
    <w:p>
      <w:pPr>
        <w:spacing w:after="160"/>
      </w:pPr>
      <w:r>
        <w:rPr>
          <w:rFonts w:ascii="Arial" w:cs="Arial" w:eastAsia="Arial" w:hAnsi="Arial"/>
          <w:color w:val="2C3E50"/>
          <w:sz w:val="22"/>
          <w:szCs w:val="22"/>
        </w:rPr>
        <w:t xml:space="preserve">Every application service follows a consistent layered package structure under code.with.vanilson.&lt;servicename&gt;: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Package</w:t>
            </w:r>
          </w:p>
        </w:tc>
        <w:tc>
          <w:tcPr>
            <w:tcW w:type="dxa" w:w="7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presentation/</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REST controllers. Accepts HTTP requests, delegates to the application layer.</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application/</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Service classes, DTOs, Mappers. Orchestrates domain logic and external calls.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domain/</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JPA/MongoDB entities, enums. Pure domain model with no framework dependencies.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infrastructure/</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Repositories, Kafka consumers/producers. Persistence and messaging adapters.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config/</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Spring @Configuration classes. Bean definitions and framework customisation.</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exception/</w:t>
            </w:r>
          </w:p>
        </w:tc>
        <w:tc>
          <w:tcPr>
            <w:tcW w:type="dxa" w:w="7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Custom exceptions and GlobalExceptionHandler. Consistent error response format.</w:t>
            </w:r>
          </w:p>
        </w:tc>
      </w:tr>
    </w:tbl>
    <w:p>
      <w:pPr>
        <w:pBdr>
          <w:bottom w:val="single" w:color="2E86C1" w:sz="4" w:space="8"/>
        </w:pBdr>
        <w:spacing w:after="200" w:before="200"/>
      </w:pPr>
    </w:p>
    <w:p>
      <w:pPr>
        <w:pStyle w:val="Heading1"/>
      </w:pPr>
      <w:r>
        <w:t xml:space="preserve">11. Key Design Decisions at a Glance</w:t>
      </w:r>
    </w:p>
    <w:p>
      <w:pPr>
        <w:spacing w:after="160"/>
      </w:pPr>
      <w:r>
        <w:rPr>
          <w:rFonts w:ascii="Arial" w:cs="Arial" w:eastAsia="Arial" w:hAnsi="Arial"/>
          <w:color w:val="2C3E50"/>
          <w:sz w:val="22"/>
          <w:szCs w:val="22"/>
        </w:rPr>
        <w:t xml:space="preserve">The following table summarises the four most consequential architectural decisions. Each is documented in a dedicated ADR with full context, alternatives considered, and trade-off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One-Line Rationale</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ADR Reference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Choreography Saga</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No central orchestrator. Services react to Kafka events autonomously, enabling full decoupling.</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ADR-001</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Transactional Outbox</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Atomic DB write for both order and event record. Eliminates the dual-write problem.</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ADR-002</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Polyglot Persistence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PostgreSQL for ACID, MongoDB for flexible docs, Redis for ephemeral carts. Right tool per workload.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ADR-003</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Row-Level Multi-Tenancy</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ThreadLocal + Hibernate Filter. Transparent isolation with zero business-logic changes.</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ADR-004</w:t>
            </w:r>
          </w:p>
        </w:tc>
      </w:tr>
    </w:tbl>
    <w:p>
      <w:pPr>
        <w:spacing w:after="200"/>
      </w:pPr>
    </w:p>
    <w:p>
      <w:pPr>
        <w:spacing w:after="160"/>
      </w:pPr>
      <w:r>
        <w:rPr>
          <w:rFonts w:ascii="Arial" w:cs="Arial" w:eastAsia="Arial" w:hAnsi="Arial"/>
          <w:i/>
          <w:iCs/>
          <w:color w:val="2C3E50"/>
          <w:sz w:val="22"/>
          <w:szCs w:val="22"/>
        </w:rPr>
        <w:t xml:space="preserve">All ADRs are located in </w:t>
      </w:r>
      <w:r>
        <w:rPr>
          <w:rFonts w:ascii="Arial" w:cs="Arial" w:eastAsia="Arial" w:hAnsi="Arial"/>
          <w:b/>
          <w:bCs/>
          <w:i/>
          <w:iCs/>
          <w:color w:val="2C3E50"/>
          <w:sz w:val="22"/>
          <w:szCs w:val="22"/>
        </w:rPr>
        <w:t xml:space="preserve">docs/adr/</w:t>
      </w:r>
      <w:r>
        <w:rPr>
          <w:rFonts w:ascii="Arial" w:cs="Arial" w:eastAsia="Arial" w:hAnsi="Arial"/>
          <w:i/>
          <w:iCs/>
          <w:color w:val="2C3E50"/>
          <w:sz w:val="22"/>
          <w:szCs w:val="22"/>
        </w:rPr>
        <w:t xml:space="preserve"> and are considered immutable once accepted. If a decision is reversed or superseded, a new ADR is created with a reference to the original.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8"/>
        <w:szCs w:val="18"/>
      </w:rPr>
      <w:t xml:space="preserve">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BDC3C7"/>
        <w:sz w:val="18"/>
        <w:szCs w:val="18"/>
      </w:rPr>
      <w:t xml:space="preserve">Architecture Design Document</w:t>
    </w:r>
    <w:r>
      <w:rPr>
        <w:rFonts w:ascii="Arial" w:cs="Arial" w:eastAsia="Arial" w:hAnsi="Arial"/>
        <w:color w:val="BDC3C7"/>
        <w:sz w:val="18"/>
        <w:szCs w:val="18"/>
      </w:rPr>
      <w:t xml:space="preserve">	Enterprise E-Commerce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2026-04-11T00:47:22.631Z</dcterms:created>
  <dcterms:modified xsi:type="dcterms:W3CDTF">2026-04-11T00:47:22.632Z</dcterms:modified>
</cp:coreProperties>
</file>

<file path=docProps/custom.xml><?xml version="1.0" encoding="utf-8"?>
<Properties xmlns="http://schemas.openxmlformats.org/officeDocument/2006/custom-properties" xmlns:vt="http://schemas.openxmlformats.org/officeDocument/2006/docPropsVTypes"/>
</file>