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EDSTAQ ACADEMY ADMIN PANEL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1E3A8A"/>
          <w:sz w:val="34"/>
          <w:szCs w:val="34"/>
        </w:rPr>
        <w:t xml:space="preserve">Demand Analysis, Supply Modeling &amp; Hiring Intelligence Specification</w:t>
      </w:r>
    </w:p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475569"/>
          <w:sz w:val="20"/>
          <w:szCs w:val="20"/>
        </w:rPr>
        <w:t xml:space="preserve">Compiled from System Analysis, Lead &amp; Demo Book Audits, and Operational Workflows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1. Allocation Feature Removal Documentation</w:t>
      </w:r>
    </w:p>
    <w:p>
      <w:pPr>
        <w:spacing w:after="150"/>
      </w:pPr>
      <w:r>
        <w:rPr>
          <w:rFonts w:ascii="Segoe UI" w:cs="Segoe UI" w:eastAsia="Segoe UI" w:hAnsi="Segoe UI"/>
          <w:color w:val="0F172A"/>
          <w:sz w:val="20"/>
          <w:szCs w:val="20"/>
        </w:rPr>
        <w:t xml:space="preserve">As confirmed by academic operations, manual/new class allocation from the teacher table and timetable matrix was deemed redundant and has been completely decommissioned across the admin codebase: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Teachers Overview Table (TeachersTable.jsx): </w:t>
      </w:r>
      <w:r>
        <w:t xml:space="preserve">Removed the 'Allocate' button from each teacher's row action cell. Only the Declines log modal remains accessible.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Schedule Matrix Modal (ScheduleMatrixModal.jsx): </w:t>
      </w:r>
      <w:r>
        <w:t xml:space="preserve">Removed the 'New Allocation' header action button, preserving pure timetable and availability viewing.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Application Core (App.jsx): </w:t>
      </w:r>
      <w:r>
        <w:t xml:space="preserve">Removed TeacherAssignModal imports, state references, allocation triggers, and local optimistic storage dependencies.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2. Lead &amp; Demo Book: Inbound Student Demand Analysis</w:t>
      </w:r>
    </w:p>
    <w:p>
      <w:pPr>
        <w:spacing w:after="150"/>
      </w:pPr>
      <w:r>
        <w:rPr>
          <w:rFonts w:ascii="Segoe UI" w:cs="Segoe UI" w:eastAsia="Segoe UI" w:hAnsi="Segoe UI"/>
          <w:color w:val="0F172A"/>
          <w:sz w:val="20"/>
          <w:szCs w:val="20"/>
        </w:rPr>
        <w:t xml:space="preserve">Analysis of 149 student demo records against the Master Subjects catalog reveals current demand velocity and enrollment bottlenecks: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1805"/>
        <w:gridCol w:w="2708"/>
      </w:tblGrid>
      <w:tr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Demo Status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Strategic Significance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Converted to Sale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38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25.5%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Closed revenue admissions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Rejected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74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49.7%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Price sensitivity &amp; schedule drops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Scheduled (Upcoming)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12.1%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Pipeline awaiting demo session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Completed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8.7%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Demo done, pending final closing call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Follow up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4.0%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Interested leads scheduled for re-contact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E3A8A"/>
          <w:sz w:val="22"/>
          <w:szCs w:val="22"/>
        </w:rPr>
        <w:t xml:space="preserve">2.1 Grade / Division Distribution</w:t>
      </w:r>
    </w:p>
    <w:p>
      <w:pPr>
        <w:spacing w:after="150"/>
      </w:pPr>
      <w:r>
        <w:rPr>
          <w:sz w:val="20"/>
          <w:szCs w:val="20"/>
        </w:rPr>
        <w:t xml:space="preserve">• Class 8 is the #1 single grade in demand (25 demos), followed by Class 4 (18 demos), Class 7 (16 demos), Class 3 (16 demos), and Class 6 (14 demos).
• Lower Primary (LP, Classes 1-4) represents 52 requests (34.9% of total demand).
• High School (HS, Classes 8-10) represents 46 requests (30.9% of total demand).
• Upper Primary (UP, Classes 5-7) represents 41 requests (27.5% of total demand).
• Higher Secondary (HSS, +1 &amp; +2) represents 10 requests with an extraordinary 75% conversion rate to paid sales.</w:t>
      </w:r>
    </w:p>
    <w:p>
      <w:pPr>
        <w:pStyle w:val="Heading2"/>
        <w:spacing w:after="120" w:before="200"/>
      </w:pPr>
      <w:r>
        <w:rPr>
          <w:b/>
          <w:bCs/>
          <w:color w:val="1E3A8A"/>
          <w:sz w:val="22"/>
          <w:szCs w:val="22"/>
        </w:rPr>
        <w:t xml:space="preserve">2.2 Core Subject Demand</w:t>
      </w:r>
    </w:p>
    <w:p>
      <w:pPr>
        <w:spacing w:after="150"/>
      </w:pPr>
      <w:r>
        <w:rPr>
          <w:sz w:val="20"/>
          <w:szCs w:val="20"/>
        </w:rPr>
        <w:t xml:space="preserve">• Mathematics dominates with 48 requests (32.2% of all inbound demo demand).
• English follows closely with 39 requests (26.2%).
• Hindi represents 22 requests (14.8%) with notable supply scarcity in Class 7 and Class 9.
• Malayalam represents 13 requests (8.7%) with high conversion stability.</w:t>
      </w:r>
    </w:p>
    <w:p>
      <w:pPr>
        <w:pStyle w:val="Heading2"/>
        <w:spacing w:after="120" w:before="200"/>
      </w:pPr>
      <w:r>
        <w:rPr>
          <w:b/>
          <w:bCs/>
          <w:color w:val="1E3A8A"/>
          <w:sz w:val="22"/>
          <w:szCs w:val="22"/>
        </w:rPr>
        <w:t xml:space="preserve">2.3 Qualitative Rejection Root-Cause Breakdown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Pricing &amp; Affordability (45%): </w:t>
      </w:r>
      <w:r>
        <w:t xml:space="preserve">Parents praise the demo and tutor quality, but struggle with 1-on-1 monthly fees. Multiple notes indicate demand for a lower-priced group format.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Decision-Maker Gap (25%): </w:t>
      </w:r>
      <w:r>
        <w:t xml:space="preserve">Demos attended only by student/mother where financial decision-making lies with the father, causing drop-offs without structured outreach.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School Exam / Timetable Clashes (15%): </w:t>
      </w:r>
      <w:r>
        <w:t xml:space="preserve">Temporary pauses due to USS examinations, Madrasa exam cycles, or school Kalolsavam.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Alternative Tuition (15%): </w:t>
      </w:r>
      <w:r>
        <w:t xml:space="preserve">Enquiries regarding offline local tutors or institutional competitors.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3. The 4-Pillar Hiring Requirement Profile &amp; Mathematical Model</w:t>
      </w:r>
    </w:p>
    <w:p>
      <w:pPr>
        <w:spacing w:after="150"/>
      </w:pPr>
      <w:r>
        <w:rPr>
          <w:sz w:val="20"/>
          <w:szCs w:val="20"/>
        </w:rPr>
        <w:t xml:space="preserve">As specified by Edstaq academic management, teacher recruitment cannot be one-dimensional. Every hiring mandate must be qualified across four core parameters: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Target Subject: </w:t>
      </w:r>
      <w:r>
        <w:t xml:space="preserve">Mathematics, English, Hindi, Basic Science, Physics, Chemistry, Accountancy.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Division / Stage: </w:t>
      </w:r>
      <w:r>
        <w:t xml:space="preserve">Lower Primary (LP: 1-4), Upper Primary (UP: 5-7), High School (HS: 8-10), Higher Secondary (HSS: +1/+2).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Curriculum / Board: </w:t>
      </w:r>
      <w:r>
        <w:t xml:space="preserve">Kerala State Syllabus vs. CBSE Syllabus (or Dual-Board competency).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4. Teaching Language / Medium: </w:t>
      </w:r>
      <w:r>
        <w:t xml:space="preserve">English Medium, Malayalam Medium, or Bilingual / Mixed Delivery (teaching English textbooks with Malayalam doubt-clearing).</w:t>
      </w:r>
    </w:p>
    <w:p>
      <w:pPr>
        <w:pStyle w:val="Heading2"/>
        <w:spacing w:after="120" w:before="200"/>
      </w:pPr>
      <w:r>
        <w:rPr>
          <w:b/>
          <w:bCs/>
          <w:color w:val="1E3A8A"/>
          <w:sz w:val="22"/>
          <w:szCs w:val="22"/>
        </w:rPr>
        <w:t xml:space="preserve">3.1 Capacity Deficit &amp; Headcount Formula</w:t>
      </w:r>
    </w:p>
    <w:p>
      <w:pPr>
        <w:spacing w:after="15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H_required = max(0, ceil((Demand_hours - Supply_hours) / Standard_Teacher_Capacity))
If Demand &gt;= 2 and Current_Active_Teachers = 0, H_required = max(1, ceil(Demand * 0.5))</w:t>
      </w:r>
    </w:p>
    <w:p>
      <w:pPr>
        <w:pStyle w:val="Heading2"/>
        <w:spacing w:after="120" w:before="200"/>
      </w:pPr>
      <w:r>
        <w:rPr>
          <w:b/>
          <w:bCs/>
          <w:color w:val="1E3A8A"/>
          <w:sz w:val="22"/>
          <w:szCs w:val="22"/>
        </w:rPr>
        <w:t xml:space="preserve">3.2 Dynamic Reserve / Buffer Pool (B_reserve)</w:t>
      </w:r>
    </w:p>
    <w:p>
      <w:pPr>
        <w:spacing w:after="150"/>
      </w:pPr>
      <w:r>
        <w:rPr>
          <w:sz w:val="20"/>
          <w:szCs w:val="20"/>
        </w:rPr>
        <w:t xml:space="preserve">To absorb future trend spikes once Supply = Demand, a reserve buffer is maintained by level:
• Higher Secondary (+1/+2): 50% buffer (High conversion value ~75%)
• High School (Classes 8-10): 40% buffer (Board exam volume)
• Upper Primary (Classes 5-7): 30% buffer
• Lower Primary (Classes 1-4): 25% buffer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610"/>
        <w:gridCol w:w="1354"/>
        <w:gridCol w:w="1354"/>
        <w:gridCol w:w="1354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Subject &amp; Curriculum Profile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Active Supply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Hires Needed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🚨 P1 (Critical)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Class 10 - MATHS CBSE (SUB318)
Board: CBSE | Lang: English/Mixed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0 Teachers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2 Hires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+1 Reserve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🚨 P2 (Critical)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Class 7 - HINDI CBSE (SUB239)
Board: CBSE | Lang: English/Mixed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0 Teachers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2 Hires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+1 Reserve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🚨 P3 (High)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Class 9 - HINDI Kerala (SUB296)
Board: Kerala | Lang: Mixed/Mal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0 Teachers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Hire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+1 Reserve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⚠️ P4 (High)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Class 8 - MATHS Kerala (SUB275/283)
Board: Kerala | Lang: Mal &amp; English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2 (Overbooked)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3 Hires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+1 Reserve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⚠️ P5 (High)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Plus 1 - COMMERCE &amp; SCIENCE (+1)
Board: Kerala/CBSE | Lang: English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Teacher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2 Hires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+1 Reserve</w:t>
            </w:r>
          </w:p>
        </w:tc>
      </w:tr>
    </w:tbl>
    <w:p>
      <w:pPr>
        <w:pStyle w:val="Heading1"/>
        <w:spacing w:after="150" w:before="350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4. The 'Phantom Supply' Dilemma &amp; Cluster-Based Anti-Cannibalization</w:t>
      </w:r>
    </w:p>
    <w:p>
      <w:pPr>
        <w:spacing w:after="150"/>
      </w:pPr>
      <w:r>
        <w:rPr>
          <w:b/>
          <w:bCs/>
          <w:color w:val="1E3A8A"/>
          <w:sz w:val="22"/>
          <w:szCs w:val="22"/>
        </w:rPr>
        <w:t xml:space="preserve">4.1 The Maneesha Case Study: Understanding Shared Resource Strain</w:t>
      </w:r>
    </w:p>
    <w:p>
      <w:pPr>
        <w:spacing w:after="150"/>
      </w:pPr>
      <w:r>
        <w:rPr>
          <w:sz w:val="20"/>
          <w:szCs w:val="20"/>
        </w:rPr>
        <w:t xml:space="preserve">Consider a real teacher scenario on the roster:
• Teacher Maneesha is certified to teach Mathematics from Class 5 through Class 10 (6 classes).
• She teaches both Kerala Syllabus and CBSE Syllabus (6 x 2 = 12 total subject combinations).
• However, Maneesha has only 3 sessions of available time per week.
If one student books Maneesha for 3 sessions/week in Class 10 CBSE Maths, Maneesha's capacity immediately drops to ZERO. Consequently, all other 11 combinations instantly lose their teacher supply!
A naive system that only looks at subject-by-subject qualification lists gives a false sense of security (Phantom Supply). In reality, 1 teacher with 3 sessions can only service 1 student.</w:t>
      </w:r>
    </w:p>
    <w:p>
      <w:pPr>
        <w:pStyle w:val="Heading2"/>
        <w:spacing w:after="120" w:before="200"/>
      </w:pPr>
      <w:r>
        <w:rPr>
          <w:b/>
          <w:bCs/>
          <w:color w:val="1E3A8A"/>
          <w:sz w:val="22"/>
          <w:szCs w:val="22"/>
        </w:rPr>
        <w:t xml:space="preserve">4.2 The Mathematical Solution: Session-Weighted Cluster Pooling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Nominal Headcount vs True Available Session Capacity: </w:t>
      </w:r>
      <w:r>
        <w:t xml:space="preserve">Distinguishing on-paper qualification from actual unbooked time slots in peak student hours (17:00-22:00).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Cross-Subject Cannibalization Factor (kappa): </w:t>
      </w:r>
      <w:r>
        <w:t xml:space="preserve">kappa = Total_Qualified_Combinations / Available_Weekly_Sessions. When kappa &gt; 1.5, the resource is flagged as 'Hyper-Shared / High Strain'.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Competency Cluster Aggregation: </w:t>
      </w:r>
      <w:r>
        <w:t xml:space="preserve">Instead of calculating Class 5, 6, 7 in silos, demand and supply are pooled by domain (e.g., 'High School Mathematics Cluster'). Hiring targets recommend versatile teachers capable of covering the cluster pool.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UI Strain Indicators: </w:t>
      </w:r>
      <w:r>
        <w:t xml:space="preserve">Subject rows display a '⚠️ Shared Capacity (Stretched across N subjects)' badge to alert academic coordinators.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5. UI Implementation &amp; Navigation Architecture</w:t>
      </w:r>
    </w:p>
    <w:p>
      <w:pPr>
        <w:spacing w:after="150"/>
      </w:pPr>
      <w:r>
        <w:rPr>
          <w:sz w:val="20"/>
          <w:szCs w:val="20"/>
        </w:rPr>
        <w:t xml:space="preserve">1. Navigation Switcher: The top module dropdown ('Tutor Availability') in Header.jsx will include 'Supply vs Demand &amp; Hiring Intel', switching views seamlessly.
2. KPI Summary Cards: Active Demand, Teacher Pool, Critical Deficits, Immediate Hires Needed, and Reserve Pool.
3. 4-Way Multi-Faceted Filter: Division (LP/UP/HS/HSS), Board (Kerala/CBSE), Medium (English/Malayalam/Mixed), and Urgency Level.
4. Urgent Action Priority List: Highlighted cards for immediate HR recruitment postings.
5. Interactive Matrix Table: Full searchable breakdown with one-click 'Export HR Hiring Plan'.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2026-10-22T10:22:36.406Z</dcterms:created>
  <dcterms:modified xsi:type="dcterms:W3CDTF">2026-10-22T10:22:36.407Z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