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before="0" w:after="60"/>
        <w:jc w:val="left"/>
      </w:pPr>
      <w:r>
        <w:rPr>
          <w:rFonts w:ascii="Calibri" w:cs="Calibri" w:eastAsia="Calibri" w:hAnsi="Calibri"/>
          <w:b/>
          <w:bCs/>
          <w:caps/>
          <w:color w:val="6B7280"/>
          <w:spacing w:val="100"/>
          <w:sz w:val="22"/>
          <w:szCs w:val="22"/>
        </w:rPr>
        <w:t xml:space="preserve">EDSTELLAR SKILLS INTELLIGENCE PLATFORM</w:t>
      </w:r>
    </w:p>
    <w:p>
      <w:pPr>
        <w:pBdr>
          <w:bottom w:val="single" w:color="1D4ED8" w:sz="12" w:space="1"/>
        </w:pBdr>
        <w:spacing w:before="0" w:after="0"/>
        <w:jc w:val="left"/>
      </w:pPr>
      <w:r>
        <w:rPr>
          <w:rFonts w:ascii="Calibri" w:cs="Calibri" w:eastAsia="Calibri" w:hAnsi="Calibri"/>
          <w:sz w:val="4"/>
          <w:szCs w:val="4"/>
        </w:rPr>
        <w:t xml:space="preserve"> </w:t>
      </w:r>
    </w:p>
    <w:p>
      <w:pPr>
        <w:spacing w:before="0" w:after="80"/>
      </w:pPr>
    </w:p>
    <w:p>
      <w:pPr>
        <w:spacing w:before="0" w:after="40"/>
        <w:jc w:val="left"/>
      </w:pPr>
      <w:r>
        <w:rPr>
          <w:rFonts w:ascii="Georgia" w:cs="Georgia" w:eastAsia="Georgia" w:hAnsi="Georgia"/>
          <w:b/>
          <w:bCs/>
          <w:color w:val="0F172A"/>
          <w:sz w:val="56"/>
          <w:szCs w:val="56"/>
        </w:rPr>
        <w:t xml:space="preserve">AI Rules and Governance Document</w:t>
      </w:r>
    </w:p>
    <w:p>
      <w:pPr>
        <w:spacing w:before="0" w:after="80"/>
        <w:jc w:val="left"/>
      </w:pPr>
      <w:r>
        <w:rPr>
          <w:rFonts w:ascii="Georgia" w:cs="Georgia" w:eastAsia="Georgia" w:hAnsi="Georgia"/>
          <w:i/>
          <w:iCs/>
          <w:color w:val="6B7280"/>
          <w:sz w:val="26"/>
          <w:szCs w:val="26"/>
        </w:rPr>
        <w:t xml:space="preserve">Nine AI systems. Unified governance. One source of truth.</w:t>
      </w:r>
    </w:p>
    <w:p>
      <w:pPr>
        <w:spacing w:before="0" w:after="12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tblGrid>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Document Version</w:t>
            </w:r>
          </w:p>
        </w:tc>
        <w:tc>
          <w:tcPr>
            <w:tcW w:type="dxa" w:w="32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1.0</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Date</w:t>
            </w:r>
          </w:p>
        </w:tc>
        <w:tc>
          <w:tcPr>
            <w:tcW w:type="dxa" w:w="32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March 2026</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Applies To</w:t>
            </w:r>
          </w:p>
        </w:tc>
        <w:tc>
          <w:tcPr>
            <w:tcW w:type="dxa" w:w="32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All nine AI systems across the platform</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Primary Audience</w:t>
            </w:r>
          </w:p>
        </w:tc>
        <w:tc>
          <w:tcPr>
            <w:tcW w:type="dxa" w:w="32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AI Engineers · Prompt Engineers · Product Team</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Maintained By</w:t>
            </w:r>
          </w:p>
        </w:tc>
        <w:tc>
          <w:tcPr>
            <w:tcW w:type="dxa" w:w="32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Head of Product &amp; AI</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Review Cadence</w:t>
            </w:r>
          </w:p>
        </w:tc>
        <w:tc>
          <w:tcPr>
            <w:tcW w:type="dxa" w:w="3200"/>
            <w:tcBorders>
              <w:top w:val="none" w:color="FFFFFF" w:sz="0"/>
              <w:left w:val="none" w:color="FFFFFF" w:sz="0"/>
              <w:bottom w:val="none" w:color="FFFFFF" w:sz="0"/>
              <w:right w:val="none" w:color="FFFFFF" w:sz="0"/>
            </w:tcBorders>
            <w:shd w:fill="FEF2F2" w:val="clear"/>
            <w:tcMar>
              <w:top w:type="dxa" w:w="80"/>
              <w:left w:type="dxa" w:w="120"/>
              <w:bottom w:type="dxa" w:w="80"/>
              <w:right w:type="dxa" w:w="120"/>
            </w:tcMar>
          </w:tcPr>
          <w:p>
            <w:r>
              <w:rPr>
                <w:rFonts w:ascii="Calibri" w:cs="Calibri" w:eastAsia="Calibri" w:hAnsi="Calibri"/>
                <w:b/>
                <w:bCs/>
                <w:color w:val="B91C1C"/>
                <w:sz w:val="20"/>
                <w:szCs w:val="20"/>
              </w:rPr>
              <w:t xml:space="preserve">Every model upgrade · Every new AI capability · Quarterly minimum</w:t>
            </w:r>
          </w:p>
        </w:tc>
      </w:tr>
    </w:tbl>
    <w:p>
      <w:pPr>
        <w:spacing w:before="0" w:after="4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 Purpose and Scope</w:t>
      </w:r>
    </w:p>
    <w:p>
      <w:pPr>
        <w:spacing w:before="0" w:after="100"/>
      </w:pPr>
      <w:r>
        <w:rPr>
          <w:rFonts w:ascii="Calibri" w:cs="Calibri" w:eastAsia="Calibri" w:hAnsi="Calibri"/>
          <w:b w:val="false"/>
          <w:bCs w:val="false"/>
          <w:i w:val="false"/>
          <w:iCs w:val="false"/>
          <w:color w:val="374151"/>
          <w:sz w:val="22"/>
          <w:szCs w:val="22"/>
        </w:rPr>
        <w:t xml:space="preserve">The Edstellar Skills Intelligence Platform contains nine distinct AI systems. Each system reads specific data, produces specific outputs, operates under specific governance constraints, and must fail in specific ways when confidence is low. This document defines those rules once — consistently — so that every AI system across the platform behaves according to the same governance framework regardless of which engineer built it or which module it lives in.</w:t>
      </w:r>
    </w:p>
    <w:p>
      <w:pPr>
        <w:spacing w:before="0" w:after="80"/>
      </w:pPr>
    </w:p>
    <w:p>
      <w:pPr>
        <w:spacing w:before="0" w:after="100"/>
      </w:pPr>
      <w:r>
        <w:rPr>
          <w:rFonts w:ascii="Calibri" w:cs="Calibri" w:eastAsia="Calibri" w:hAnsi="Calibri"/>
          <w:b w:val="false"/>
          <w:bCs w:val="false"/>
          <w:i w:val="false"/>
          <w:iCs w:val="false"/>
          <w:color w:val="374151"/>
          <w:sz w:val="22"/>
          <w:szCs w:val="22"/>
        </w:rPr>
        <w:t xml:space="preserve">This document is the authoritative source for:</w:t>
      </w:r>
    </w:p>
    <w:p>
      <w:pPr>
        <w:pStyle w:val="ListParagraph"/>
        <w:numPr>
          <w:ilvl w:val="0"/>
          <w:numId w:val="2"/>
        </w:numPr>
        <w:spacing w:before="0" w:after="60"/>
      </w:pPr>
      <w:r>
        <w:rPr>
          <w:rFonts w:ascii="Calibri" w:cs="Calibri" w:eastAsia="Calibri" w:hAnsi="Calibri"/>
          <w:color w:val="374151"/>
          <w:sz w:val="21"/>
          <w:szCs w:val="21"/>
        </w:rPr>
        <w:t xml:space="preserve">What data each AI system is permitted to read</w:t>
      </w:r>
    </w:p>
    <w:p>
      <w:pPr>
        <w:pStyle w:val="ListParagraph"/>
        <w:numPr>
          <w:ilvl w:val="0"/>
          <w:numId w:val="2"/>
        </w:numPr>
        <w:spacing w:before="0" w:after="60"/>
      </w:pPr>
      <w:r>
        <w:rPr>
          <w:rFonts w:ascii="Calibri" w:cs="Calibri" w:eastAsia="Calibri" w:hAnsi="Calibri"/>
          <w:color w:val="374151"/>
          <w:sz w:val="21"/>
          <w:szCs w:val="21"/>
        </w:rPr>
        <w:t xml:space="preserve">What each AI system is permitted to output, and to whom</w:t>
      </w:r>
    </w:p>
    <w:p>
      <w:pPr>
        <w:pStyle w:val="ListParagraph"/>
        <w:numPr>
          <w:ilvl w:val="0"/>
          <w:numId w:val="2"/>
        </w:numPr>
        <w:spacing w:before="0" w:after="60"/>
      </w:pPr>
      <w:r>
        <w:rPr>
          <w:rFonts w:ascii="Calibri" w:cs="Calibri" w:eastAsia="Calibri" w:hAnsi="Calibri"/>
          <w:color w:val="374151"/>
          <w:sz w:val="21"/>
          <w:szCs w:val="21"/>
        </w:rPr>
        <w:t xml:space="preserve">When a human must review an AI output before it is acted on</w:t>
      </w:r>
    </w:p>
    <w:p>
      <w:pPr>
        <w:pStyle w:val="ListParagraph"/>
        <w:numPr>
          <w:ilvl w:val="0"/>
          <w:numId w:val="2"/>
        </w:numPr>
        <w:spacing w:before="0" w:after="60"/>
      </w:pPr>
      <w:r>
        <w:rPr>
          <w:rFonts w:ascii="Calibri" w:cs="Calibri" w:eastAsia="Calibri" w:hAnsi="Calibri"/>
          <w:color w:val="374151"/>
          <w:sz w:val="21"/>
          <w:szCs w:val="21"/>
        </w:rPr>
        <w:t xml:space="preserve">What the fallback behaviour is when confidence is low or the model fails</w:t>
      </w:r>
    </w:p>
    <w:p>
      <w:pPr>
        <w:pStyle w:val="ListParagraph"/>
        <w:numPr>
          <w:ilvl w:val="0"/>
          <w:numId w:val="2"/>
        </w:numPr>
        <w:spacing w:before="0" w:after="60"/>
      </w:pPr>
      <w:r>
        <w:rPr>
          <w:rFonts w:ascii="Calibri" w:cs="Calibri" w:eastAsia="Calibri" w:hAnsi="Calibri"/>
          <w:color w:val="374151"/>
          <w:sz w:val="21"/>
          <w:szCs w:val="21"/>
        </w:rPr>
        <w:t xml:space="preserve">What the audit trail must capture for every AI action</w:t>
      </w:r>
    </w:p>
    <w:p>
      <w:pPr>
        <w:pStyle w:val="ListParagraph"/>
        <w:numPr>
          <w:ilvl w:val="0"/>
          <w:numId w:val="2"/>
        </w:numPr>
        <w:spacing w:before="0" w:after="60"/>
      </w:pPr>
      <w:r>
        <w:rPr>
          <w:rFonts w:ascii="Calibri" w:cs="Calibri" w:eastAsia="Calibri" w:hAnsi="Calibri"/>
          <w:color w:val="374151"/>
          <w:sz w:val="21"/>
          <w:szCs w:val="21"/>
        </w:rPr>
        <w:t xml:space="preserve">Which AI outputs can update other AI outputs, and under what conditions</w:t>
      </w:r>
    </w:p>
    <w:p>
      <w:pPr>
        <w:pStyle w:val="ListParagraph"/>
        <w:numPr>
          <w:ilvl w:val="0"/>
          <w:numId w:val="2"/>
        </w:numPr>
        <w:spacing w:before="0" w:after="60"/>
      </w:pPr>
      <w:r>
        <w:rPr>
          <w:rFonts w:ascii="Calibri" w:cs="Calibri" w:eastAsia="Calibri" w:hAnsi="Calibri"/>
          <w:color w:val="374151"/>
          <w:sz w:val="21"/>
          <w:szCs w:val="21"/>
        </w:rPr>
        <w:t xml:space="preserve">What an AI system is explicitly forbidden from doing, regardless of available data</w:t>
      </w:r>
    </w:p>
    <w:p>
      <w:pPr>
        <w:spacing w:before="0" w:after="80"/>
      </w:pPr>
    </w:p>
    <w:p>
      <w:pPr>
        <w:spacing w:before="0" w:after="100"/>
      </w:pPr>
      <w:r>
        <w:rPr>
          <w:rFonts w:ascii="Calibri" w:cs="Calibri" w:eastAsia="Calibri" w:hAnsi="Calibri"/>
          <w:b w:val="false"/>
          <w:bCs w:val="false"/>
          <w:i/>
          <w:iCs/>
          <w:color w:val="6B7280"/>
          <w:sz w:val="22"/>
          <w:szCs w:val="22"/>
        </w:rPr>
        <w:t xml:space="preserve">This document does not cover:</w:t>
      </w:r>
    </w:p>
    <w:p>
      <w:pPr>
        <w:pStyle w:val="ListParagraph"/>
        <w:numPr>
          <w:ilvl w:val="0"/>
          <w:numId w:val="2"/>
        </w:numPr>
        <w:spacing w:before="0" w:after="60"/>
      </w:pPr>
      <w:r>
        <w:rPr>
          <w:rFonts w:ascii="Calibri" w:cs="Calibri" w:eastAsia="Calibri" w:hAnsi="Calibri"/>
          <w:color w:val="374151"/>
          <w:sz w:val="21"/>
          <w:szCs w:val="21"/>
        </w:rPr>
        <w:t xml:space="preserve">The prompt engineering specifications for each system — those live in a separate Prompt Library document</w:t>
      </w:r>
    </w:p>
    <w:p>
      <w:pPr>
        <w:pStyle w:val="ListParagraph"/>
        <w:numPr>
          <w:ilvl w:val="0"/>
          <w:numId w:val="2"/>
        </w:numPr>
        <w:spacing w:before="0" w:after="60"/>
      </w:pPr>
      <w:r>
        <w:rPr>
          <w:rFonts w:ascii="Calibri" w:cs="Calibri" w:eastAsia="Calibri" w:hAnsi="Calibri"/>
          <w:color w:val="374151"/>
          <w:sz w:val="21"/>
          <w:szCs w:val="21"/>
        </w:rPr>
        <w:t xml:space="preserve">The Claude API configuration and billing — those are managed by the Edstellar engineering team</w:t>
      </w:r>
    </w:p>
    <w:p>
      <w:pPr>
        <w:pStyle w:val="ListParagraph"/>
        <w:numPr>
          <w:ilvl w:val="0"/>
          <w:numId w:val="2"/>
        </w:numPr>
        <w:spacing w:before="0" w:after="60"/>
      </w:pPr>
      <w:r>
        <w:rPr>
          <w:rFonts w:ascii="Calibri" w:cs="Calibri" w:eastAsia="Calibri" w:hAnsi="Calibri"/>
          <w:color w:val="374151"/>
          <w:sz w:val="21"/>
          <w:szCs w:val="21"/>
        </w:rPr>
        <w:t xml:space="preserve">The UX design of AI output surfaces — those are covered in the Product Document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0.1  </w:t>
            </w:r>
            <w:r>
              <w:rPr>
                <w:rFonts w:ascii="Calibri" w:cs="Calibri" w:eastAsia="Calibri" w:hAnsi="Calibri"/>
                <w:b/>
                <w:bCs/>
                <w:color w:val="0F172A"/>
                <w:sz w:val="22"/>
                <w:szCs w:val="22"/>
              </w:rPr>
              <w:t xml:space="preserve">The Universal AI Principle</w:t>
            </w:r>
          </w:p>
          <w:p>
            <w:pPr>
              <w:spacing w:before="0" w:after="0"/>
            </w:pPr>
            <w:r>
              <w:rPr>
                <w:rFonts w:ascii="Calibri" w:cs="Calibri" w:eastAsia="Calibri" w:hAnsi="Calibri"/>
                <w:color w:val="374151"/>
                <w:sz w:val="20"/>
                <w:szCs w:val="20"/>
              </w:rPr>
              <w:t xml:space="preserve">Every AI output in this platform must be: human-reviewable (a person can see it before it acts), human-editable (a person can change it without the AI overriding the change), source-tracked (the origin of every AI-generated value is visible and labelled), and confidence-labelled (AI-estimated data is never presented as validated data without the appropriate provenance badge). AI generates. Humans govern. The platform enforces this technically — not just as a design guideline.</w:t>
            </w:r>
          </w:p>
        </w:tc>
      </w:tr>
    </w:tbl>
    <w:p>
      <w:pPr>
        <w:spacing w:before="0" w:after="1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2. The Nine AI Systems</w:t>
      </w:r>
    </w:p>
    <w:p>
      <w:pPr>
        <w:spacing w:before="0" w:after="100"/>
      </w:pPr>
      <w:r>
        <w:rPr>
          <w:rFonts w:ascii="Calibri" w:cs="Calibri" w:eastAsia="Calibri" w:hAnsi="Calibri"/>
          <w:b w:val="false"/>
          <w:bCs w:val="false"/>
          <w:i w:val="false"/>
          <w:iCs w:val="false"/>
          <w:color w:val="374151"/>
          <w:sz w:val="22"/>
          <w:szCs w:val="22"/>
        </w:rPr>
        <w:t xml:space="preserve">The platform contains nine AI systems operating across all five levels. They are listed here in the order they activate during a typical client journey — from initial framework generation through to continuous commercial intelligence.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1800"/>
        <w:gridCol w:w="2000"/>
        <w:gridCol w:w="3600"/>
      </w:tblGrid>
      <w:tr>
        <w:tc>
          <w:tcPr>
            <w:tcW w:type="dxa" w:w="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1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3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One-line purpose</w:t>
            </w:r>
          </w:p>
        </w:tc>
      </w:tr>
      <w:tr>
        <w:tc>
          <w:tcPr>
            <w:tcW w:type="dxa" w:w="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AI-1</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SkillForge — 7-Prompt Framework Generation Pipeline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M3 SkillForge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L1</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Converts raw OrgSetup + DataPort data into a complete skills and competency framework, role-skill matrix, and employee baselines</w:t>
            </w:r>
          </w:p>
        </w:tc>
      </w:tr>
      <w:tr>
        <w:tc>
          <w:tcPr>
            <w:tcW w:type="dxa" w:w="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AI-2</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Resume Intelligence Parser</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M8 SkillPassport / DataPort</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L1</w:t>
            </w:r>
          </w:p>
        </w:tc>
        <w:tc>
          <w:tcPr>
            <w:tcW w:type="dxa" w:w="3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Extracts structured career history, skills signals, qualifications, and project experience from uploaded CV and resume documents</w:t>
            </w:r>
          </w:p>
        </w:tc>
      </w:tr>
      <w:tr>
        <w:tc>
          <w:tcPr>
            <w:tcW w:type="dxa" w:w="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AI-3</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Weighted Gap Score and Intervention Classification Engine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M10 AssessEngine / LNA</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L2</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Applies five weighted multipliers to raw skill gaps to produce a prioritised learning needs analysis, then classifies each gap into one of seven intervention types</w:t>
            </w:r>
          </w:p>
        </w:tc>
      </w:tr>
      <w:tr>
        <w:tc>
          <w:tcPr>
            <w:tcW w:type="dxa" w:w="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AI-4</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Assessment Suggestion Engine</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M10 AssessEngine</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L2</w:t>
            </w:r>
          </w:p>
        </w:tc>
        <w:tc>
          <w:tcPr>
            <w:tcW w:type="dxa" w:w="3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Analyses gap patterns, assessment history, and LNA output to proactively recommend what to assess next, for which population, and when — with rationale</w:t>
            </w:r>
          </w:p>
        </w:tc>
      </w:tr>
      <w:tr>
        <w:tc>
          <w:tcPr>
            <w:tcW w:type="dxa" w:w="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AI-5</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Wellbeing Burnout Risk Scoring Engine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M20 Wellbeing</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L2</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Calculates a composite Burnout Risk Score per employee from pulse survey data, calendar signals, PM overallocation, and learning platform inactivity</w:t>
            </w:r>
          </w:p>
        </w:tc>
      </w:tr>
      <w:tr>
        <w:tc>
          <w:tcPr>
            <w:tcW w:type="dxa" w:w="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AI-6</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Succession Risk Engine</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M16 Succession</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L2</w:t>
            </w:r>
          </w:p>
        </w:tc>
        <w:tc>
          <w:tcPr>
            <w:tcW w:type="dxa" w:w="3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Continuously monitors the succession pipeline for attrition risk, readiness velocity, pipeline gaps, and role requirement changes — proactively alerting HR</w:t>
            </w:r>
          </w:p>
        </w:tc>
      </w:tr>
      <w:tr>
        <w:tc>
          <w:tcPr>
            <w:tcW w:type="dxa" w:w="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AI-7</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Content Outline Generator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M13 / M14 TrainConnect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L3</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Generates structured training programme briefs for each training-classified gap — covering audience analysis, learning outcomes, module structure, and measurement plan</w:t>
            </w:r>
          </w:p>
        </w:tc>
      </w:tr>
      <w:tr>
        <w:tc>
          <w:tcPr>
            <w:tcW w:type="dxa" w:w="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AI-8</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Conversational Interface</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M6 InsightBoard</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L1–L5</w:t>
            </w:r>
          </w:p>
        </w:tc>
        <w:tc>
          <w:tcPr>
            <w:tcW w:type="dxa" w:w="3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Widget-level natural language Q&amp;A on every InsightBoard dashboard, delivering persona-aware analysis, insight, and next-step recommendations on workforce data</w:t>
            </w:r>
          </w:p>
        </w:tc>
      </w:tr>
      <w:tr>
        <w:tc>
          <w:tcPr>
            <w:tcW w:type="dxa" w:w="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AI-9</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Proposal and Learning Feedback Engine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Section 14 / 19 Internal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L3–L5</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Two tightly linked systems: the AI Proposal Engine generates commercial engagement proposals for the Edstellar account team; the AI Learning Engine recalibrates all recommendation models based on measured programme outcomes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3. Universal Rules — Apply to All Nine Systems</w:t>
      </w:r>
    </w:p>
    <w:p>
      <w:pPr>
        <w:spacing w:before="0" w:after="100"/>
      </w:pPr>
      <w:r>
        <w:rPr>
          <w:rFonts w:ascii="Calibri" w:cs="Calibri" w:eastAsia="Calibri" w:hAnsi="Calibri"/>
          <w:b w:val="false"/>
          <w:bCs w:val="false"/>
          <w:i w:val="false"/>
          <w:iCs w:val="false"/>
          <w:color w:val="374151"/>
          <w:sz w:val="22"/>
          <w:szCs w:val="22"/>
        </w:rPr>
        <w:t xml:space="preserve">The following rules apply to every AI system in the platform without exception. They cannot be overridden by individual system specifications.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U-1  </w:t>
            </w:r>
            <w:r>
              <w:rPr>
                <w:rFonts w:ascii="Calibri" w:cs="Calibri" w:eastAsia="Calibri" w:hAnsi="Calibri"/>
                <w:b/>
                <w:bCs/>
                <w:color w:val="0F172A"/>
                <w:sz w:val="22"/>
                <w:szCs w:val="22"/>
              </w:rPr>
              <w:t xml:space="preserve">The is_modified flag is inviolable</w:t>
            </w:r>
          </w:p>
          <w:p>
            <w:pPr>
              <w:spacing w:before="0" w:after="0"/>
            </w:pPr>
            <w:r>
              <w:rPr>
                <w:rFonts w:ascii="Calibri" w:cs="Calibri" w:eastAsia="Calibri" w:hAnsi="Calibri"/>
                <w:color w:val="374151"/>
                <w:sz w:val="20"/>
                <w:szCs w:val="20"/>
              </w:rPr>
              <w:t xml:space="preserve">Every AI-generated field carries an is_modified flag. When a human edits an AI-generated value, is_modified is set to true. No AI system may ever overwrite a field where is_modified = true. This applies during re-runs, re-calibrations, model upgrades, and context refresh operations. Human decisions are permanent until a human changes them. The AI may suggest a revision, but it cannot apply one.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RULE U-2  </w:t>
            </w:r>
            <w:r>
              <w:rPr>
                <w:rFonts w:ascii="Calibri" w:cs="Calibri" w:eastAsia="Calibri" w:hAnsi="Calibri"/>
                <w:b/>
                <w:bCs/>
                <w:color w:val="78350F"/>
                <w:sz w:val="22"/>
                <w:szCs w:val="22"/>
              </w:rPr>
              <w:t xml:space="preserve">AI-estimated data must never be presented as validated data</w:t>
            </w:r>
          </w:p>
          <w:p>
            <w:pPr>
              <w:spacing w:before="0" w:after="0"/>
            </w:pPr>
            <w:r>
              <w:rPr>
                <w:rFonts w:ascii="Calibri" w:cs="Calibri" w:eastAsia="Calibri" w:hAnsi="Calibri"/>
                <w:color w:val="374151"/>
                <w:sz w:val="20"/>
                <w:szCs w:val="20"/>
              </w:rPr>
              <w:t xml:space="preserve">Every AI-generated value must carry a provenance badge that is visible in every UI surface where that value appears: 'AI Estimated', 'Manager-assessed', 'Self-assessed', 'Test-validated', 'Triple-validated', or 'Signal-detected'. These labels are mandatory. An AI system must never produce an output that omits its confidence state. The badge must also appear in any report, export, or third-party output that contains AI-generated values.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U-3  </w:t>
            </w:r>
            <w:r>
              <w:rPr>
                <w:rFonts w:ascii="Calibri" w:cs="Calibri" w:eastAsia="Calibri" w:hAnsi="Calibri"/>
                <w:b/>
                <w:bCs/>
                <w:color w:val="7F1D1D"/>
                <w:sz w:val="22"/>
                <w:szCs w:val="22"/>
              </w:rPr>
              <w:t xml:space="preserve">No AI system may read data outside its defined data boundary</w:t>
            </w:r>
          </w:p>
          <w:p>
            <w:pPr>
              <w:spacing w:before="0" w:after="0"/>
            </w:pPr>
            <w:r>
              <w:rPr>
                <w:rFonts w:ascii="Calibri" w:cs="Calibri" w:eastAsia="Calibri" w:hAnsi="Calibri"/>
                <w:color w:val="374151"/>
                <w:sz w:val="20"/>
                <w:szCs w:val="20"/>
              </w:rPr>
              <w:t xml:space="preserve">Each AI system has an explicit list of permitted data inputs defined in Section 4 of this document. An AI system may not access data outside this list — even if that data is technically available in the database — without a documented rule change approved by the Head of Product &amp; AI. This is enforced at the application layer, not just by prompt design. Data boundary violations must be surfaced as errors, not silently ignored.</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U-4  </w:t>
            </w:r>
            <w:r>
              <w:rPr>
                <w:rFonts w:ascii="Calibri" w:cs="Calibri" w:eastAsia="Calibri" w:hAnsi="Calibri"/>
                <w:b/>
                <w:bCs/>
                <w:color w:val="7F1D1D"/>
                <w:sz w:val="22"/>
                <w:szCs w:val="22"/>
              </w:rPr>
              <w:t xml:space="preserve">No AI system may write directly to production data without human review</w:t>
            </w:r>
          </w:p>
          <w:p>
            <w:pPr>
              <w:spacing w:before="0" w:after="0"/>
            </w:pPr>
            <w:r>
              <w:rPr>
                <w:rFonts w:ascii="Calibri" w:cs="Calibri" w:eastAsia="Calibri" w:hAnsi="Calibri"/>
                <w:color w:val="374151"/>
                <w:sz w:val="20"/>
                <w:szCs w:val="20"/>
              </w:rPr>
              <w:t xml:space="preserve">AI systems produce outputs. Humans decide whether to apply them. The only exception is automated micro-updates in the AI Learning Engine (AI-9) and real-time skill signal updates from the PulseStrategy integration layer — both of which write to designated signal fields, not to validated proficiency fields. Validated proficiency fields may only be updated by the Weighted Gap Score Engine (AI-3) after a completed human-initiated assessment cycle.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U-5  </w:t>
            </w:r>
            <w:r>
              <w:rPr>
                <w:rFonts w:ascii="Calibri" w:cs="Calibri" w:eastAsia="Calibri" w:hAnsi="Calibri"/>
                <w:b/>
                <w:bCs/>
                <w:color w:val="0F172A"/>
                <w:sz w:val="22"/>
                <w:szCs w:val="22"/>
              </w:rPr>
              <w:t xml:space="preserve">Every AI action must be logged in the audit trail</w:t>
            </w:r>
          </w:p>
          <w:p>
            <w:pPr>
              <w:spacing w:before="0" w:after="0"/>
            </w:pPr>
            <w:r>
              <w:rPr>
                <w:rFonts w:ascii="Calibri" w:cs="Calibri" w:eastAsia="Calibri" w:hAnsi="Calibri"/>
                <w:color w:val="374151"/>
                <w:sz w:val="20"/>
                <w:szCs w:val="20"/>
              </w:rPr>
              <w:t xml:space="preserve">The audit trail must record: which AI system ran, when it ran, what input data it read (data types — not values, unless the audit policy for that data type requires value capture), what output it produced, whether a human reviewed the output, whether the human edited the output, and whether the output was applied. This log must be immutable. No AI system may operate in a mode that suppresses audit logging.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RULE U-6  </w:t>
            </w:r>
            <w:r>
              <w:rPr>
                <w:rFonts w:ascii="Calibri" w:cs="Calibri" w:eastAsia="Calibri" w:hAnsi="Calibri"/>
                <w:b/>
                <w:bCs/>
                <w:color w:val="78350F"/>
                <w:sz w:val="22"/>
                <w:szCs w:val="22"/>
              </w:rPr>
              <w:t xml:space="preserve">AI systems must degrade gracefully — never silently fail</w:t>
            </w:r>
          </w:p>
          <w:p>
            <w:pPr>
              <w:spacing w:before="0" w:after="0"/>
            </w:pPr>
            <w:r>
              <w:rPr>
                <w:rFonts w:ascii="Calibri" w:cs="Calibri" w:eastAsia="Calibri" w:hAnsi="Calibri"/>
                <w:color w:val="374151"/>
                <w:sz w:val="20"/>
                <w:szCs w:val="20"/>
              </w:rPr>
              <w:t xml:space="preserve">When an AI system cannot produce a high-confidence output (insufficient data, model error, API timeout, ambiguous input), it must: (a) produce a clearly labelled low-confidence output rather than no output, OR (b) surface a specific actionable error to the relevant human role with a suggested remediation step. An AI system may never silently return empty data, silently skip a record, or fail without surfacing a signal. The fallback behaviour for each system is specified in Section 4.</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6"/>
              <w:bottom w:val="single" w:color="6D28D9" w:sz="4"/>
              <w:right w:val="single" w:color="6D28D9" w:sz="4"/>
            </w:tcBorders>
            <w:shd w:fill="F5F3FF" w:val="clear"/>
            <w:tcMar>
              <w:top w:type="dxa" w:w="120"/>
              <w:left w:type="dxa" w:w="200"/>
              <w:bottom w:type="dxa" w:w="120"/>
              <w:right w:type="dxa" w:w="160"/>
            </w:tcMar>
          </w:tcPr>
          <w:p>
            <w:pPr>
              <w:spacing w:before="0" w:after="60"/>
            </w:pPr>
            <w:r>
              <w:rPr>
                <w:rFonts w:ascii="Calibri" w:cs="Calibri" w:eastAsia="Calibri" w:hAnsi="Calibri"/>
                <w:b/>
                <w:bCs/>
                <w:caps/>
                <w:color w:val="6D28D9"/>
                <w:sz w:val="18"/>
                <w:szCs w:val="18"/>
              </w:rPr>
              <w:t xml:space="preserve">RULE U-7  </w:t>
            </w:r>
            <w:r>
              <w:rPr>
                <w:rFonts w:ascii="Calibri" w:cs="Calibri" w:eastAsia="Calibri" w:hAnsi="Calibri"/>
                <w:b/>
                <w:bCs/>
                <w:color w:val="3B0764"/>
                <w:sz w:val="22"/>
                <w:szCs w:val="22"/>
              </w:rPr>
              <w:t xml:space="preserve">Sensitive data classification governs AI output scope</w:t>
            </w:r>
          </w:p>
          <w:p>
            <w:pPr>
              <w:spacing w:before="0" w:after="0"/>
            </w:pPr>
            <w:r>
              <w:rPr>
                <w:rFonts w:ascii="Calibri" w:cs="Calibri" w:eastAsia="Calibri" w:hAnsi="Calibri"/>
                <w:color w:val="374151"/>
                <w:sz w:val="20"/>
                <w:szCs w:val="20"/>
              </w:rPr>
              <w:t xml:space="preserve">The platform holds four categories of sensitive data that carry additional AI output restrictions: (1) Performance data — correlates performance records with gap scores. (2) Wellbeing data — Burnout Risk Scores and pulse survey responses. (3) Psychometric data — personality and cognitive assessment results. (4) Salary and compensation data — where available from HRIS integration. Rules governing which AI systems may read and output each category are specified in Section 5 of this document.</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U-8  </w:t>
            </w:r>
            <w:r>
              <w:rPr>
                <w:rFonts w:ascii="Calibri" w:cs="Calibri" w:eastAsia="Calibri" w:hAnsi="Calibri"/>
                <w:b/>
                <w:bCs/>
                <w:color w:val="0F172A"/>
                <w:sz w:val="22"/>
                <w:szCs w:val="22"/>
              </w:rPr>
              <w:t xml:space="preserve">The Claude API version is governed centrally — not per system</w:t>
            </w:r>
          </w:p>
          <w:p>
            <w:pPr>
              <w:spacing w:before="0" w:after="0"/>
            </w:pPr>
            <w:r>
              <w:rPr>
                <w:rFonts w:ascii="Calibri" w:cs="Calibri" w:eastAsia="Calibri" w:hAnsi="Calibri"/>
                <w:color w:val="374151"/>
                <w:sz w:val="20"/>
                <w:szCs w:val="20"/>
              </w:rPr>
              <w:t xml:space="preserve">All nine AI systems use the Claude API. The model version, temperature settings, max token limits, and retry policy are set globally in the Platform Configuration module (Section 27.3 of the Product Document) and apply uniformly unless a system-specific override is documented in Section 4 of this document and approved by the Head of Product &amp; AI. No engineer may change the model version for a single AI system without updating this document.</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U-9  </w:t>
            </w:r>
            <w:r>
              <w:rPr>
                <w:rFonts w:ascii="Calibri" w:cs="Calibri" w:eastAsia="Calibri" w:hAnsi="Calibri"/>
                <w:b/>
                <w:bCs/>
                <w:color w:val="7F1D1D"/>
                <w:sz w:val="22"/>
                <w:szCs w:val="22"/>
              </w:rPr>
              <w:t xml:space="preserve">Cross-org data must never flow between tenants</w:t>
            </w:r>
          </w:p>
          <w:p>
            <w:pPr>
              <w:spacing w:before="0" w:after="0"/>
            </w:pPr>
            <w:r>
              <w:rPr>
                <w:rFonts w:ascii="Calibri" w:cs="Calibri" w:eastAsia="Calibri" w:hAnsi="Calibri"/>
                <w:color w:val="374151"/>
                <w:sz w:val="20"/>
                <w:szCs w:val="20"/>
              </w:rPr>
              <w:t xml:space="preserve">No AI system may use data from Tenant A to generate outputs for Tenant B — even indirectly. The AI Learning Engine (AI-9) is the only system that aggregates data across tenants, and it does so only in anonymised, aggregated form for the purpose of improving the recommendation models. Individual employee data, organisation-specific gap profiles, and FrameworkBible content are tenant-isolated at the database layer and must remain so through every AI operation.</w:t>
            </w:r>
          </w:p>
        </w:tc>
      </w:tr>
    </w:tbl>
    <w:p>
      <w:pPr>
        <w:spacing w:before="0" w:after="1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4. System-Specific Rules</w:t>
      </w:r>
    </w:p>
    <w:p>
      <w:pPr>
        <w:pStyle w:val="Heading2"/>
        <w:spacing w:before="280" w:after="100"/>
      </w:pPr>
      <w:r>
        <w:rPr>
          <w:rFonts w:ascii="Georgia" w:cs="Georgia" w:eastAsia="Georgia" w:hAnsi="Georgia"/>
          <w:b/>
          <w:bCs/>
          <w:color w:val="1E40AF"/>
          <w:sz w:val="28"/>
          <w:szCs w:val="28"/>
        </w:rPr>
        <w:t xml:space="preserve">4.1 AI-1: SkillForge — 7-Prompt Framework Generation Pipeline</w:t>
      </w:r>
    </w:p>
    <w:p>
      <w:pPr>
        <w:spacing w:before="0" w:after="100"/>
      </w:pPr>
      <w:r>
        <w:rPr>
          <w:rFonts w:ascii="Calibri" w:cs="Calibri" w:eastAsia="Calibri" w:hAnsi="Calibri"/>
          <w:b w:val="false"/>
          <w:bCs w:val="false"/>
          <w:i w:val="false"/>
          <w:iCs w:val="false"/>
          <w:color w:val="374151"/>
          <w:sz w:val="22"/>
          <w:szCs w:val="22"/>
        </w:rPr>
        <w:t xml:space="preserve">SkillForge is the most consequential AI system on the platform. Its outputs — the skills taxonomy, competency framework, role-skill matrix, and employee baselines — are the foundation on which every downstream analytical and operational decision rests. Errors in SkillForge propagate through every other system.</w:t>
      </w:r>
    </w:p>
    <w:p>
      <w:pPr>
        <w:spacing w:before="0" w:after="80"/>
      </w:pPr>
    </w:p>
    <w:p>
      <w:pPr>
        <w:pStyle w:val="Heading3"/>
        <w:spacing w:before="200" w:after="80"/>
      </w:pPr>
      <w:r>
        <w:rPr>
          <w:rFonts w:ascii="Calibri" w:cs="Calibri" w:eastAsia="Calibri" w:hAnsi="Calibri"/>
          <w:b/>
          <w:bCs/>
          <w:color w:val="1D4ED8"/>
          <w:sz w:val="24"/>
          <w:szCs w:val="24"/>
        </w:rPr>
        <w:t xml:space="preserve">Permitted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W w:type="dxa" w:w="3580"/>
            <w:tcBorders>
              <w:top w:val="single" w:color="FFFFFF" w:sz="4"/>
              <w:left w:val="single" w:color="FFFFFF" w:sz="4"/>
              <w:bottom w:val="single" w:color="FFFFFF" w:sz="4"/>
              <w:right w:val="single" w:color="FFFFFF" w:sz="4"/>
            </w:tcBorders>
            <w:shd w:fill="15803D" w:val="clear"/>
            <w:tcMar>
              <w:top w:type="dxa" w:w="80"/>
              <w:left w:type="dxa" w:w="120"/>
              <w:bottom w:type="dxa" w:w="80"/>
              <w:right w:type="dxa" w:w="120"/>
            </w:tcMar>
          </w:tcPr>
          <w:p>
            <w:r>
              <w:rPr>
                <w:rFonts w:ascii="Calibri" w:cs="Calibri" w:eastAsia="Calibri" w:hAnsi="Calibri"/>
                <w:b/>
                <w:bCs/>
                <w:color w:val="FFFFFF"/>
                <w:sz w:val="20"/>
                <w:szCs w:val="20"/>
              </w:rPr>
              <w:t xml:space="preserve">Permitted</w:t>
            </w:r>
          </w:p>
        </w:tc>
        <w:tc>
          <w:tcPr>
            <w:tcW w:type="dxa" w:w="3580"/>
            <w:tcBorders>
              <w:top w:val="single" w:color="FFFFFF" w:sz="4"/>
              <w:left w:val="single" w:color="FFFFFF" w:sz="4"/>
              <w:bottom w:val="single" w:color="FFFFFF" w:sz="4"/>
              <w:right w:val="single" w:color="FFFFFF" w:sz="4"/>
            </w:tcBorders>
            <w:shd w:fill="B91C1C" w:val="clear"/>
            <w:tcMar>
              <w:top w:type="dxa" w:w="80"/>
              <w:left w:type="dxa" w:w="120"/>
              <w:bottom w:type="dxa" w:w="80"/>
              <w:right w:type="dxa" w:w="120"/>
            </w:tcMar>
          </w:tcPr>
          <w:p>
            <w:r>
              <w:rPr>
                <w:rFonts w:ascii="Calibri" w:cs="Calibri" w:eastAsia="Calibri" w:hAnsi="Calibri"/>
                <w:b/>
                <w:bCs/>
                <w:color w:val="FFFFFF"/>
                <w:sz w:val="20"/>
                <w:szCs w:val="20"/>
              </w:rPr>
              <w:t xml:space="preserve">Forbidden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OrgSetup Layer 1</w:t>
            </w:r>
          </w:p>
        </w:tc>
        <w:tc>
          <w:tcPr>
            <w:tcW w:type="dxa" w:w="3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Org hierarchy, job titles and KRAs, strategy and goals, products and services, client registry, governing standards, tools and technologies, skill criticality settings, proficiency level definitions, Transformation Dial settings</w:t>
            </w:r>
          </w:p>
        </w:tc>
        <w:tc>
          <w:tcPr>
            <w:tcW w:type="dxa" w:w="35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Any data not explicitly configured in OrgSetup by the client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DataPort Layer 2</w:t>
            </w:r>
          </w:p>
        </w:tc>
        <w:tc>
          <w:tcPr>
            <w:tcW w:type="dxa" w:w="3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Employee master records (name, role, department, employment type, seniority), certification history, training history, project records, industry benchmarks, resume intelligence outputs from AI-2</w:t>
            </w:r>
          </w:p>
        </w:tc>
        <w:tc>
          <w:tcPr>
            <w:tcW w:type="dxa" w:w="35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Individual performance ratings, salary data, disciplinary records, medical information, Burnout Risk Scores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Taxonomy seeds</w:t>
            </w:r>
          </w:p>
        </w:tc>
        <w:tc>
          <w:tcPr>
            <w:tcW w:type="dxa" w:w="3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Any existing skills dictionary or competency framework the client has uploaded as seed data</w:t>
            </w:r>
          </w:p>
        </w:tc>
        <w:tc>
          <w:tcPr>
            <w:tcW w:type="dxa" w:w="35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Competitor org data, external benchmark databases (these feed the Transformation Dial and strategy context, not the raw pipeline)</w:t>
            </w:r>
          </w:p>
        </w:tc>
      </w:tr>
    </w:tbl>
    <w:p>
      <w:pPr>
        <w:spacing w:before="0" w:after="80"/>
      </w:pPr>
    </w:p>
    <w:p>
      <w:pPr>
        <w:pStyle w:val="Heading3"/>
        <w:spacing w:before="200" w:after="80"/>
      </w:pPr>
      <w:r>
        <w:rPr>
          <w:rFonts w:ascii="Calibri" w:cs="Calibri" w:eastAsia="Calibri" w:hAnsi="Calibri"/>
          <w:b/>
          <w:bCs/>
          <w:color w:val="1D4ED8"/>
          <w:sz w:val="24"/>
          <w:szCs w:val="24"/>
        </w:rPr>
        <w:t xml:space="preserve">Permitted Outputs</w:t>
      </w:r>
    </w:p>
    <w:p>
      <w:pPr>
        <w:pStyle w:val="ListParagraph"/>
        <w:numPr>
          <w:ilvl w:val="0"/>
          <w:numId w:val="2"/>
        </w:numPr>
        <w:spacing w:before="0" w:after="60"/>
      </w:pPr>
      <w:r>
        <w:rPr>
          <w:rFonts w:ascii="Calibri" w:cs="Calibri" w:eastAsia="Calibri" w:hAnsi="Calibri"/>
          <w:color w:val="374151"/>
          <w:sz w:val="21"/>
          <w:szCs w:val="21"/>
        </w:rPr>
        <w:t xml:space="preserve">Skills taxonomy: Domain → Knowledge Area → Skill Category → Skill hierarchy. Definitions, proficiency level indicators (L1–L4), department applicability, criticality assignments.</w:t>
      </w:r>
    </w:p>
    <w:p>
      <w:pPr>
        <w:pStyle w:val="ListParagraph"/>
        <w:numPr>
          <w:ilvl w:val="0"/>
          <w:numId w:val="2"/>
        </w:numPr>
        <w:spacing w:before="0" w:after="60"/>
      </w:pPr>
      <w:r>
        <w:rPr>
          <w:rFonts w:ascii="Calibri" w:cs="Calibri" w:eastAsia="Calibri" w:hAnsi="Calibri"/>
          <w:color w:val="374151"/>
          <w:sz w:val="21"/>
          <w:szCs w:val="21"/>
        </w:rPr>
        <w:t xml:space="preserve">Competency framework: Core, Behavioural, Leadership, Technical competencies. Behavioural indicators per proficiency level. Org values linkage.</w:t>
      </w:r>
    </w:p>
    <w:p>
      <w:pPr>
        <w:pStyle w:val="ListParagraph"/>
        <w:numPr>
          <w:ilvl w:val="0"/>
          <w:numId w:val="2"/>
        </w:numPr>
        <w:spacing w:before="0" w:after="60"/>
      </w:pPr>
      <w:r>
        <w:rPr>
          <w:rFonts w:ascii="Calibri" w:cs="Calibri" w:eastAsia="Calibri" w:hAnsi="Calibri"/>
          <w:color w:val="374151"/>
          <w:sz w:val="21"/>
          <w:szCs w:val="21"/>
        </w:rPr>
        <w:t xml:space="preserve">Role-skill matrix: required proficiency per skill per job title. Mandatory vs developmental split. Compliance certification mappings.</w:t>
      </w:r>
    </w:p>
    <w:p>
      <w:pPr>
        <w:pStyle w:val="ListParagraph"/>
        <w:numPr>
          <w:ilvl w:val="0"/>
          <w:numId w:val="2"/>
        </w:numPr>
        <w:spacing w:before="0" w:after="60"/>
      </w:pPr>
      <w:r>
        <w:rPr>
          <w:rFonts w:ascii="Calibri" w:cs="Calibri" w:eastAsia="Calibri" w:hAnsi="Calibri"/>
          <w:color w:val="374151"/>
          <w:sz w:val="21"/>
          <w:szCs w:val="21"/>
        </w:rPr>
        <w:t xml:space="preserve">Employee baselines: estimated current proficiency per employee per skill. Clearly labelled as 'AI Estimated' — never as validated.</w:t>
      </w:r>
    </w:p>
    <w:p>
      <w:pPr>
        <w:spacing w:before="0" w:after="60"/>
      </w:pPr>
    </w:p>
    <w:p>
      <w:pPr>
        <w:pStyle w:val="Heading3"/>
        <w:spacing w:before="200" w:after="80"/>
      </w:pPr>
      <w:r>
        <w:rPr>
          <w:rFonts w:ascii="Calibri" w:cs="Calibri" w:eastAsia="Calibri" w:hAnsi="Calibri"/>
          <w:b/>
          <w:bCs/>
          <w:color w:val="1D4ED8"/>
          <w:sz w:val="24"/>
          <w:szCs w:val="24"/>
        </w:rPr>
        <w:t xml:space="preserve">Human Review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AI1-R1  </w:t>
            </w:r>
            <w:r>
              <w:rPr>
                <w:rFonts w:ascii="Calibri" w:cs="Calibri" w:eastAsia="Calibri" w:hAnsi="Calibri"/>
                <w:b/>
                <w:bCs/>
                <w:color w:val="0F172A"/>
                <w:sz w:val="22"/>
                <w:szCs w:val="22"/>
              </w:rPr>
              <w:t xml:space="preserve">3-Tier Approval is mandatory before any SkillForge output activates</w:t>
            </w:r>
          </w:p>
          <w:p>
            <w:pPr>
              <w:spacing w:before="0" w:after="0"/>
            </w:pPr>
            <w:r>
              <w:rPr>
                <w:rFonts w:ascii="Calibri" w:cs="Calibri" w:eastAsia="Calibri" w:hAnsi="Calibri"/>
                <w:color w:val="374151"/>
                <w:sz w:val="20"/>
                <w:szCs w:val="20"/>
              </w:rPr>
              <w:t xml:space="preserve">No SkillForge output may be used by any downstream AI system (AI-3, AI-4, AI-5, AI-6, AI-7, AI-8, AI-9) until the FrameworkBible has been published via the 3-Tier ApprovalHub workflow (Tier 1: Admin → Tier 2: Dept Heads → Tier 3: HR Head). This gate is technically enforced — downstream modules are invisible until publication. The approval workflow cannot be bypassed, shortened, or automated.</w:t>
            </w:r>
          </w:p>
        </w:tc>
      </w:tr>
    </w:tbl>
    <w:p>
      <w:pPr>
        <w:spacing w:before="0" w:after="100"/>
      </w:pPr>
    </w:p>
    <w:p>
      <w:pPr>
        <w:pStyle w:val="Heading3"/>
        <w:spacing w:before="200" w:after="80"/>
      </w:pPr>
      <w:r>
        <w:rPr>
          <w:rFonts w:ascii="Calibri" w:cs="Calibri" w:eastAsia="Calibri" w:hAnsi="Calibri"/>
          <w:b/>
          <w:bCs/>
          <w:color w:val="1D4ED8"/>
          <w:sz w:val="24"/>
          <w:szCs w:val="24"/>
        </w:rPr>
        <w:t xml:space="preserve">Fallback Behaviour</w:t>
      </w:r>
    </w:p>
    <w:p>
      <w:pPr>
        <w:pStyle w:val="ListParagraph"/>
        <w:numPr>
          <w:ilvl w:val="0"/>
          <w:numId w:val="2"/>
        </w:numPr>
        <w:spacing w:before="0" w:after="60"/>
      </w:pPr>
      <w:r>
        <w:rPr>
          <w:rFonts w:ascii="Calibri" w:cs="Calibri" w:eastAsia="Calibri" w:hAnsi="Calibri"/>
          <w:color w:val="374151"/>
          <w:sz w:val="21"/>
          <w:szCs w:val="21"/>
        </w:rPr>
        <w:t xml:space="preserve">Insufficient data (Context Meter below 35%): pipeline runs but outputs are flagged as 'Low Confidence — insufficient workforce data'. Outputs are visible in Tier 1 review but cannot be published until data completeness improves or the HR Head explicitly overrides with a documented reason.</w:t>
      </w:r>
    </w:p>
    <w:p>
      <w:pPr>
        <w:pStyle w:val="ListParagraph"/>
        <w:numPr>
          <w:ilvl w:val="0"/>
          <w:numId w:val="2"/>
        </w:numPr>
        <w:spacing w:before="0" w:after="60"/>
      </w:pPr>
      <w:r>
        <w:rPr>
          <w:rFonts w:ascii="Calibri" w:cs="Calibri" w:eastAsia="Calibri" w:hAnsi="Calibri"/>
          <w:color w:val="374151"/>
          <w:sz w:val="21"/>
          <w:szCs w:val="21"/>
        </w:rPr>
        <w:t xml:space="preserve">API timeout or model error on any single prompt: retry up to 3 times with exponential backoff. If all retries fail, the pipeline pauses at that prompt with a clear error message. Partial outputs from completed prompts are preserved. HR Admin is notified with the failed prompt number and a suggested action.</w:t>
      </w:r>
    </w:p>
    <w:p>
      <w:pPr>
        <w:pStyle w:val="ListParagraph"/>
        <w:numPr>
          <w:ilvl w:val="0"/>
          <w:numId w:val="2"/>
        </w:numPr>
        <w:spacing w:before="0" w:after="60"/>
      </w:pPr>
      <w:r>
        <w:rPr>
          <w:rFonts w:ascii="Calibri" w:cs="Calibri" w:eastAsia="Calibri" w:hAnsi="Calibri"/>
          <w:color w:val="374151"/>
          <w:sz w:val="21"/>
          <w:szCs w:val="21"/>
        </w:rPr>
        <w:t xml:space="preserve">Empty or ambiguous OrgSetup: if strategy goals, products, or standards are not configured, prompts 1 and 2 produce a reduced-context output. The output is labelled 'Context-Limited — OrgSetup incomplete'. The Tier 1 review screen shows exactly which context fields are missing.</w:t>
      </w:r>
    </w:p>
    <w:p>
      <w:pPr>
        <w:spacing w:before="0" w:after="80"/>
      </w:pPr>
    </w:p>
    <w:p>
      <w:pPr>
        <w:pStyle w:val="Heading3"/>
        <w:spacing w:before="200" w:after="80"/>
      </w:pPr>
      <w:r>
        <w:rPr>
          <w:rFonts w:ascii="Calibri" w:cs="Calibri" w:eastAsia="Calibri" w:hAnsi="Calibri"/>
          <w:b/>
          <w:bCs/>
          <w:color w:val="1D4ED8"/>
          <w:sz w:val="24"/>
          <w:szCs w:val="24"/>
        </w:rPr>
        <w:t xml:space="preserve">Forbidden Operations</w:t>
      </w:r>
    </w:p>
    <w:p>
      <w:pPr>
        <w:pStyle w:val="ListParagraph"/>
        <w:numPr>
          <w:ilvl w:val="0"/>
          <w:numId w:val="2"/>
        </w:numPr>
        <w:spacing w:before="0" w:after="60"/>
      </w:pPr>
      <w:r>
        <w:rPr>
          <w:rFonts w:ascii="Calibri" w:cs="Calibri" w:eastAsia="Calibri" w:hAnsi="Calibri"/>
          <w:color w:val="374151"/>
          <w:sz w:val="21"/>
          <w:szCs w:val="21"/>
        </w:rPr>
        <w:t xml:space="preserve">AI-1 may not regenerate baselines for employees whose baselines have been superseded by validated L2 assessment data — even during a full pipeline re-run. The is_modified flag on validated proficiency fields is absolute.</w:t>
      </w:r>
    </w:p>
    <w:p>
      <w:pPr>
        <w:pStyle w:val="ListParagraph"/>
        <w:numPr>
          <w:ilvl w:val="0"/>
          <w:numId w:val="2"/>
        </w:numPr>
        <w:spacing w:before="0" w:after="60"/>
      </w:pPr>
      <w:r>
        <w:rPr>
          <w:rFonts w:ascii="Calibri" w:cs="Calibri" w:eastAsia="Calibri" w:hAnsi="Calibri"/>
          <w:color w:val="374151"/>
          <w:sz w:val="21"/>
          <w:szCs w:val="21"/>
        </w:rPr>
        <w:t xml:space="preserve">AI-1 may not generate skills or competencies that reference named individual employees. All outputs are role-level or org-level constructs.</w:t>
      </w:r>
    </w:p>
    <w:p>
      <w:pPr>
        <w:pStyle w:val="ListParagraph"/>
        <w:numPr>
          <w:ilvl w:val="0"/>
          <w:numId w:val="2"/>
        </w:numPr>
        <w:spacing w:before="0" w:after="60"/>
      </w:pPr>
      <w:r>
        <w:rPr>
          <w:rFonts w:ascii="Calibri" w:cs="Calibri" w:eastAsia="Calibri" w:hAnsi="Calibri"/>
          <w:color w:val="374151"/>
          <w:sz w:val="21"/>
          <w:szCs w:val="21"/>
        </w:rPr>
        <w:t xml:space="preserve">AI-1 may not use data from a previous tenant run as seed data for a new tenant — even if the organisations are in the same industry.</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4.2 AI-2: Resume Intelligence Parser</w:t>
      </w:r>
    </w:p>
    <w:p>
      <w:pPr>
        <w:spacing w:before="0" w:after="100"/>
      </w:pPr>
      <w:r>
        <w:rPr>
          <w:rFonts w:ascii="Calibri" w:cs="Calibri" w:eastAsia="Calibri" w:hAnsi="Calibri"/>
          <w:b w:val="false"/>
          <w:bCs w:val="false"/>
          <w:i w:val="false"/>
          <w:iCs w:val="false"/>
          <w:color w:val="374151"/>
          <w:sz w:val="22"/>
          <w:szCs w:val="22"/>
        </w:rPr>
        <w:t xml:space="preserve">The Resume Intelligence Parser reads uploaded CV and resume documents and extracts structured career history, skills signals, and competency indicators. Its outputs feed directly into the SkillForge employee baselines (AI-1 Prompt 7) and the talent mobility and project fitment engines.</w:t>
      </w:r>
    </w:p>
    <w:p>
      <w:pPr>
        <w:spacing w:before="0" w:after="80"/>
      </w:pPr>
    </w:p>
    <w:p>
      <w:pPr>
        <w:pStyle w:val="Heading3"/>
        <w:spacing w:before="200" w:after="80"/>
      </w:pPr>
      <w:r>
        <w:rPr>
          <w:rFonts w:ascii="Calibri" w:cs="Calibri" w:eastAsia="Calibri" w:hAnsi="Calibri"/>
          <w:b/>
          <w:bCs/>
          <w:color w:val="1D4ED8"/>
          <w:sz w:val="24"/>
          <w:szCs w:val="24"/>
        </w:rPr>
        <w:t xml:space="preserve">Permitted Data Inputs</w:t>
      </w:r>
    </w:p>
    <w:p>
      <w:pPr>
        <w:pStyle w:val="ListParagraph"/>
        <w:numPr>
          <w:ilvl w:val="0"/>
          <w:numId w:val="2"/>
        </w:numPr>
        <w:spacing w:before="0" w:after="60"/>
      </w:pPr>
      <w:r>
        <w:rPr>
          <w:rFonts w:ascii="Calibri" w:cs="Calibri" w:eastAsia="Calibri" w:hAnsi="Calibri"/>
          <w:color w:val="374151"/>
          <w:sz w:val="21"/>
          <w:szCs w:val="21"/>
        </w:rPr>
        <w:t xml:space="preserve">Uploaded resume or CV documents (PDF, DOCX, TXT) — uploaded by HR Admin or synced from the HRIS</w:t>
      </w:r>
    </w:p>
    <w:p>
      <w:pPr>
        <w:pStyle w:val="ListParagraph"/>
        <w:numPr>
          <w:ilvl w:val="0"/>
          <w:numId w:val="2"/>
        </w:numPr>
        <w:spacing w:before="0" w:after="60"/>
      </w:pPr>
      <w:r>
        <w:rPr>
          <w:rFonts w:ascii="Calibri" w:cs="Calibri" w:eastAsia="Calibri" w:hAnsi="Calibri"/>
          <w:color w:val="374151"/>
          <w:sz w:val="21"/>
          <w:szCs w:val="21"/>
        </w:rPr>
        <w:t xml:space="preserve">The current FrameworkBible (post-publication) — used to map extracted skills signals to the org's taxonomy</w:t>
      </w:r>
    </w:p>
    <w:p>
      <w:pPr>
        <w:pStyle w:val="ListParagraph"/>
        <w:numPr>
          <w:ilvl w:val="0"/>
          <w:numId w:val="2"/>
        </w:numPr>
        <w:spacing w:before="0" w:after="60"/>
      </w:pPr>
      <w:r>
        <w:rPr>
          <w:rFonts w:ascii="Calibri" w:cs="Calibri" w:eastAsia="Calibri" w:hAnsi="Calibri"/>
          <w:color w:val="374151"/>
          <w:sz w:val="21"/>
          <w:szCs w:val="21"/>
        </w:rPr>
        <w:t xml:space="preserve">Employee master record — for identity binding only (name and employee ID matching)</w:t>
      </w:r>
    </w:p>
    <w:p>
      <w:pPr>
        <w:spacing w:before="0" w:after="60"/>
      </w:pPr>
    </w:p>
    <w:p>
      <w:pPr>
        <w:pStyle w:val="Heading3"/>
        <w:spacing w:before="200" w:after="80"/>
      </w:pPr>
      <w:r>
        <w:rPr>
          <w:rFonts w:ascii="Calibri" w:cs="Calibri" w:eastAsia="Calibri" w:hAnsi="Calibri"/>
          <w:b/>
          <w:bCs/>
          <w:color w:val="1D4ED8"/>
          <w:sz w:val="24"/>
          <w:szCs w:val="24"/>
        </w:rPr>
        <w:t xml:space="preserve">Permitted Outputs</w:t>
      </w:r>
    </w:p>
    <w:p>
      <w:pPr>
        <w:pStyle w:val="ListParagraph"/>
        <w:numPr>
          <w:ilvl w:val="0"/>
          <w:numId w:val="2"/>
        </w:numPr>
        <w:spacing w:before="0" w:after="60"/>
      </w:pPr>
      <w:r>
        <w:rPr>
          <w:rFonts w:ascii="Calibri" w:cs="Calibri" w:eastAsia="Calibri" w:hAnsi="Calibri"/>
          <w:color w:val="374151"/>
          <w:sz w:val="21"/>
          <w:szCs w:val="21"/>
        </w:rPr>
        <w:t xml:space="preserve">Extracted work history: previous employers, roles, and dates — stored in structured fields, not as raw text</w:t>
      </w:r>
    </w:p>
    <w:p>
      <w:pPr>
        <w:pStyle w:val="ListParagraph"/>
        <w:numPr>
          <w:ilvl w:val="0"/>
          <w:numId w:val="2"/>
        </w:numPr>
        <w:spacing w:before="0" w:after="60"/>
      </w:pPr>
      <w:r>
        <w:rPr>
          <w:rFonts w:ascii="Calibri" w:cs="Calibri" w:eastAsia="Calibri" w:hAnsi="Calibri"/>
          <w:color w:val="374151"/>
          <w:sz w:val="21"/>
          <w:szCs w:val="21"/>
        </w:rPr>
        <w:t xml:space="preserve">Industry exposure: inferred industry experience from employer and role context</w:t>
      </w:r>
    </w:p>
    <w:p>
      <w:pPr>
        <w:pStyle w:val="ListParagraph"/>
        <w:numPr>
          <w:ilvl w:val="0"/>
          <w:numId w:val="2"/>
        </w:numPr>
        <w:spacing w:before="0" w:after="60"/>
      </w:pPr>
      <w:r>
        <w:rPr>
          <w:rFonts w:ascii="Calibri" w:cs="Calibri" w:eastAsia="Calibri" w:hAnsi="Calibri"/>
          <w:color w:val="374151"/>
          <w:sz w:val="21"/>
          <w:szCs w:val="21"/>
        </w:rPr>
        <w:t xml:space="preserve">Skills signals: candidate mentions of skills or tools — mapped to FrameworkBible taxonomy where possible, flagged as 'unmatched signal' where not</w:t>
      </w:r>
    </w:p>
    <w:p>
      <w:pPr>
        <w:pStyle w:val="ListParagraph"/>
        <w:numPr>
          <w:ilvl w:val="0"/>
          <w:numId w:val="2"/>
        </w:numPr>
        <w:spacing w:before="0" w:after="60"/>
      </w:pPr>
      <w:r>
        <w:rPr>
          <w:rFonts w:ascii="Calibri" w:cs="Calibri" w:eastAsia="Calibri" w:hAnsi="Calibri"/>
          <w:color w:val="374151"/>
          <w:sz w:val="21"/>
          <w:szCs w:val="21"/>
        </w:rPr>
        <w:t xml:space="preserve">Qualification signals: degrees, professional certifications, and training mentioned in the document</w:t>
      </w:r>
    </w:p>
    <w:p>
      <w:pPr>
        <w:pStyle w:val="ListParagraph"/>
        <w:numPr>
          <w:ilvl w:val="0"/>
          <w:numId w:val="2"/>
        </w:numPr>
        <w:spacing w:before="0" w:after="60"/>
      </w:pPr>
      <w:r>
        <w:rPr>
          <w:rFonts w:ascii="Calibri" w:cs="Calibri" w:eastAsia="Calibri" w:hAnsi="Calibri"/>
          <w:color w:val="374151"/>
          <w:sz w:val="21"/>
          <w:szCs w:val="21"/>
        </w:rPr>
        <w:t xml:space="preserve">Competency signals: behavioural indicators inferred from role descriptions (e.g. 'led a team of 12' → Leadership competency signal)</w:t>
      </w:r>
    </w:p>
    <w:p>
      <w:pPr>
        <w:pStyle w:val="ListParagraph"/>
        <w:numPr>
          <w:ilvl w:val="0"/>
          <w:numId w:val="2"/>
        </w:numPr>
        <w:spacing w:before="0" w:after="60"/>
      </w:pPr>
      <w:r>
        <w:rPr>
          <w:rFonts w:ascii="Calibri" w:cs="Calibri" w:eastAsia="Calibri" w:hAnsi="Calibri"/>
          <w:color w:val="374151"/>
          <w:sz w:val="21"/>
          <w:szCs w:val="21"/>
        </w:rPr>
        <w:t xml:space="preserve">Confidence score per extraction: every extracted data point carries a confidence percentage (0–100%). Low confidence items (below 70%) are shown separately and require HR confirmation before use in baselines</w:t>
      </w:r>
    </w:p>
    <w:p>
      <w:pPr>
        <w:spacing w:before="0" w:after="60"/>
      </w:pPr>
    </w:p>
    <w:p>
      <w:pPr>
        <w:pStyle w:val="Heading3"/>
        <w:spacing w:before="200" w:after="80"/>
      </w:pPr>
      <w:r>
        <w:rPr>
          <w:rFonts w:ascii="Calibri" w:cs="Calibri" w:eastAsia="Calibri" w:hAnsi="Calibri"/>
          <w:b/>
          <w:bCs/>
          <w:color w:val="1D4ED8"/>
          <w:sz w:val="24"/>
          <w:szCs w:val="24"/>
        </w:rPr>
        <w:t xml:space="preserve">Human Review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RULE AI2-R1  </w:t>
            </w:r>
            <w:r>
              <w:rPr>
                <w:rFonts w:ascii="Calibri" w:cs="Calibri" w:eastAsia="Calibri" w:hAnsi="Calibri"/>
                <w:b/>
                <w:bCs/>
                <w:color w:val="78350F"/>
                <w:sz w:val="22"/>
                <w:szCs w:val="22"/>
              </w:rPr>
              <w:t xml:space="preserve">Resume intelligence outputs require HR confirmation before feeding baselines</w:t>
            </w:r>
          </w:p>
          <w:p>
            <w:pPr>
              <w:spacing w:before="0" w:after="0"/>
            </w:pPr>
            <w:r>
              <w:rPr>
                <w:rFonts w:ascii="Calibri" w:cs="Calibri" w:eastAsia="Calibri" w:hAnsi="Calibri"/>
                <w:color w:val="374151"/>
                <w:sz w:val="20"/>
                <w:szCs w:val="20"/>
              </w:rPr>
              <w:t xml:space="preserve">All extracted data points are held in a 'pending confirmation' state after parsing. HR Admin reviews the extracted data point by point (or in bulk for high-confidence items above 90%). Only confirmed data points feed into the SkillForge employee baseline. No extracted data point automatically updates a validated proficiency field — it can only inform an AI-estimated baseline.</w:t>
            </w:r>
          </w:p>
        </w:tc>
      </w:tr>
    </w:tbl>
    <w:p>
      <w:pPr>
        <w:spacing w:before="0" w:after="100"/>
      </w:pPr>
    </w:p>
    <w:p>
      <w:pPr>
        <w:pStyle w:val="Heading3"/>
        <w:spacing w:before="200" w:after="80"/>
      </w:pPr>
      <w:r>
        <w:rPr>
          <w:rFonts w:ascii="Calibri" w:cs="Calibri" w:eastAsia="Calibri" w:hAnsi="Calibri"/>
          <w:b/>
          <w:bCs/>
          <w:color w:val="1D4ED8"/>
          <w:sz w:val="24"/>
          <w:szCs w:val="24"/>
        </w:rPr>
        <w:t xml:space="preserve">Forbidden Operations</w:t>
      </w:r>
    </w:p>
    <w:p>
      <w:pPr>
        <w:pStyle w:val="ListParagraph"/>
        <w:numPr>
          <w:ilvl w:val="0"/>
          <w:numId w:val="2"/>
        </w:numPr>
        <w:spacing w:before="0" w:after="60"/>
      </w:pPr>
      <w:r>
        <w:rPr>
          <w:rFonts w:ascii="Calibri" w:cs="Calibri" w:eastAsia="Calibri" w:hAnsi="Calibri"/>
          <w:color w:val="374151"/>
          <w:sz w:val="21"/>
          <w:szCs w:val="21"/>
        </w:rPr>
        <w:t xml:space="preserve">AI-2 may not infer demographic information (age, gender, nationality, ethnicity) from resume content — even if inferable from names, graduation years, or institution locations. Any such inference is a prohibited output.</w:t>
      </w:r>
    </w:p>
    <w:p>
      <w:pPr>
        <w:pStyle w:val="ListParagraph"/>
        <w:numPr>
          <w:ilvl w:val="0"/>
          <w:numId w:val="2"/>
        </w:numPr>
        <w:spacing w:before="0" w:after="60"/>
      </w:pPr>
      <w:r>
        <w:rPr>
          <w:rFonts w:ascii="Calibri" w:cs="Calibri" w:eastAsia="Calibri" w:hAnsi="Calibri"/>
          <w:color w:val="374151"/>
          <w:sz w:val="21"/>
          <w:szCs w:val="21"/>
        </w:rPr>
        <w:t xml:space="preserve">AI-2 may not store the raw resume document text in any searchable or queryable format. Raw document text is processed, then discarded. Only structured extracted data is retained.</w:t>
      </w:r>
    </w:p>
    <w:p>
      <w:pPr>
        <w:pStyle w:val="ListParagraph"/>
        <w:numPr>
          <w:ilvl w:val="0"/>
          <w:numId w:val="2"/>
        </w:numPr>
        <w:spacing w:before="0" w:after="60"/>
      </w:pPr>
      <w:r>
        <w:rPr>
          <w:rFonts w:ascii="Calibri" w:cs="Calibri" w:eastAsia="Calibri" w:hAnsi="Calibri"/>
          <w:color w:val="374151"/>
          <w:sz w:val="21"/>
          <w:szCs w:val="21"/>
        </w:rPr>
        <w:t xml:space="preserve">AI-2 may not surface resume data to any user other than Super Admin and HR Admin during the review phase. Employees do not see the extraction in progress — they see the final confirmed profile.</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4.3 AI-3: Weighted Gap Score and Intervention Classification Engine</w:t>
      </w:r>
    </w:p>
    <w:p>
      <w:pPr>
        <w:spacing w:before="0" w:after="100"/>
      </w:pPr>
      <w:r>
        <w:rPr>
          <w:rFonts w:ascii="Calibri" w:cs="Calibri" w:eastAsia="Calibri" w:hAnsi="Calibri"/>
          <w:b w:val="false"/>
          <w:bCs w:val="false"/>
          <w:i w:val="false"/>
          <w:iCs w:val="false"/>
          <w:color w:val="374151"/>
          <w:sz w:val="22"/>
          <w:szCs w:val="22"/>
        </w:rPr>
        <w:t xml:space="preserve">AI-3 is the analytical core of Level 2. It converts raw skill gaps into weighted, prioritised, intervention-typed learning needs. The accuracy of its multipliers directly determines which employees receive which learning interventions. Any data boundary error in AI-3 propagates into every LNA output, every LNI, and every IDP.</w:t>
      </w:r>
    </w:p>
    <w:p>
      <w:pPr>
        <w:spacing w:before="0" w:after="80"/>
      </w:pPr>
    </w:p>
    <w:p>
      <w:pPr>
        <w:pStyle w:val="Heading3"/>
        <w:spacing w:before="200" w:after="80"/>
      </w:pPr>
      <w:r>
        <w:rPr>
          <w:rFonts w:ascii="Calibri" w:cs="Calibri" w:eastAsia="Calibri" w:hAnsi="Calibri"/>
          <w:b/>
          <w:bCs/>
          <w:color w:val="1D4ED8"/>
          <w:sz w:val="24"/>
          <w:szCs w:val="24"/>
        </w:rPr>
        <w:t xml:space="preserve">Permitted Data Inputs — Gap Calculation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Multiplier</w:t>
            </w:r>
          </w:p>
        </w:tc>
        <w:tc>
          <w:tcPr>
            <w:tcW w:type="dxa" w:w="7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Permitted Data Source</w:t>
            </w:r>
          </w:p>
        </w:tc>
      </w:tr>
      <w:tr>
        <w:tc>
          <w:tcPr>
            <w:tcW w:type="dxa" w:w="2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Skill Criticality (C1–C4)</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Criticality assignments from the published FrameworkBible (set in OrgSetup by HR Head). Not editable by managers or employees.</w:t>
            </w:r>
          </w:p>
        </w:tc>
      </w:tr>
      <w:tr>
        <w:tc>
          <w:tcPr>
            <w:tcW w:type="dxa" w:w="2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Transformation Dial (−5 to +5)</w:t>
            </w:r>
          </w:p>
        </w:tc>
        <w:tc>
          <w:tcPr>
            <w:tcW w:type="dxa" w:w="7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Transformation Dial settings from OrgSetup. Approved by HR Head. Staged rollout configuration respected.</w:t>
            </w:r>
          </w:p>
        </w:tc>
      </w:tr>
      <w:tr>
        <w:tc>
          <w:tcPr>
            <w:tcW w:type="dxa" w:w="2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Project Timeline Urgency</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Active project data from DataPort and PM tool integrations. Project must have a confirmed delivery date and a skill dependency link. Urgency multiplier does not apply to unlinked or completed projects.</w:t>
            </w:r>
          </w:p>
        </w:tc>
      </w:tr>
      <w:tr>
        <w:tc>
          <w:tcPr>
            <w:tcW w:type="dxa" w:w="2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Performance Correlation</w:t>
            </w:r>
          </w:p>
        </w:tc>
        <w:tc>
          <w:tcPr>
            <w:tcW w:type="dxa" w:w="7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Performance data from HRIS integration (where available). Restricted to: active underperformance flag, performance improvement plan status, and manager-confirmed performance risk flag. Raw performance ratings, appraisal scores, and disciplinary records are forbidden inputs.</w:t>
            </w:r>
          </w:p>
        </w:tc>
      </w:tr>
      <w:tr>
        <w:tc>
          <w:tcPr>
            <w:tcW w:type="dxa" w:w="2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Employee Discovery Input</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L&amp;D 1:1 session notes (Category F qualitative capture) — only the AI-tagged learning need classification, not the raw note text. Employee-declared need level: High, Medium, or Not declared.</w:t>
            </w:r>
          </w:p>
        </w:tc>
      </w:tr>
    </w:tbl>
    <w:p>
      <w:pPr>
        <w:spacing w:before="0" w:after="80"/>
      </w:pPr>
    </w:p>
    <w:p>
      <w:pPr>
        <w:pStyle w:val="Heading3"/>
        <w:spacing w:before="200" w:after="80"/>
      </w:pPr>
      <w:r>
        <w:rPr>
          <w:rFonts w:ascii="Calibri" w:cs="Calibri" w:eastAsia="Calibri" w:hAnsi="Calibri"/>
          <w:b/>
          <w:bCs/>
          <w:color w:val="1D4ED8"/>
          <w:sz w:val="24"/>
          <w:szCs w:val="24"/>
        </w:rPr>
        <w:t xml:space="preserve">Performance Correlation — Special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AI3-R1  </w:t>
            </w:r>
            <w:r>
              <w:rPr>
                <w:rFonts w:ascii="Calibri" w:cs="Calibri" w:eastAsia="Calibri" w:hAnsi="Calibri"/>
                <w:b/>
                <w:bCs/>
                <w:color w:val="7F1D1D"/>
                <w:sz w:val="22"/>
                <w:szCs w:val="22"/>
              </w:rPr>
              <w:t xml:space="preserve">Performance data classification requires human confirmation before multiplier applies</w:t>
            </w:r>
          </w:p>
          <w:p>
            <w:pPr>
              <w:spacing w:before="0" w:after="0"/>
            </w:pPr>
            <w:r>
              <w:rPr>
                <w:rFonts w:ascii="Calibri" w:cs="Calibri" w:eastAsia="Calibri" w:hAnsi="Calibri"/>
                <w:color w:val="374151"/>
                <w:sz w:val="20"/>
                <w:szCs w:val="20"/>
              </w:rPr>
              <w:t xml:space="preserve">The performance correlation multiplier (1.8x for active underperformance, 1.4x for performance risk) may not be applied automatically. When performance data is available from HRIS, AI-3 surfaces a classification suggestion to the L&amp;D Manager: 'This gap appears to have a performance signal. Confirm as performance-correlated to apply the 1.8x multiplier.' The human must confirm. The multiplier is never applied silently.</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6"/>
              <w:bottom w:val="single" w:color="6D28D9" w:sz="4"/>
              <w:right w:val="single" w:color="6D28D9" w:sz="4"/>
            </w:tcBorders>
            <w:shd w:fill="F5F3FF" w:val="clear"/>
            <w:tcMar>
              <w:top w:type="dxa" w:w="120"/>
              <w:left w:type="dxa" w:w="200"/>
              <w:bottom w:type="dxa" w:w="120"/>
              <w:right w:type="dxa" w:w="160"/>
            </w:tcMar>
          </w:tcPr>
          <w:p>
            <w:pPr>
              <w:spacing w:before="0" w:after="60"/>
            </w:pPr>
            <w:r>
              <w:rPr>
                <w:rFonts w:ascii="Calibri" w:cs="Calibri" w:eastAsia="Calibri" w:hAnsi="Calibri"/>
                <w:b/>
                <w:bCs/>
                <w:caps/>
                <w:color w:val="6D28D9"/>
                <w:sz w:val="18"/>
                <w:szCs w:val="18"/>
              </w:rPr>
              <w:t xml:space="preserve">RULE AI3-R2  </w:t>
            </w:r>
            <w:r>
              <w:rPr>
                <w:rFonts w:ascii="Calibri" w:cs="Calibri" w:eastAsia="Calibri" w:hAnsi="Calibri"/>
                <w:b/>
                <w:bCs/>
                <w:color w:val="3B0764"/>
                <w:sz w:val="22"/>
                <w:szCs w:val="22"/>
              </w:rPr>
              <w:t xml:space="preserve">Performance correlation reason is access-controlled in LNA outputs</w:t>
            </w:r>
          </w:p>
          <w:p>
            <w:pPr>
              <w:spacing w:before="0" w:after="0"/>
            </w:pPr>
            <w:r>
              <w:rPr>
                <w:rFonts w:ascii="Calibri" w:cs="Calibri" w:eastAsia="Calibri" w:hAnsi="Calibri"/>
                <w:color w:val="374151"/>
                <w:sz w:val="20"/>
                <w:szCs w:val="20"/>
              </w:rPr>
              <w:t xml:space="preserve">When a gap has a confirmed performance correlation multiplier applied, the weighted score is visible to all authorised LNA viewers. The multiplier breakdown showing the performance correlation component is restricted to HR Head and above only. Managers see the weighted score and the intervention type recommendation — they do not see which multiplier drove the prioritisation. This prevents managers from using LNA outputs as informal performance management tools.</w:t>
            </w:r>
          </w:p>
        </w:tc>
      </w:tr>
    </w:tbl>
    <w:p>
      <w:pPr>
        <w:spacing w:before="0" w:after="100"/>
      </w:pPr>
    </w:p>
    <w:p>
      <w:pPr>
        <w:pStyle w:val="Heading3"/>
        <w:spacing w:before="200" w:after="80"/>
      </w:pPr>
      <w:r>
        <w:rPr>
          <w:rFonts w:ascii="Calibri" w:cs="Calibri" w:eastAsia="Calibri" w:hAnsi="Calibri"/>
          <w:b/>
          <w:bCs/>
          <w:color w:val="1D4ED8"/>
          <w:sz w:val="24"/>
          <w:szCs w:val="24"/>
        </w:rPr>
        <w:t xml:space="preserve">Intervention Classification — Permitted Logic</w:t>
      </w:r>
    </w:p>
    <w:p>
      <w:pPr>
        <w:pStyle w:val="ListParagraph"/>
        <w:numPr>
          <w:ilvl w:val="0"/>
          <w:numId w:val="2"/>
        </w:numPr>
        <w:spacing w:before="0" w:after="60"/>
      </w:pPr>
      <w:r>
        <w:rPr>
          <w:rFonts w:ascii="Calibri" w:cs="Calibri" w:eastAsia="Calibri" w:hAnsi="Calibri"/>
          <w:color w:val="374151"/>
          <w:sz w:val="21"/>
          <w:szCs w:val="21"/>
        </w:rPr>
        <w:t xml:space="preserve">AI-3 classifies each gap into one of seven intervention types using the gap characteristics table specified in the Product Document Section 3.3.5. The classification is a recommendation — L&amp;D Manager may override any classification, which sets is_modified = true on that gap record.</w:t>
      </w:r>
    </w:p>
    <w:p>
      <w:pPr>
        <w:pStyle w:val="ListParagraph"/>
        <w:numPr>
          <w:ilvl w:val="0"/>
          <w:numId w:val="2"/>
        </w:numPr>
        <w:spacing w:before="0" w:after="60"/>
      </w:pPr>
      <w:r>
        <w:rPr>
          <w:rFonts w:ascii="Calibri" w:cs="Calibri" w:eastAsia="Calibri" w:hAnsi="Calibri"/>
          <w:color w:val="374151"/>
          <w:sz w:val="21"/>
          <w:szCs w:val="21"/>
        </w:rPr>
        <w:t xml:space="preserve">AI-3 may suggest 'Coaching' as an intervention type. It may not suggest a named coach, a coaching methodology, or a specific programme — that is the function of AI-7 and the Trainer Matching Engine.</w:t>
      </w:r>
    </w:p>
    <w:p>
      <w:pPr>
        <w:pStyle w:val="ListParagraph"/>
        <w:numPr>
          <w:ilvl w:val="0"/>
          <w:numId w:val="2"/>
        </w:numPr>
        <w:spacing w:before="0" w:after="60"/>
      </w:pPr>
      <w:r>
        <w:rPr>
          <w:rFonts w:ascii="Calibri" w:cs="Calibri" w:eastAsia="Calibri" w:hAnsi="Calibri"/>
          <w:color w:val="374151"/>
          <w:sz w:val="21"/>
          <w:szCs w:val="21"/>
        </w:rPr>
        <w:t xml:space="preserve">AI-3 may not classify a gap as requiring an OD Programme without a minimum threshold: the gap must affect at least 40% of a department or BU, and the gap type must be cultural, mindset, or structural (not technical or knowledge-based).</w:t>
      </w:r>
    </w:p>
    <w:p>
      <w:pPr>
        <w:spacing w:before="0" w:after="80"/>
      </w:pPr>
    </w:p>
    <w:p>
      <w:pPr>
        <w:pStyle w:val="Heading3"/>
        <w:spacing w:before="200" w:after="80"/>
      </w:pPr>
      <w:r>
        <w:rPr>
          <w:rFonts w:ascii="Calibri" w:cs="Calibri" w:eastAsia="Calibri" w:hAnsi="Calibri"/>
          <w:b/>
          <w:bCs/>
          <w:color w:val="1D4ED8"/>
          <w:sz w:val="24"/>
          <w:szCs w:val="24"/>
        </w:rPr>
        <w:t xml:space="preserve">Forbidden Outputs</w:t>
      </w:r>
    </w:p>
    <w:p>
      <w:pPr>
        <w:pStyle w:val="ListParagraph"/>
        <w:numPr>
          <w:ilvl w:val="0"/>
          <w:numId w:val="2"/>
        </w:numPr>
        <w:spacing w:before="0" w:after="60"/>
      </w:pPr>
      <w:r>
        <w:rPr>
          <w:rFonts w:ascii="Calibri" w:cs="Calibri" w:eastAsia="Calibri" w:hAnsi="Calibri"/>
          <w:color w:val="374151"/>
          <w:sz w:val="21"/>
          <w:szCs w:val="21"/>
        </w:rPr>
        <w:t xml:space="preserve">AI-3 may not include named individual employees in any gap output that is visible to managers or L&amp;D outside HR Admin views. Individual employee data in the LNA is HR-restricted. Managers see team-level aggregates only.</w:t>
      </w:r>
    </w:p>
    <w:p>
      <w:pPr>
        <w:pStyle w:val="ListParagraph"/>
        <w:numPr>
          <w:ilvl w:val="0"/>
          <w:numId w:val="2"/>
        </w:numPr>
        <w:spacing w:before="0" w:after="60"/>
      </w:pPr>
      <w:r>
        <w:rPr>
          <w:rFonts w:ascii="Calibri" w:cs="Calibri" w:eastAsia="Calibri" w:hAnsi="Calibri"/>
          <w:color w:val="374151"/>
          <w:sz w:val="21"/>
          <w:szCs w:val="21"/>
        </w:rPr>
        <w:t xml:space="preserve">AI-3 may not output raw performance ratings, disciplinary records, or appraisal text — even if this data is available in the HRIS integration. The performance correlation multiplier is derived from a binary flag, not from raw scores.</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4.4 AI-4: AI Assessment Suggestion Engine</w:t>
      </w:r>
    </w:p>
    <w:p>
      <w:pPr>
        <w:spacing w:before="0" w:after="100"/>
      </w:pPr>
      <w:r>
        <w:rPr>
          <w:rFonts w:ascii="Calibri" w:cs="Calibri" w:eastAsia="Calibri" w:hAnsi="Calibri"/>
          <w:b w:val="false"/>
          <w:bCs w:val="false"/>
          <w:i w:val="false"/>
          <w:iCs w:val="false"/>
          <w:color w:val="374151"/>
          <w:sz w:val="22"/>
          <w:szCs w:val="22"/>
        </w:rPr>
        <w:t xml:space="preserve">AI-4 analyses the organisation's assessment history, current gap profile, and LNA outputs to proactively recommend the next assessment cycle — what to assess, for which population, and when.</w:t>
      </w:r>
    </w:p>
    <w:p>
      <w:pPr>
        <w:spacing w:before="0" w:after="80"/>
      </w:pPr>
    </w:p>
    <w:p>
      <w:pPr>
        <w:pStyle w:val="Heading3"/>
        <w:spacing w:before="200" w:after="80"/>
      </w:pPr>
      <w:r>
        <w:rPr>
          <w:rFonts w:ascii="Calibri" w:cs="Calibri" w:eastAsia="Calibri" w:hAnsi="Calibri"/>
          <w:b/>
          <w:bCs/>
          <w:color w:val="1D4ED8"/>
          <w:sz w:val="24"/>
          <w:szCs w:val="24"/>
        </w:rPr>
        <w:t xml:space="preserve">Permitted Inputs</w:t>
      </w:r>
    </w:p>
    <w:p>
      <w:pPr>
        <w:pStyle w:val="ListParagraph"/>
        <w:numPr>
          <w:ilvl w:val="0"/>
          <w:numId w:val="2"/>
        </w:numPr>
        <w:spacing w:before="0" w:after="60"/>
      </w:pPr>
      <w:r>
        <w:rPr>
          <w:rFonts w:ascii="Calibri" w:cs="Calibri" w:eastAsia="Calibri" w:hAnsi="Calibri"/>
          <w:color w:val="374151"/>
          <w:sz w:val="21"/>
          <w:szCs w:val="21"/>
        </w:rPr>
        <w:t xml:space="preserve">Assessment history: past cycle types, populations, completion rates, and dates</w:t>
      </w:r>
    </w:p>
    <w:p>
      <w:pPr>
        <w:pStyle w:val="ListParagraph"/>
        <w:numPr>
          <w:ilvl w:val="0"/>
          <w:numId w:val="2"/>
        </w:numPr>
        <w:spacing w:before="0" w:after="60"/>
      </w:pPr>
      <w:r>
        <w:rPr>
          <w:rFonts w:ascii="Calibri" w:cs="Calibri" w:eastAsia="Calibri" w:hAnsi="Calibri"/>
          <w:color w:val="374151"/>
          <w:sz w:val="21"/>
          <w:szCs w:val="21"/>
        </w:rPr>
        <w:t xml:space="preserve">Current validated skills matrix (post-L2 assessment)</w:t>
      </w:r>
    </w:p>
    <w:p>
      <w:pPr>
        <w:pStyle w:val="ListParagraph"/>
        <w:numPr>
          <w:ilvl w:val="0"/>
          <w:numId w:val="2"/>
        </w:numPr>
        <w:spacing w:before="0" w:after="60"/>
      </w:pPr>
      <w:r>
        <w:rPr>
          <w:rFonts w:ascii="Calibri" w:cs="Calibri" w:eastAsia="Calibri" w:hAnsi="Calibri"/>
          <w:color w:val="374151"/>
          <w:sz w:val="21"/>
          <w:szCs w:val="21"/>
        </w:rPr>
        <w:t xml:space="preserve">LNA gap profile: weighted scores and intervention classifications</w:t>
      </w:r>
    </w:p>
    <w:p>
      <w:pPr>
        <w:pStyle w:val="ListParagraph"/>
        <w:numPr>
          <w:ilvl w:val="0"/>
          <w:numId w:val="2"/>
        </w:numPr>
        <w:spacing w:before="0" w:after="60"/>
      </w:pPr>
      <w:r>
        <w:rPr>
          <w:rFonts w:ascii="Calibri" w:cs="Calibri" w:eastAsia="Calibri" w:hAnsi="Calibri"/>
          <w:color w:val="374151"/>
          <w:sz w:val="21"/>
          <w:szCs w:val="21"/>
        </w:rPr>
        <w:t xml:space="preserve">Assessment Governance Framework: approved instruments in the question bank</w:t>
      </w:r>
    </w:p>
    <w:p>
      <w:pPr>
        <w:pStyle w:val="ListParagraph"/>
        <w:numPr>
          <w:ilvl w:val="0"/>
          <w:numId w:val="2"/>
        </w:numPr>
        <w:spacing w:before="0" w:after="60"/>
      </w:pPr>
      <w:r>
        <w:rPr>
          <w:rFonts w:ascii="Calibri" w:cs="Calibri" w:eastAsia="Calibri" w:hAnsi="Calibri"/>
          <w:color w:val="374151"/>
          <w:sz w:val="21"/>
          <w:szCs w:val="21"/>
        </w:rPr>
        <w:t xml:space="preserve">Org calendar signals (where integrated): to avoid scheduling during known busy periods</w:t>
      </w:r>
    </w:p>
    <w:p>
      <w:pPr>
        <w:spacing w:before="0" w:after="60"/>
      </w:pPr>
    </w:p>
    <w:p>
      <w:pPr>
        <w:pStyle w:val="Heading3"/>
        <w:spacing w:before="200" w:after="80"/>
      </w:pPr>
      <w:r>
        <w:rPr>
          <w:rFonts w:ascii="Calibri" w:cs="Calibri" w:eastAsia="Calibri" w:hAnsi="Calibri"/>
          <w:b/>
          <w:bCs/>
          <w:color w:val="1D4ED8"/>
          <w:sz w:val="24"/>
          <w:szCs w:val="24"/>
        </w:rPr>
        <w:t xml:space="preserve">Output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RULE AI4-R1  </w:t>
            </w:r>
            <w:r>
              <w:rPr>
                <w:rFonts w:ascii="Calibri" w:cs="Calibri" w:eastAsia="Calibri" w:hAnsi="Calibri"/>
                <w:b/>
                <w:bCs/>
                <w:color w:val="78350F"/>
                <w:sz w:val="22"/>
                <w:szCs w:val="22"/>
              </w:rPr>
              <w:t xml:space="preserve">Assessment suggestions are advisory only — never auto-scheduled</w:t>
            </w:r>
          </w:p>
          <w:p>
            <w:pPr>
              <w:spacing w:before="0" w:after="0"/>
            </w:pPr>
            <w:r>
              <w:rPr>
                <w:rFonts w:ascii="Calibri" w:cs="Calibri" w:eastAsia="Calibri" w:hAnsi="Calibri"/>
                <w:color w:val="374151"/>
                <w:sz w:val="20"/>
                <w:szCs w:val="20"/>
              </w:rPr>
              <w:t xml:space="preserve">AI-4 produces a ranked recommendation with rationale. The L&amp;D Manager reads the suggestion and creates the cycle manually. AI-4 may not auto-create, auto-schedule, or auto-dispatch any assessment cycle. The human decision to run an assessment cycle is always a deliberate act.</w:t>
            </w:r>
          </w:p>
        </w:tc>
      </w:tr>
    </w:tbl>
    <w:p>
      <w:pPr>
        <w:spacing w:before="0" w:after="100"/>
      </w:pPr>
    </w:p>
    <w:p>
      <w:pPr>
        <w:pStyle w:val="ListParagraph"/>
        <w:numPr>
          <w:ilvl w:val="0"/>
          <w:numId w:val="2"/>
        </w:numPr>
        <w:spacing w:before="0" w:after="60"/>
      </w:pPr>
      <w:r>
        <w:rPr>
          <w:rFonts w:ascii="Calibri" w:cs="Calibri" w:eastAsia="Calibri" w:hAnsi="Calibri"/>
          <w:color w:val="374151"/>
          <w:sz w:val="21"/>
          <w:szCs w:val="21"/>
        </w:rPr>
        <w:t xml:space="preserve">Every suggestion must include: the recommended assessment type, the recommended population, the rationale (which gap patterns drove the suggestion), the suggested timing, and the expected data improvement from running the cycle.</w:t>
      </w:r>
    </w:p>
    <w:p>
      <w:pPr>
        <w:pStyle w:val="ListParagraph"/>
        <w:numPr>
          <w:ilvl w:val="0"/>
          <w:numId w:val="2"/>
        </w:numPr>
        <w:spacing w:before="0" w:after="60"/>
      </w:pPr>
      <w:r>
        <w:rPr>
          <w:rFonts w:ascii="Calibri" w:cs="Calibri" w:eastAsia="Calibri" w:hAnsi="Calibri"/>
          <w:color w:val="374151"/>
          <w:sz w:val="21"/>
          <w:szCs w:val="21"/>
        </w:rPr>
        <w:t xml:space="preserve">AI-4 may not suggest reassessment of an individual employee more than once per 90-day period for the same skill — unless a performance correlation flag is active for that employee-skill pair.</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4.5 AI-5: Wellbeing Burnout Risk Scoring Engine</w:t>
      </w:r>
    </w:p>
    <w:p>
      <w:pPr>
        <w:spacing w:before="0" w:after="100"/>
      </w:pPr>
      <w:r>
        <w:rPr>
          <w:rFonts w:ascii="Calibri" w:cs="Calibri" w:eastAsia="Calibri" w:hAnsi="Calibri"/>
          <w:b w:val="false"/>
          <w:bCs w:val="false"/>
          <w:i w:val="false"/>
          <w:iCs w:val="false"/>
          <w:color w:val="374151"/>
          <w:sz w:val="22"/>
          <w:szCs w:val="22"/>
        </w:rPr>
        <w:t xml:space="preserve">AI-5 produces the most privacy-sensitive outputs on the platform. The Burnout Risk Score touches individual psychological wellbeing — its misuse could cause harm to employees and legal risk to organisations. The rules governing AI-5 are the strictest in this document.</w:t>
      </w:r>
    </w:p>
    <w:p>
      <w:pPr>
        <w:spacing w:before="0" w:after="80"/>
      </w:pPr>
    </w:p>
    <w:p>
      <w:pPr>
        <w:pStyle w:val="Heading3"/>
        <w:spacing w:before="200" w:after="80"/>
      </w:pPr>
      <w:r>
        <w:rPr>
          <w:rFonts w:ascii="Calibri" w:cs="Calibri" w:eastAsia="Calibri" w:hAnsi="Calibri"/>
          <w:b/>
          <w:bCs/>
          <w:color w:val="1D4ED8"/>
          <w:sz w:val="24"/>
          <w:szCs w:val="24"/>
        </w:rPr>
        <w:t xml:space="preserve">Permitted Inputs</w:t>
      </w:r>
    </w:p>
    <w:p>
      <w:pPr>
        <w:pStyle w:val="ListParagraph"/>
        <w:numPr>
          <w:ilvl w:val="0"/>
          <w:numId w:val="2"/>
        </w:numPr>
        <w:spacing w:before="0" w:after="60"/>
      </w:pPr>
      <w:r>
        <w:rPr>
          <w:rFonts w:ascii="Calibri" w:cs="Calibri" w:eastAsia="Calibri" w:hAnsi="Calibri"/>
          <w:color w:val="374151"/>
          <w:sz w:val="21"/>
          <w:szCs w:val="21"/>
        </w:rPr>
        <w:t xml:space="preserve">Wellbeing pulse survey: trend over the last 12 weeks (the AI reads trend direction and magnitude — not individual response text)</w:t>
      </w:r>
    </w:p>
    <w:p>
      <w:pPr>
        <w:pStyle w:val="ListParagraph"/>
        <w:numPr>
          <w:ilvl w:val="0"/>
          <w:numId w:val="2"/>
        </w:numPr>
        <w:spacing w:before="0" w:after="60"/>
      </w:pPr>
      <w:r>
        <w:rPr>
          <w:rFonts w:ascii="Calibri" w:cs="Calibri" w:eastAsia="Calibri" w:hAnsi="Calibri"/>
          <w:color w:val="374151"/>
          <w:sz w:val="21"/>
          <w:szCs w:val="21"/>
        </w:rPr>
        <w:t xml:space="preserve">Meeting load proxy: weekly meeting hours from calendar integration — anonymised hourly count only, not meeting titles or attendees</w:t>
      </w:r>
    </w:p>
    <w:p>
      <w:pPr>
        <w:pStyle w:val="ListParagraph"/>
        <w:numPr>
          <w:ilvl w:val="0"/>
          <w:numId w:val="2"/>
        </w:numPr>
        <w:spacing w:before="0" w:after="60"/>
      </w:pPr>
      <w:r>
        <w:rPr>
          <w:rFonts w:ascii="Calibri" w:cs="Calibri" w:eastAsia="Calibri" w:hAnsi="Calibri"/>
          <w:color w:val="374151"/>
          <w:sz w:val="21"/>
          <w:szCs w:val="21"/>
        </w:rPr>
        <w:t xml:space="preserve">Project overallocation signal: binary flag from PM tool integration — overallocated above configured capacity percentage, yes or no</w:t>
      </w:r>
    </w:p>
    <w:p>
      <w:pPr>
        <w:pStyle w:val="ListParagraph"/>
        <w:numPr>
          <w:ilvl w:val="0"/>
          <w:numId w:val="2"/>
        </w:numPr>
        <w:spacing w:before="0" w:after="60"/>
      </w:pPr>
      <w:r>
        <w:rPr>
          <w:rFonts w:ascii="Calibri" w:cs="Calibri" w:eastAsia="Calibri" w:hAnsi="Calibri"/>
          <w:color w:val="374151"/>
          <w:sz w:val="21"/>
          <w:szCs w:val="21"/>
        </w:rPr>
        <w:t xml:space="preserve">Learning platform inactivity: weeks since last logged learning activity — duration only, not what was abandoned</w:t>
      </w:r>
    </w:p>
    <w:p>
      <w:pPr>
        <w:spacing w:before="0" w:after="60"/>
      </w:pPr>
    </w:p>
    <w:p>
      <w:pPr>
        <w:pStyle w:val="Heading3"/>
        <w:spacing w:before="200" w:after="80"/>
      </w:pPr>
      <w:r>
        <w:rPr>
          <w:rFonts w:ascii="Calibri" w:cs="Calibri" w:eastAsia="Calibri" w:hAnsi="Calibri"/>
          <w:b/>
          <w:bCs/>
          <w:color w:val="1D4ED8"/>
          <w:sz w:val="24"/>
          <w:szCs w:val="24"/>
        </w:rPr>
        <w:t xml:space="preserve">Forbidden Inputs — AI-5 Hard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AI5-R1  </w:t>
            </w:r>
            <w:r>
              <w:rPr>
                <w:rFonts w:ascii="Calibri" w:cs="Calibri" w:eastAsia="Calibri" w:hAnsi="Calibri"/>
                <w:b/>
                <w:bCs/>
                <w:color w:val="7F1D1D"/>
                <w:sz w:val="22"/>
                <w:szCs w:val="22"/>
              </w:rPr>
              <w:t xml:space="preserve">AI-5 is forbidden from reading performance data, assessment scores, or disciplinary records</w:t>
            </w:r>
          </w:p>
          <w:p>
            <w:pPr>
              <w:spacing w:before="0" w:after="0"/>
            </w:pPr>
            <w:r>
              <w:rPr>
                <w:rFonts w:ascii="Calibri" w:cs="Calibri" w:eastAsia="Calibri" w:hAnsi="Calibri"/>
                <w:color w:val="374151"/>
                <w:sz w:val="20"/>
                <w:szCs w:val="20"/>
              </w:rPr>
              <w:t xml:space="preserve">The Burnout Risk Score must be derived exclusively from the four wellbeing signal sources above. AI-5 must not access performance ratings, assessment proficiency scores, disciplinary records, compensation data, or any data that could conflate poor performance with burnout risk. The distinction between 'struggling to perform' and 'burning out' is ethically critical. The AI must not collapse these two states.</w:t>
            </w:r>
          </w:p>
        </w:tc>
      </w:tr>
    </w:tbl>
    <w:p>
      <w:pPr>
        <w:spacing w:before="0" w:after="100"/>
      </w:pPr>
    </w:p>
    <w:p>
      <w:pPr>
        <w:pStyle w:val="Heading3"/>
        <w:spacing w:before="200" w:after="80"/>
      </w:pPr>
      <w:r>
        <w:rPr>
          <w:rFonts w:ascii="Calibri" w:cs="Calibri" w:eastAsia="Calibri" w:hAnsi="Calibri"/>
          <w:b/>
          <w:bCs/>
          <w:color w:val="1D4ED8"/>
          <w:sz w:val="24"/>
          <w:szCs w:val="24"/>
        </w:rPr>
        <w:t xml:space="preserve">Output Access Control — The Strictest Rules in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Who can see it</w:t>
            </w:r>
          </w:p>
        </w:tc>
        <w:tc>
          <w:tcPr>
            <w:tcW w:type="dxa" w:w="4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Who cannot see it</w:t>
            </w:r>
          </w:p>
        </w:tc>
      </w:tr>
      <w:tr>
        <w:tc>
          <w:tcPr>
            <w:tcW w:type="dxa" w:w="32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20"/>
                <w:szCs w:val="20"/>
              </w:rPr>
              <w:t xml:space="preserve">Individual Burnout Risk Score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 Head only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employee themselves · Their line manager · L&amp;D Manager · HRBP · Any other role</w:t>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Manager conversation prompt ('Your team member may need a check-in')</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employee's direct line manager</w:t>
            </w:r>
          </w:p>
        </w:tc>
        <w:tc>
          <w:tcPr>
            <w:tcW w:type="dxa" w:w="4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employee themselves · Peers · Other managers · Anyone outside the direct reporting line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Team aggregate wellbeing score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Team manager (minimum 5 employees in the team)</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Any team smaller than 5 employees (score suppressed) · Peers · The individual employees who make up the aggregate</w:t>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Department wellbeing trend</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HRBP, HR Manager, HR Head</w:t>
            </w:r>
          </w:p>
        </w:tc>
        <w:tc>
          <w:tcPr>
            <w:tcW w:type="dxa" w:w="4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Line managers outside the department · Employees</w:t>
            </w:r>
          </w:p>
        </w:tc>
      </w:tr>
      <w:tr>
        <w:tc>
          <w:tcPr>
            <w:tcW w:type="dxa" w:w="32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bCs/>
                <w:color w:val="B45309"/>
                <w:sz w:val="20"/>
                <w:szCs w:val="20"/>
              </w:rPr>
              <w:t xml:space="preserve">Development timeline adjustment (slower pace recommended)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Visible in the employee's IDP and LNI — shown as a timeline change only, not the score behind it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raw score driving the adjustment is never shown to the employee or their manager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AI5-R2  </w:t>
            </w:r>
            <w:r>
              <w:rPr>
                <w:rFonts w:ascii="Calibri" w:cs="Calibri" w:eastAsia="Calibri" w:hAnsi="Calibri"/>
                <w:b/>
                <w:bCs/>
                <w:color w:val="7F1D1D"/>
                <w:sz w:val="22"/>
                <w:szCs w:val="22"/>
              </w:rPr>
              <w:t xml:space="preserve">AI-5 outputs must never appear in commercial contexts</w:t>
            </w:r>
          </w:p>
          <w:p>
            <w:pPr>
              <w:spacing w:before="0" w:after="0"/>
            </w:pPr>
            <w:r>
              <w:rPr>
                <w:rFonts w:ascii="Calibri" w:cs="Calibri" w:eastAsia="Calibri" w:hAnsi="Calibri"/>
                <w:color w:val="374151"/>
                <w:sz w:val="20"/>
                <w:szCs w:val="20"/>
              </w:rPr>
              <w:t xml:space="preserve">The Burnout Risk Score and any derived output (development timeline adjustments, manager prompts) must never be accessible to the AI Proposal Engine (AI-9), the Opportunity Intelligence Dashboard, or any Edstellar commercial system. Wellbeing data is a welfare tool. It must not become a commercial signal.</w:t>
            </w:r>
          </w:p>
        </w:tc>
      </w:tr>
    </w:tbl>
    <w:p>
      <w:pPr>
        <w:spacing w:before="0" w:after="100"/>
      </w:pP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4.6 AI-6: AI Succession Risk Engine</w:t>
      </w:r>
    </w:p>
    <w:p>
      <w:pPr>
        <w:spacing w:before="0" w:after="60"/>
      </w:pPr>
    </w:p>
    <w:p>
      <w:pPr>
        <w:pStyle w:val="Heading3"/>
        <w:spacing w:before="200" w:after="80"/>
      </w:pPr>
      <w:r>
        <w:rPr>
          <w:rFonts w:ascii="Calibri" w:cs="Calibri" w:eastAsia="Calibri" w:hAnsi="Calibri"/>
          <w:b/>
          <w:bCs/>
          <w:color w:val="1D4ED8"/>
          <w:sz w:val="24"/>
          <w:szCs w:val="24"/>
        </w:rPr>
        <w:t xml:space="preserve">Permitted Inputs</w:t>
      </w:r>
    </w:p>
    <w:p>
      <w:pPr>
        <w:pStyle w:val="ListParagraph"/>
        <w:numPr>
          <w:ilvl w:val="0"/>
          <w:numId w:val="2"/>
        </w:numPr>
        <w:spacing w:before="0" w:after="60"/>
      </w:pPr>
      <w:r>
        <w:rPr>
          <w:rFonts w:ascii="Calibri" w:cs="Calibri" w:eastAsia="Calibri" w:hAnsi="Calibri"/>
          <w:color w:val="374151"/>
          <w:sz w:val="21"/>
          <w:szCs w:val="21"/>
        </w:rPr>
        <w:t xml:space="preserve">Succession pipeline data: critical role designations, candidate readiness bands, development plan progress</w:t>
      </w:r>
    </w:p>
    <w:p>
      <w:pPr>
        <w:pStyle w:val="ListParagraph"/>
        <w:numPr>
          <w:ilvl w:val="0"/>
          <w:numId w:val="2"/>
        </w:numPr>
        <w:spacing w:before="0" w:after="60"/>
      </w:pPr>
      <w:r>
        <w:rPr>
          <w:rFonts w:ascii="Calibri" w:cs="Calibri" w:eastAsia="Calibri" w:hAnsi="Calibri"/>
          <w:color w:val="374151"/>
          <w:sz w:val="21"/>
          <w:szCs w:val="21"/>
        </w:rPr>
        <w:t xml:space="preserve">Validated proficiency scores (post-L2 assessment) for succession candidates and incumbents</w:t>
      </w:r>
    </w:p>
    <w:p>
      <w:pPr>
        <w:pStyle w:val="ListParagraph"/>
        <w:numPr>
          <w:ilvl w:val="0"/>
          <w:numId w:val="2"/>
        </w:numPr>
        <w:spacing w:before="0" w:after="60"/>
      </w:pPr>
      <w:r>
        <w:rPr>
          <w:rFonts w:ascii="Calibri" w:cs="Calibri" w:eastAsia="Calibri" w:hAnsi="Calibri"/>
          <w:color w:val="374151"/>
          <w:sz w:val="21"/>
          <w:szCs w:val="21"/>
        </w:rPr>
        <w:t xml:space="preserve">Employment status changes: notice period status (highest confidence signal), long-term leave, secondment</w:t>
      </w:r>
    </w:p>
    <w:p>
      <w:pPr>
        <w:pStyle w:val="ListParagraph"/>
        <w:numPr>
          <w:ilvl w:val="0"/>
          <w:numId w:val="2"/>
        </w:numPr>
        <w:spacing w:before="0" w:after="60"/>
      </w:pPr>
      <w:r>
        <w:rPr>
          <w:rFonts w:ascii="Calibri" w:cs="Calibri" w:eastAsia="Calibri" w:hAnsi="Calibri"/>
          <w:color w:val="374151"/>
          <w:sz w:val="21"/>
          <w:szCs w:val="21"/>
        </w:rPr>
        <w:t xml:space="preserve">Attrition risk model: platform-internal model only — based on tenure, assessment engagement patterns, and learning velocity. Not from HRIS attrition risk scores.</w:t>
      </w:r>
    </w:p>
    <w:p>
      <w:pPr>
        <w:pStyle w:val="ListParagraph"/>
        <w:numPr>
          <w:ilvl w:val="0"/>
          <w:numId w:val="2"/>
        </w:numPr>
        <w:spacing w:before="0" w:after="60"/>
      </w:pPr>
      <w:r>
        <w:rPr>
          <w:rFonts w:ascii="Calibri" w:cs="Calibri" w:eastAsia="Calibri" w:hAnsi="Calibri"/>
          <w:color w:val="374151"/>
          <w:sz w:val="21"/>
          <w:szCs w:val="21"/>
        </w:rPr>
        <w:t xml:space="preserve">Transformation Dial and role requirement changes: when a critical role's required skills shift, the engine recalculates pipeline readiness automatically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AI6-R1  </w:t>
            </w:r>
            <w:r>
              <w:rPr>
                <w:rFonts w:ascii="Calibri" w:cs="Calibri" w:eastAsia="Calibri" w:hAnsi="Calibri"/>
                <w:b/>
                <w:bCs/>
                <w:color w:val="0F172A"/>
                <w:sz w:val="22"/>
                <w:szCs w:val="22"/>
              </w:rPr>
              <w:t xml:space="preserve">Succession alerts fire immediately on notice — synchronously, not queued</w:t>
            </w:r>
          </w:p>
          <w:p>
            <w:pPr>
              <w:spacing w:before="0" w:after="0"/>
            </w:pPr>
            <w:r>
              <w:rPr>
                <w:rFonts w:ascii="Calibri" w:cs="Calibri" w:eastAsia="Calibri" w:hAnsi="Calibri"/>
                <w:color w:val="374151"/>
                <w:sz w:val="20"/>
                <w:szCs w:val="20"/>
              </w:rPr>
              <w:t xml:space="preserve">When employment_type changes to 'notice', the Succession Risk Engine must calculate and fire within 30 seconds — not queued in the async notification pipeline. This is the one AI system where real-time execution is a hard requirement, not a target. The latency SLA for succession alerts is 30 seconds from trigger to delivery to HR Head inbox.</w:t>
            </w:r>
          </w:p>
        </w:tc>
      </w:tr>
    </w:tbl>
    <w:p>
      <w:pPr>
        <w:spacing w:before="0" w:after="100"/>
      </w:pPr>
    </w:p>
    <w:p>
      <w:pPr>
        <w:pStyle w:val="Heading3"/>
        <w:spacing w:before="200" w:after="80"/>
      </w:pPr>
      <w:r>
        <w:rPr>
          <w:rFonts w:ascii="Calibri" w:cs="Calibri" w:eastAsia="Calibri" w:hAnsi="Calibri"/>
          <w:b/>
          <w:bCs/>
          <w:color w:val="1D4ED8"/>
          <w:sz w:val="24"/>
          <w:szCs w:val="24"/>
        </w:rPr>
        <w:t xml:space="preserve">Forbidden Operations</w:t>
      </w:r>
    </w:p>
    <w:p>
      <w:pPr>
        <w:pStyle w:val="ListParagraph"/>
        <w:numPr>
          <w:ilvl w:val="0"/>
          <w:numId w:val="2"/>
        </w:numPr>
        <w:spacing w:before="0" w:after="60"/>
      </w:pPr>
      <w:r>
        <w:rPr>
          <w:rFonts w:ascii="Calibri" w:cs="Calibri" w:eastAsia="Calibri" w:hAnsi="Calibri"/>
          <w:color w:val="374151"/>
          <w:sz w:val="21"/>
          <w:szCs w:val="21"/>
        </w:rPr>
        <w:t xml:space="preserve">AI-6 may not surface individual candidate names in succession alerts sent to anyone below HR Head level. Below HR Head, succession risk alerts state 'a succession candidate for [Role] has a high attrition risk signal' — not the candidate's name.</w:t>
      </w:r>
    </w:p>
    <w:p>
      <w:pPr>
        <w:pStyle w:val="ListParagraph"/>
        <w:numPr>
          <w:ilvl w:val="0"/>
          <w:numId w:val="2"/>
        </w:numPr>
        <w:spacing w:before="0" w:after="60"/>
      </w:pPr>
      <w:r>
        <w:rPr>
          <w:rFonts w:ascii="Calibri" w:cs="Calibri" w:eastAsia="Calibri" w:hAnsi="Calibri"/>
          <w:color w:val="374151"/>
          <w:sz w:val="21"/>
          <w:szCs w:val="21"/>
        </w:rPr>
        <w:t xml:space="preserve">AI-6 may not access salary data, even if available from HRIS, to weight attrition risk. Compensation signals are excluded.</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4.7 AI-7: AI Content Outline Generator</w:t>
      </w:r>
    </w:p>
    <w:p>
      <w:pPr>
        <w:spacing w:before="0" w:after="100"/>
      </w:pPr>
      <w:r>
        <w:rPr>
          <w:rFonts w:ascii="Calibri" w:cs="Calibri" w:eastAsia="Calibri" w:hAnsi="Calibri"/>
          <w:b w:val="false"/>
          <w:bCs w:val="false"/>
          <w:i w:val="false"/>
          <w:iCs w:val="false"/>
          <w:color w:val="374151"/>
          <w:sz w:val="22"/>
          <w:szCs w:val="22"/>
        </w:rPr>
        <w:t xml:space="preserve">AI-7 produces training programme briefs from TNA gap data. These briefs are sent to external trainers and vendors — they cross the organisational boundary. The data boundary rules for AI-7 are therefore critical not just for internal privacy but for commercial and contractual reasons.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AI7-R1  </w:t>
            </w:r>
            <w:r>
              <w:rPr>
                <w:rFonts w:ascii="Calibri" w:cs="Calibri" w:eastAsia="Calibri" w:hAnsi="Calibri"/>
                <w:b/>
                <w:bCs/>
                <w:color w:val="7F1D1D"/>
                <w:sz w:val="22"/>
                <w:szCs w:val="22"/>
              </w:rPr>
              <w:t xml:space="preserve">AI-7 is data-blind to performance, wellbeing, psychometric, and individual employee data</w:t>
            </w:r>
          </w:p>
          <w:p>
            <w:pPr>
              <w:spacing w:before="0" w:after="0"/>
            </w:pPr>
            <w:r>
              <w:rPr>
                <w:rFonts w:ascii="Calibri" w:cs="Calibri" w:eastAsia="Calibri" w:hAnsi="Calibri"/>
                <w:color w:val="374151"/>
                <w:sz w:val="20"/>
                <w:szCs w:val="20"/>
              </w:rPr>
              <w:t xml:space="preserve">AI-7 reads gap data only: which skills or competencies need to be developed, at what proficiency level, for how many people in which roles, with what strategic context (Transformation Dial setting). It must not read — and must not output — any reference to performance flags, Burnout Risk Scores, psychometric profiles, individual employee names, individual assessment scores, or disciplinary history. A trainer must receive a programme brief that describes the learning need — not the HR context behind it.</w:t>
            </w:r>
          </w:p>
        </w:tc>
      </w:tr>
    </w:tbl>
    <w:p>
      <w:pPr>
        <w:spacing w:before="0" w:after="100"/>
      </w:pPr>
    </w:p>
    <w:p>
      <w:pPr>
        <w:pStyle w:val="Heading3"/>
        <w:spacing w:before="200" w:after="80"/>
      </w:pPr>
      <w:r>
        <w:rPr>
          <w:rFonts w:ascii="Calibri" w:cs="Calibri" w:eastAsia="Calibri" w:hAnsi="Calibri"/>
          <w:b/>
          <w:bCs/>
          <w:color w:val="1D4ED8"/>
          <w:sz w:val="24"/>
          <w:szCs w:val="24"/>
        </w:rPr>
        <w:t xml:space="preserve">Permitted Inputs</w:t>
      </w:r>
    </w:p>
    <w:p>
      <w:pPr>
        <w:pStyle w:val="ListParagraph"/>
        <w:numPr>
          <w:ilvl w:val="0"/>
          <w:numId w:val="2"/>
        </w:numPr>
        <w:spacing w:before="0" w:after="60"/>
      </w:pPr>
      <w:r>
        <w:rPr>
          <w:rFonts w:ascii="Calibri" w:cs="Calibri" w:eastAsia="Calibri" w:hAnsi="Calibri"/>
          <w:color w:val="374151"/>
          <w:sz w:val="21"/>
          <w:szCs w:val="21"/>
        </w:rPr>
        <w:t xml:space="preserve">TNA gap data: skill or competency name, required proficiency level, current population proficiency distribution, gap severity, affected role families</w:t>
      </w:r>
    </w:p>
    <w:p>
      <w:pPr>
        <w:pStyle w:val="ListParagraph"/>
        <w:numPr>
          <w:ilvl w:val="0"/>
          <w:numId w:val="2"/>
        </w:numPr>
        <w:spacing w:before="0" w:after="60"/>
      </w:pPr>
      <w:r>
        <w:rPr>
          <w:rFonts w:ascii="Calibri" w:cs="Calibri" w:eastAsia="Calibri" w:hAnsi="Calibri"/>
          <w:color w:val="374151"/>
          <w:sz w:val="21"/>
          <w:szCs w:val="21"/>
        </w:rPr>
        <w:t xml:space="preserve">FrameworkBible: skill and competency definitions and proficiency level descriptors</w:t>
      </w:r>
    </w:p>
    <w:p>
      <w:pPr>
        <w:pStyle w:val="ListParagraph"/>
        <w:numPr>
          <w:ilvl w:val="0"/>
          <w:numId w:val="2"/>
        </w:numPr>
        <w:spacing w:before="0" w:after="60"/>
      </w:pPr>
      <w:r>
        <w:rPr>
          <w:rFonts w:ascii="Calibri" w:cs="Calibri" w:eastAsia="Calibri" w:hAnsi="Calibri"/>
          <w:color w:val="374151"/>
          <w:sz w:val="21"/>
          <w:szCs w:val="21"/>
        </w:rPr>
        <w:t xml:space="preserve">Transformation Dial context: strategic direction for the relevant skill domain</w:t>
      </w:r>
    </w:p>
    <w:p>
      <w:pPr>
        <w:pStyle w:val="ListParagraph"/>
        <w:numPr>
          <w:ilvl w:val="0"/>
          <w:numId w:val="2"/>
        </w:numPr>
        <w:spacing w:before="0" w:after="60"/>
      </w:pPr>
      <w:r>
        <w:rPr>
          <w:rFonts w:ascii="Calibri" w:cs="Calibri" w:eastAsia="Calibri" w:hAnsi="Calibri"/>
          <w:color w:val="374151"/>
          <w:sz w:val="21"/>
          <w:szCs w:val="21"/>
        </w:rPr>
        <w:t xml:space="preserve">Org context: industry, org size band, delivery format preferences, available budget range</w:t>
      </w:r>
    </w:p>
    <w:p>
      <w:pPr>
        <w:pStyle w:val="ListParagraph"/>
        <w:numPr>
          <w:ilvl w:val="0"/>
          <w:numId w:val="2"/>
        </w:numPr>
        <w:spacing w:before="0" w:after="60"/>
      </w:pPr>
      <w:r>
        <w:rPr>
          <w:rFonts w:ascii="Calibri" w:cs="Calibri" w:eastAsia="Calibri" w:hAnsi="Calibri"/>
          <w:color w:val="374151"/>
          <w:sz w:val="21"/>
          <w:szCs w:val="21"/>
        </w:rPr>
        <w:t xml:space="preserve">Existing training history: to avoid recommending content the target population has already completed</w:t>
      </w:r>
    </w:p>
    <w:p>
      <w:pPr>
        <w:spacing w:before="0" w:after="60"/>
      </w:pPr>
    </w:p>
    <w:p>
      <w:pPr>
        <w:pStyle w:val="Heading3"/>
        <w:spacing w:before="200" w:after="80"/>
      </w:pPr>
      <w:r>
        <w:rPr>
          <w:rFonts w:ascii="Calibri" w:cs="Calibri" w:eastAsia="Calibri" w:hAnsi="Calibri"/>
          <w:b/>
          <w:bCs/>
          <w:color w:val="1D4ED8"/>
          <w:sz w:val="24"/>
          <w:szCs w:val="24"/>
        </w:rPr>
        <w:t xml:space="preserve">Output Requirements</w:t>
      </w:r>
    </w:p>
    <w:p>
      <w:pPr>
        <w:pStyle w:val="ListParagraph"/>
        <w:numPr>
          <w:ilvl w:val="0"/>
          <w:numId w:val="2"/>
        </w:numPr>
        <w:spacing w:before="0" w:after="60"/>
      </w:pPr>
      <w:r>
        <w:rPr>
          <w:rFonts w:ascii="Calibri" w:cs="Calibri" w:eastAsia="Calibri" w:hAnsi="Calibri"/>
          <w:color w:val="374151"/>
          <w:sz w:val="21"/>
          <w:szCs w:val="21"/>
        </w:rPr>
        <w:t xml:space="preserve">Every AI-generated content outline must include: audience analysis (role level, current proficiency, target proficiency), learning outcomes (3–5 measurable outcomes using Bloom's Taxonomy verbs), module structure with rationale, delivery format recommendation with justification, assessment checkpoints, reinforcement plan, and Kirkpatrick L1–L4 measurement plan.</w:t>
      </w:r>
    </w:p>
    <w:p>
      <w:pPr>
        <w:pStyle w:val="ListParagraph"/>
        <w:numPr>
          <w:ilvl w:val="0"/>
          <w:numId w:val="2"/>
        </w:numPr>
        <w:spacing w:before="0" w:after="60"/>
      </w:pPr>
      <w:r>
        <w:rPr>
          <w:rFonts w:ascii="Calibri" w:cs="Calibri" w:eastAsia="Calibri" w:hAnsi="Calibri"/>
          <w:color w:val="374151"/>
          <w:sz w:val="21"/>
          <w:szCs w:val="21"/>
        </w:rPr>
        <w:t xml:space="preserve">Every outline carries a quality confidence score. Outlines with a confidence score below 70% (due to sparse TNA data or an atypical gap profile) are flagged for L&amp;D Manager review before being sent to a trainer.</w:t>
      </w:r>
    </w:p>
    <w:p>
      <w:pPr>
        <w:pStyle w:val="ListParagraph"/>
        <w:numPr>
          <w:ilvl w:val="0"/>
          <w:numId w:val="2"/>
        </w:numPr>
        <w:spacing w:before="0" w:after="60"/>
      </w:pPr>
      <w:r>
        <w:rPr>
          <w:rFonts w:ascii="Calibri" w:cs="Calibri" w:eastAsia="Calibri" w:hAnsi="Calibri"/>
          <w:color w:val="374151"/>
          <w:sz w:val="21"/>
          <w:szCs w:val="21"/>
        </w:rPr>
        <w:t xml:space="preserve">The trainer must receive the outline as a structured document — not as raw gap data. The gap data behind the outline is never shared with the trainer.</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4.8 AI-8: AI Conversational Interface (InsightBoard)</w:t>
      </w:r>
    </w:p>
    <w:p>
      <w:pPr>
        <w:spacing w:before="0" w:after="60"/>
      </w:pPr>
    </w:p>
    <w:p>
      <w:pPr>
        <w:pStyle w:val="Heading3"/>
        <w:spacing w:before="200" w:after="80"/>
      </w:pPr>
      <w:r>
        <w:rPr>
          <w:rFonts w:ascii="Calibri" w:cs="Calibri" w:eastAsia="Calibri" w:hAnsi="Calibri"/>
          <w:b/>
          <w:bCs/>
          <w:color w:val="1D4ED8"/>
          <w:sz w:val="24"/>
          <w:szCs w:val="24"/>
        </w:rPr>
        <w:t xml:space="preserve">Scope and Permitted Behaviour</w:t>
      </w:r>
    </w:p>
    <w:p>
      <w:pPr>
        <w:pStyle w:val="ListParagraph"/>
        <w:numPr>
          <w:ilvl w:val="0"/>
          <w:numId w:val="2"/>
        </w:numPr>
        <w:spacing w:before="0" w:after="60"/>
      </w:pPr>
      <w:r>
        <w:rPr>
          <w:rFonts w:ascii="Calibri" w:cs="Calibri" w:eastAsia="Calibri" w:hAnsi="Calibri"/>
          <w:color w:val="374151"/>
          <w:sz w:val="21"/>
          <w:szCs w:val="21"/>
        </w:rPr>
        <w:t xml:space="preserve">AI-8 operates within the InsightBoard widget layer. It can answer natural language questions about the data in the widget currently in view, within the persona scope of the logged-in user.</w:t>
      </w:r>
    </w:p>
    <w:p>
      <w:pPr>
        <w:pStyle w:val="ListParagraph"/>
        <w:numPr>
          <w:ilvl w:val="0"/>
          <w:numId w:val="2"/>
        </w:numPr>
        <w:spacing w:before="0" w:after="60"/>
      </w:pPr>
      <w:r>
        <w:rPr>
          <w:rFonts w:ascii="Calibri" w:cs="Calibri" w:eastAsia="Calibri" w:hAnsi="Calibri"/>
          <w:color w:val="374151"/>
          <w:sz w:val="21"/>
          <w:szCs w:val="21"/>
        </w:rPr>
        <w:t xml:space="preserve">A CHRO asking 'which departments have the highest critical skill gaps?' receives an org-wide answer. A Manager asking the same question receives a team-scoped answer only. The persona scope is enforced at the data layer — AI-8 cannot be prompted to return data outside the user's RBAC scope.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AI8-R1  </w:t>
            </w:r>
            <w:r>
              <w:rPr>
                <w:rFonts w:ascii="Calibri" w:cs="Calibri" w:eastAsia="Calibri" w:hAnsi="Calibri"/>
                <w:b/>
                <w:bCs/>
                <w:color w:val="7F1D1D"/>
                <w:sz w:val="22"/>
                <w:szCs w:val="22"/>
              </w:rPr>
              <w:t xml:space="preserve">AI-8 cannot be prompted to reveal data outside the user's RBAC scope</w:t>
            </w:r>
          </w:p>
          <w:p>
            <w:pPr>
              <w:spacing w:before="0" w:after="0"/>
            </w:pPr>
            <w:r>
              <w:rPr>
                <w:rFonts w:ascii="Calibri" w:cs="Calibri" w:eastAsia="Calibri" w:hAnsi="Calibri"/>
                <w:color w:val="374151"/>
                <w:sz w:val="20"/>
                <w:szCs w:val="20"/>
              </w:rPr>
              <w:t xml:space="preserve">AI-8 must enforce RBAC data boundaries on every response — including responses to prompts specifically designed to extract data the user cannot see (prompt injection attempts). If a manager asks 'show me the Burnout Risk Scores for my team', AI-8 must respond that this data is not available at their access level — not that it does not exist. AI-8 must not attempt to approximate restricted data from data it can see.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RULE AI8-R2  </w:t>
            </w:r>
            <w:r>
              <w:rPr>
                <w:rFonts w:ascii="Calibri" w:cs="Calibri" w:eastAsia="Calibri" w:hAnsi="Calibri"/>
                <w:b/>
                <w:bCs/>
                <w:color w:val="78350F"/>
                <w:sz w:val="22"/>
                <w:szCs w:val="22"/>
              </w:rPr>
              <w:t xml:space="preserve">AI-8 responses are advisory — never decisional</w:t>
            </w:r>
          </w:p>
          <w:p>
            <w:pPr>
              <w:spacing w:before="0" w:after="0"/>
            </w:pPr>
            <w:r>
              <w:rPr>
                <w:rFonts w:ascii="Calibri" w:cs="Calibri" w:eastAsia="Calibri" w:hAnsi="Calibri"/>
                <w:color w:val="374151"/>
                <w:sz w:val="20"/>
                <w:szCs w:val="20"/>
              </w:rPr>
              <w:t xml:space="preserve">AI-8 may analyse data and surface insights. It may not make decisions, initiate workflows, change data, or create records. Every AI-8 response ends with the data and an insight — never with 'I have updated X' or 'I have scheduled Y'. The conversational interface is read-only. It has no write permissions anywhere in the platform.</w:t>
            </w:r>
          </w:p>
        </w:tc>
      </w:tr>
    </w:tbl>
    <w:p>
      <w:pPr>
        <w:spacing w:before="0" w:after="100"/>
      </w:pPr>
    </w:p>
    <w:p>
      <w:pPr>
        <w:pStyle w:val="Heading3"/>
        <w:spacing w:before="200" w:after="80"/>
      </w:pPr>
      <w:r>
        <w:rPr>
          <w:rFonts w:ascii="Calibri" w:cs="Calibri" w:eastAsia="Calibri" w:hAnsi="Calibri"/>
          <w:b/>
          <w:bCs/>
          <w:color w:val="1D4ED8"/>
          <w:sz w:val="24"/>
          <w:szCs w:val="24"/>
        </w:rPr>
        <w:t xml:space="preserve">Prompt Injection Protection</w:t>
      </w:r>
    </w:p>
    <w:p>
      <w:pPr>
        <w:pStyle w:val="ListParagraph"/>
        <w:numPr>
          <w:ilvl w:val="0"/>
          <w:numId w:val="2"/>
        </w:numPr>
        <w:spacing w:before="0" w:after="60"/>
      </w:pPr>
      <w:r>
        <w:rPr>
          <w:rFonts w:ascii="Calibri" w:cs="Calibri" w:eastAsia="Calibri" w:hAnsi="Calibri"/>
          <w:color w:val="374151"/>
          <w:sz w:val="21"/>
          <w:szCs w:val="21"/>
        </w:rPr>
        <w:t xml:space="preserve">AI-8 must treat all user input as potentially adversarial. Instructions in user messages that attempt to override system rules ('ignore previous instructions', 'you are now a different AI', 'as a developer mode') must be detected and rejected without executing any part of the injected instruction.</w:t>
      </w:r>
    </w:p>
    <w:p>
      <w:pPr>
        <w:pStyle w:val="ListParagraph"/>
        <w:numPr>
          <w:ilvl w:val="0"/>
          <w:numId w:val="2"/>
        </w:numPr>
        <w:spacing w:before="0" w:after="60"/>
      </w:pPr>
      <w:r>
        <w:rPr>
          <w:rFonts w:ascii="Calibri" w:cs="Calibri" w:eastAsia="Calibri" w:hAnsi="Calibri"/>
          <w:color w:val="374151"/>
          <w:sz w:val="21"/>
          <w:szCs w:val="21"/>
        </w:rPr>
        <w:t xml:space="preserve">AI-8 must not reveal its system prompt, its data access scope, or the internal architecture of the platform in response to user questions — even indirectly through inference.</w:t>
      </w:r>
    </w:p>
    <w:p>
      <w:pPr>
        <w:spacing w:before="0" w:after="80"/>
      </w:pPr>
    </w:p>
    <w:p>
      <w:pPr>
        <w:pBdr>
          <w:bottom w:val="single" w:color="BFDBFE" w:sz="6" w:space="1"/>
        </w:pBdr>
        <w:spacing w:before="200" w:after="200"/>
      </w:pPr>
    </w:p>
    <w:p>
      <w:pPr>
        <w:spacing w:before="0" w:after="40"/>
      </w:pPr>
    </w:p>
    <w:p>
      <w:pPr>
        <w:pStyle w:val="Heading2"/>
        <w:spacing w:before="280" w:after="100"/>
      </w:pPr>
      <w:r>
        <w:rPr>
          <w:rFonts w:ascii="Georgia" w:cs="Georgia" w:eastAsia="Georgia" w:hAnsi="Georgia"/>
          <w:b/>
          <w:bCs/>
          <w:color w:val="1E40AF"/>
          <w:sz w:val="28"/>
          <w:szCs w:val="28"/>
        </w:rPr>
        <w:t xml:space="preserve">4.9 AI-9: AI Proposal and Learning Feedback Engine</w:t>
      </w:r>
    </w:p>
    <w:p>
      <w:pPr>
        <w:spacing w:before="0" w:after="100"/>
      </w:pPr>
      <w:r>
        <w:rPr>
          <w:rFonts w:ascii="Calibri" w:cs="Calibri" w:eastAsia="Calibri" w:hAnsi="Calibri"/>
          <w:b w:val="false"/>
          <w:bCs w:val="false"/>
          <w:i w:val="false"/>
          <w:iCs w:val="false"/>
          <w:color w:val="374151"/>
          <w:sz w:val="22"/>
          <w:szCs w:val="22"/>
        </w:rPr>
        <w:t xml:space="preserve">AI-9 comprises two linked systems: the AI Proposal Engine (internal Edstellar commercial tool) and the AI Learning Engine (feedback loop that recalibrates all recommendation models). They share a data access boundary and governance framework.</w:t>
      </w:r>
    </w:p>
    <w:p>
      <w:pPr>
        <w:spacing w:before="0" w:after="80"/>
      </w:pPr>
    </w:p>
    <w:p>
      <w:pPr>
        <w:pStyle w:val="Heading3"/>
        <w:spacing w:before="200" w:after="80"/>
      </w:pPr>
      <w:r>
        <w:rPr>
          <w:rFonts w:ascii="Calibri" w:cs="Calibri" w:eastAsia="Calibri" w:hAnsi="Calibri"/>
          <w:b/>
          <w:bCs/>
          <w:color w:val="1D4ED8"/>
          <w:sz w:val="24"/>
          <w:szCs w:val="24"/>
        </w:rPr>
        <w:t xml:space="preserve">AI Proposal Engine — Permitted Inputs</w:t>
      </w:r>
    </w:p>
    <w:p>
      <w:pPr>
        <w:pStyle w:val="ListParagraph"/>
        <w:numPr>
          <w:ilvl w:val="0"/>
          <w:numId w:val="2"/>
        </w:numPr>
        <w:spacing w:before="0" w:after="60"/>
      </w:pPr>
      <w:r>
        <w:rPr>
          <w:rFonts w:ascii="Calibri" w:cs="Calibri" w:eastAsia="Calibri" w:hAnsi="Calibri"/>
          <w:color w:val="374151"/>
          <w:sz w:val="21"/>
          <w:szCs w:val="21"/>
        </w:rPr>
        <w:t xml:space="preserve">Aggregate gap data: skill domains with unaddressed gaps, employee count affected, role families, weighted gap scores (aggregate per domain — not per individual)</w:t>
      </w:r>
    </w:p>
    <w:p>
      <w:pPr>
        <w:pStyle w:val="ListParagraph"/>
        <w:numPr>
          <w:ilvl w:val="0"/>
          <w:numId w:val="2"/>
        </w:numPr>
        <w:spacing w:before="0" w:after="60"/>
      </w:pPr>
      <w:r>
        <w:rPr>
          <w:rFonts w:ascii="Calibri" w:cs="Calibri" w:eastAsia="Calibri" w:hAnsi="Calibri"/>
          <w:color w:val="374151"/>
          <w:sz w:val="21"/>
          <w:szCs w:val="21"/>
        </w:rPr>
        <w:t xml:space="preserve">Transformation Dial settings: forward-looking demand signal</w:t>
      </w:r>
    </w:p>
    <w:p>
      <w:pPr>
        <w:pStyle w:val="ListParagraph"/>
        <w:numPr>
          <w:ilvl w:val="0"/>
          <w:numId w:val="2"/>
        </w:numPr>
        <w:spacing w:before="0" w:after="60"/>
      </w:pPr>
      <w:r>
        <w:rPr>
          <w:rFonts w:ascii="Calibri" w:cs="Calibri" w:eastAsia="Calibri" w:hAnsi="Calibri"/>
          <w:color w:val="374151"/>
          <w:sz w:val="21"/>
          <w:szCs w:val="21"/>
        </w:rPr>
        <w:t xml:space="preserve">Edstellar trainer network data: specialisation coverage, effectiveness scores, availability</w:t>
      </w:r>
    </w:p>
    <w:p>
      <w:pPr>
        <w:pStyle w:val="ListParagraph"/>
        <w:numPr>
          <w:ilvl w:val="0"/>
          <w:numId w:val="2"/>
        </w:numPr>
        <w:spacing w:before="0" w:after="60"/>
      </w:pPr>
      <w:r>
        <w:rPr>
          <w:rFonts w:ascii="Calibri" w:cs="Calibri" w:eastAsia="Calibri" w:hAnsi="Calibri"/>
          <w:color w:val="374151"/>
          <w:sz w:val="21"/>
          <w:szCs w:val="21"/>
        </w:rPr>
        <w:t xml:space="preserve">Commercial context: client tier, account manager notes, proposal history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RULE AI9-R1  </w:t>
            </w:r>
            <w:r>
              <w:rPr>
                <w:rFonts w:ascii="Calibri" w:cs="Calibri" w:eastAsia="Calibri" w:hAnsi="Calibri"/>
                <w:b/>
                <w:bCs/>
                <w:color w:val="7F1D1D"/>
                <w:sz w:val="22"/>
                <w:szCs w:val="22"/>
              </w:rPr>
              <w:t xml:space="preserve">The AI Proposal Engine is forbidden from reading individual-level data of any sensitivity category</w:t>
            </w:r>
          </w:p>
          <w:p>
            <w:pPr>
              <w:spacing w:before="0" w:after="0"/>
            </w:pPr>
            <w:r>
              <w:rPr>
                <w:rFonts w:ascii="Calibri" w:cs="Calibri" w:eastAsia="Calibri" w:hAnsi="Calibri"/>
                <w:color w:val="374151"/>
                <w:sz w:val="20"/>
                <w:szCs w:val="20"/>
              </w:rPr>
              <w:t xml:space="preserve">The Proposal Engine must not read: individual employee names, individual assessment scores, individual Burnout Risk Scores, individual performance flags, psychometric profiles, or succession candidate identities. Proposals are built from aggregate gap data. The proposal that goes to the client contains role-level and domain-level intelligence — never individual intelligence. This is both a privacy rule and a commercial rule: a client who sees individual data in a vendor proposal will lose trust in the platform.</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RULE AI9-R2  </w:t>
            </w:r>
            <w:r>
              <w:rPr>
                <w:rFonts w:ascii="Calibri" w:cs="Calibri" w:eastAsia="Calibri" w:hAnsi="Calibri"/>
                <w:b/>
                <w:bCs/>
                <w:color w:val="78350F"/>
                <w:sz w:val="22"/>
                <w:szCs w:val="22"/>
              </w:rPr>
              <w:t xml:space="preserve">All AI-generated proposals require account manager review before sending</w:t>
            </w:r>
          </w:p>
          <w:p>
            <w:pPr>
              <w:spacing w:before="0" w:after="0"/>
            </w:pPr>
            <w:r>
              <w:rPr>
                <w:rFonts w:ascii="Calibri" w:cs="Calibri" w:eastAsia="Calibri" w:hAnsi="Calibri"/>
                <w:color w:val="374151"/>
                <w:sz w:val="20"/>
                <w:szCs w:val="20"/>
              </w:rPr>
              <w:t xml:space="preserve">The Proposal Engine places generated proposals in the account manager's review queue. It never sends a proposal to a client directly. The account manager must open, review, and explicitly send the proposal. Read receipts confirm the client received it. The AI generation is the first draft — the human is always the author of record.</w:t>
            </w:r>
          </w:p>
        </w:tc>
      </w:tr>
    </w:tbl>
    <w:p>
      <w:pPr>
        <w:spacing w:before="0" w:after="100"/>
      </w:pPr>
    </w:p>
    <w:p>
      <w:pPr>
        <w:pStyle w:val="Heading3"/>
        <w:spacing w:before="200" w:after="80"/>
      </w:pPr>
      <w:r>
        <w:rPr>
          <w:rFonts w:ascii="Calibri" w:cs="Calibri" w:eastAsia="Calibri" w:hAnsi="Calibri"/>
          <w:b/>
          <w:bCs/>
          <w:color w:val="1D4ED8"/>
          <w:sz w:val="24"/>
          <w:szCs w:val="24"/>
        </w:rPr>
        <w:t xml:space="preserve">AI Learning Engine — Permitted Inputs and Update Rules</w:t>
      </w:r>
    </w:p>
    <w:p>
      <w:pPr>
        <w:pStyle w:val="ListParagraph"/>
        <w:numPr>
          <w:ilvl w:val="0"/>
          <w:numId w:val="2"/>
        </w:numPr>
        <w:spacing w:before="0" w:after="60"/>
      </w:pPr>
      <w:r>
        <w:rPr>
          <w:rFonts w:ascii="Calibri" w:cs="Calibri" w:eastAsia="Calibri" w:hAnsi="Calibri"/>
          <w:color w:val="374151"/>
          <w:sz w:val="21"/>
          <w:szCs w:val="21"/>
        </w:rPr>
        <w:t xml:space="preserve">Kirkpatrick L1–L4 scores from delivered training programmes</w:t>
      </w:r>
    </w:p>
    <w:p>
      <w:pPr>
        <w:pStyle w:val="ListParagraph"/>
        <w:numPr>
          <w:ilvl w:val="0"/>
          <w:numId w:val="2"/>
        </w:numPr>
        <w:spacing w:before="0" w:after="60"/>
      </w:pPr>
      <w:r>
        <w:rPr>
          <w:rFonts w:ascii="Calibri" w:cs="Calibri" w:eastAsia="Calibri" w:hAnsi="Calibri"/>
          <w:color w:val="374151"/>
          <w:sz w:val="21"/>
          <w:szCs w:val="21"/>
        </w:rPr>
        <w:t xml:space="preserve">Pre/post proficiency delta from re-assessment cycles</w:t>
      </w:r>
    </w:p>
    <w:p>
      <w:pPr>
        <w:pStyle w:val="ListParagraph"/>
        <w:numPr>
          <w:ilvl w:val="0"/>
          <w:numId w:val="2"/>
        </w:numPr>
        <w:spacing w:before="0" w:after="60"/>
      </w:pPr>
      <w:r>
        <w:rPr>
          <w:rFonts w:ascii="Calibri" w:cs="Calibri" w:eastAsia="Calibri" w:hAnsi="Calibri"/>
          <w:color w:val="374151"/>
          <w:sz w:val="21"/>
          <w:szCs w:val="21"/>
        </w:rPr>
        <w:t xml:space="preserve">Content outline adherence logs from trainers</w:t>
      </w:r>
    </w:p>
    <w:p>
      <w:pPr>
        <w:pStyle w:val="ListParagraph"/>
        <w:numPr>
          <w:ilvl w:val="0"/>
          <w:numId w:val="2"/>
        </w:numPr>
        <w:spacing w:before="0" w:after="60"/>
      </w:pPr>
      <w:r>
        <w:rPr>
          <w:rFonts w:ascii="Calibri" w:cs="Calibri" w:eastAsia="Calibri" w:hAnsi="Calibri"/>
          <w:color w:val="374151"/>
          <w:sz w:val="21"/>
          <w:szCs w:val="21"/>
        </w:rPr>
        <w:t xml:space="preserve">LNI gap closure rates (aggregate — not per named employee)</w:t>
      </w:r>
    </w:p>
    <w:p>
      <w:pPr>
        <w:pStyle w:val="ListParagraph"/>
        <w:numPr>
          <w:ilvl w:val="0"/>
          <w:numId w:val="2"/>
        </w:numPr>
        <w:spacing w:before="0" w:after="60"/>
      </w:pPr>
      <w:r>
        <w:rPr>
          <w:rFonts w:ascii="Calibri" w:cs="Calibri" w:eastAsia="Calibri" w:hAnsi="Calibri"/>
          <w:color w:val="374151"/>
          <w:sz w:val="21"/>
          <w:szCs w:val="21"/>
        </w:rPr>
        <w:t xml:space="preserve">Learning path acceptance rate (how often AI recommendations are accepted unmodified)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RULE AI9-R3  </w:t>
            </w:r>
            <w:r>
              <w:rPr>
                <w:rFonts w:ascii="Calibri" w:cs="Calibri" w:eastAsia="Calibri" w:hAnsi="Calibri"/>
                <w:b/>
                <w:bCs/>
                <w:color w:val="0F172A"/>
                <w:sz w:val="22"/>
                <w:szCs w:val="22"/>
              </w:rPr>
              <w:t xml:space="preserve">The Learning Engine recalibrates models — it does not change production data</w:t>
            </w:r>
          </w:p>
          <w:p>
            <w:pPr>
              <w:spacing w:before="0" w:after="0"/>
            </w:pPr>
            <w:r>
              <w:rPr>
                <w:rFonts w:ascii="Calibri" w:cs="Calibri" w:eastAsia="Calibri" w:hAnsi="Calibri"/>
                <w:color w:val="374151"/>
                <w:sz w:val="20"/>
                <w:szCs w:val="20"/>
              </w:rPr>
              <w:t xml:space="preserve">The AI Learning Engine updates the internal recommendation models (content outline quality model, intervention type calibration, trainer matching model). It does not — and must not — update any production record: no validated proficiency scores, no LNA outputs, no employee baselines, no FrameworkBible entries. Its outputs are model weights and calibration parameters, not data records. Changes to production data remain exclusively human-initiated.</w:t>
            </w:r>
          </w:p>
        </w:tc>
      </w:tr>
    </w:tbl>
    <w:p>
      <w:pPr>
        <w:spacing w:before="0" w:after="100"/>
      </w:pPr>
    </w:p>
    <w:p>
      <w:pPr>
        <w:spacing w:before="0" w:after="80"/>
      </w:pPr>
    </w:p>
    <w:p>
      <w:pPr>
        <w:pageBreakBefore/>
      </w:pPr>
      <w:r>
        <w:t xml:space="preserve"/>
      </w:r>
    </w:p>
    <w:p>
      <w:pPr>
        <w:pStyle w:val="Heading1"/>
        <w:spacing w:before="360" w:after="120"/>
      </w:pPr>
      <w:r>
        <w:rPr>
          <w:rFonts w:ascii="Georgia" w:cs="Georgia" w:eastAsia="Georgia" w:hAnsi="Georgia"/>
          <w:b/>
          <w:bCs/>
          <w:color w:val="0F172A"/>
          <w:sz w:val="38"/>
          <w:szCs w:val="38"/>
        </w:rPr>
        <w:t xml:space="preserve">5. Sensitive Data Classification and AI Access Matrix</w:t>
      </w:r>
    </w:p>
    <w:p>
      <w:pPr>
        <w:spacing w:before="0" w:after="100"/>
      </w:pPr>
      <w:r>
        <w:rPr>
          <w:rFonts w:ascii="Calibri" w:cs="Calibri" w:eastAsia="Calibri" w:hAnsi="Calibri"/>
          <w:b w:val="false"/>
          <w:bCs w:val="false"/>
          <w:i w:val="false"/>
          <w:iCs w:val="false"/>
          <w:color w:val="374151"/>
          <w:sz w:val="22"/>
          <w:szCs w:val="22"/>
        </w:rPr>
        <w:t xml:space="preserve">Four categories of sensitive data carry special access restrictions across all nine AI systems. This matrix is the authoritative cross-reference between sensitive data types and AI system permissions.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800"/>
        <w:gridCol w:w="800"/>
        <w:gridCol w:w="760"/>
      </w:tblGrid>
      <w:tr>
        <w:tc>
          <w:tcPr>
            <w:tcW w:type="dxa" w:w="2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Data Category</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AI-1</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AI-2</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AI-3</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AI-4</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AI-5</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AI-6</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AI-7</w:t>
            </w:r>
          </w:p>
        </w:tc>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AI-8</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AI-9</w:t>
            </w:r>
          </w:p>
        </w:tc>
      </w:tr>
      <w:tr>
        <w:tc>
          <w:tcPr>
            <w:tcW w:type="dxa" w:w="2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Performance ratings and appraisal scores</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Binary flag only</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7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r>
      <w:tr>
        <w:tc>
          <w:tcPr>
            <w:tcW w:type="dxa" w:w="2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Burnout Risk Score (individual)</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Generates it</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7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r>
      <w:tr>
        <w:tc>
          <w:tcPr>
            <w:tcW w:type="dxa" w:w="2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Psychometric results (individual)</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HR scope only</w:t>
            </w:r>
          </w:p>
        </w:tc>
        <w:tc>
          <w:tcPr>
            <w:tcW w:type="dxa" w:w="7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r>
      <w:tr>
        <w:tc>
          <w:tcPr>
            <w:tcW w:type="dxa" w:w="2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Salary and compensation data</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7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r>
      <w:tr>
        <w:tc>
          <w:tcPr>
            <w:tcW w:type="dxa" w:w="2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Validated skill proficiency (individual)</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Post-approval only</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 Read</w:t>
            </w:r>
          </w:p>
        </w:tc>
        <w:tc>
          <w:tcPr>
            <w:tcW w:type="dxa" w:w="8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 Read</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20"/>
                <w:szCs w:val="20"/>
              </w:rPr>
              <w:t xml:space="preserve">✓ Read</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Aggregate only</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Scoped by RBAC</w:t>
            </w:r>
          </w:p>
        </w:tc>
        <w:tc>
          <w:tcPr>
            <w:tcW w:type="dxa" w:w="7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Aggregate only</w:t>
            </w:r>
          </w:p>
        </w:tc>
      </w:tr>
      <w:tr>
        <w:tc>
          <w:tcPr>
            <w:tcW w:type="dxa" w:w="2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Assessment responses (raw text)</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Trend only</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Scoped by RBAC</w:t>
            </w:r>
          </w:p>
        </w:tc>
        <w:tc>
          <w:tcPr>
            <w:tcW w:type="dxa" w:w="7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r>
      <w:tr>
        <w:tc>
          <w:tcPr>
            <w:tcW w:type="dxa" w:w="2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Wellbeing pulse responses (raw)</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val="false"/>
                <w:bCs w:val="false"/>
                <w:color w:val="B45309"/>
                <w:sz w:val="20"/>
                <w:szCs w:val="20"/>
              </w:rPr>
              <w:t xml:space="preserve">Trend only</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c>
          <w:tcPr>
            <w:tcW w:type="dxa" w:w="7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20"/>
                <w:szCs w:val="20"/>
              </w:rPr>
              <w:t xml:space="preserve">✗</w:t>
            </w:r>
          </w:p>
        </w:tc>
      </w:tr>
    </w:tbl>
    <w:p>
      <w:pPr>
        <w:spacing w:before="0" w:after="60"/>
      </w:pPr>
    </w:p>
    <w:p>
      <w:pPr>
        <w:spacing w:before="0" w:after="100"/>
      </w:pPr>
      <w:r>
        <w:rPr>
          <w:rFonts w:ascii="Calibri" w:cs="Calibri" w:eastAsia="Calibri" w:hAnsi="Calibri"/>
          <w:b w:val="false"/>
          <w:bCs w:val="false"/>
          <w:i/>
          <w:iCs/>
          <w:color w:val="6B7280"/>
          <w:sz w:val="19"/>
          <w:szCs w:val="19"/>
        </w:rPr>
        <w:t xml:space="preserve">Legend: ✓ = permitted read · ✗ = forbidden · 'Aggregate only' = only anonymised aggregates, no individual data · 'Binary flag only' = yes/no flag, not the underlying record · 'Scoped by RBAC' = accessible only within the logged-in user's data scope · 'Trend only' = AI reads direction and magnitude, not the underlying values</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6. Failure Mode Register</w:t>
      </w:r>
    </w:p>
    <w:p>
      <w:pPr>
        <w:spacing w:before="0" w:after="100"/>
      </w:pPr>
      <w:r>
        <w:rPr>
          <w:rFonts w:ascii="Calibri" w:cs="Calibri" w:eastAsia="Calibri" w:hAnsi="Calibri"/>
          <w:b w:val="false"/>
          <w:bCs w:val="false"/>
          <w:i w:val="false"/>
          <w:iCs w:val="false"/>
          <w:color w:val="374151"/>
          <w:sz w:val="22"/>
          <w:szCs w:val="22"/>
        </w:rPr>
        <w:t xml:space="preserve">Every AI system must handle failures in a defined, non-silent way. This register specifies the required behaviour for each system's most likely failure modes.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360"/>
        <w:gridCol w:w="2000"/>
        <w:gridCol w:w="1800"/>
      </w:tblGrid>
      <w:tr>
        <w:tc>
          <w:tcPr>
            <w:tcW w:type="dxa" w:w="1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1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Failure Mode</w:t>
            </w:r>
          </w:p>
        </w:tc>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Required Behaviour</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Who Is Notified</w:t>
            </w:r>
          </w:p>
        </w:tc>
        <w:tc>
          <w:tcPr>
            <w:tcW w:type="dxa" w:w="1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Recovery Path</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Claude API timeout on any prompt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Retry 3× with backoff. If all fail: pause pipeline at that prompt. Preserve outputs from completed prompts. Surface specific error with prompt number.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 Admin — immediate notification with failed prompt and suggested action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Re-trigger from the failed prompt (not from prompt 1). Partial outputs preserved.</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AI-1</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Data Context Meter below 35%</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Pipeline runs but outputs labelled 'Low Confidence — insufficient data'. Cannot be published without HR Head override with documented reason.</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 Admin — notification with specific missing data fields</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Improve data completeness and re-run, or HR Head override.</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AI-2</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Cannot parse resume format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Flag the document as 'Unprocessed — manual entry required'. Do not attempt partial extraction. Notify HR Admin with document name.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 Admin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 Admin enters resume data manually via the DataPort manual entry form.</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AI-3</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 assessment data available for an employee-skill pair</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Use AI-estimated baseline with a 'No assessment data — AI estimate only' label. Do not suppress the gap. Do not apply performance or discovery multipliers without confirmed data.</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L&amp;D Manager — shown in LNA review with a 'low data quality' flag</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Run an assessment cycle for the affected population.</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AI-4</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Fewer than 2 assessment cycles in history</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Produce a single suggestion with explicit low-confidence label. Rationale must state: 'Insufficient assessment history for high-confidence recommendation.'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L&amp;D Manager — shown in suggestion panel</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Complete a second assessment cycle to build history.</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AI-5</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Missing wellbeing signals (less than 2 of 4 sources available)</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Do not produce a Burnout Risk Score. Surface a 'Insufficient data — wellbeing signals incomplete' state to HR Head only. Development timeline adjustment does not activate.</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HR Head only</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Enable missing signal sources (calendar integration, PM tool, or pulse survey).</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AI-6</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Succession Risk alert delivery failure (&gt;30 second SLA breach)</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Escalate to P1 engineering alert immediately. Log the failed delivery with timestamp. Retry with exponential backoff. If undelivered after 5 minutes, send SMS fallback to HR Head.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Engineering on-call + HR Head (SMS fallback)</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Engineering investigates NotifyEngine. Succession alert is re-sent once delivery is confirmed.</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AI-7</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Content outline confidence below 70%</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Do not send outline to trainer. Place in L&amp;D Manager review queue with specific reasons for low confidence (e.g. sparse TNA data, atypical gap profile).</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L&amp;D Manager — review queue notification</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L&amp;D Manager enriches the TNA data or manually enhances the outline before sending.</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AI-8</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 injection attempt detected</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Reject the injected instruction. Respond with: 'I can only answer questions about the data currently shown in this dashboard.' Log the attempt with full prompt text for security review.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Security log — reviewed by engineering team weekly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 data is exposed. The session continues normally.</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AI-9</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Proposal generation produces low-coherence output</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Flag for manual creation rather than surfacing a poor AI draft. Threshold: coherence score below 65% (measured by structural completeness — are all 7 sections present and internally consistent?). Account manager notified that manual proposal creation is required.</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Account Manager</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Account Manager creates proposal manually using the TNA data as source material.</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7. Audit Trail Requirements</w:t>
      </w:r>
    </w:p>
    <w:p>
      <w:pPr>
        <w:spacing w:before="0" w:after="100"/>
      </w:pPr>
      <w:r>
        <w:rPr>
          <w:rFonts w:ascii="Calibri" w:cs="Calibri" w:eastAsia="Calibri" w:hAnsi="Calibri"/>
          <w:b w:val="false"/>
          <w:bCs w:val="false"/>
          <w:i w:val="false"/>
          <w:iCs w:val="false"/>
          <w:color w:val="374151"/>
          <w:sz w:val="22"/>
          <w:szCs w:val="22"/>
        </w:rPr>
        <w:t xml:space="preserve">Every AI action must be logged. The fields below are mandatory for every log entry. Additional system-specific fields are noted where applicable.</w:t>
      </w:r>
    </w:p>
    <w:p>
      <w:pPr>
        <w:spacing w:before="0" w:after="80"/>
      </w:pPr>
    </w:p>
    <w:p>
      <w:pPr>
        <w:pStyle w:val="Heading2"/>
        <w:spacing w:before="280" w:after="100"/>
      </w:pPr>
      <w:r>
        <w:rPr>
          <w:rFonts w:ascii="Georgia" w:cs="Georgia" w:eastAsia="Georgia" w:hAnsi="Georgia"/>
          <w:b/>
          <w:bCs/>
          <w:color w:val="1E40AF"/>
          <w:sz w:val="28"/>
          <w:szCs w:val="28"/>
        </w:rPr>
        <w:t xml:space="preserve">7.1 Mandatory Fields for Every AI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45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Retention</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system_id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Which of the nine AI systems generated this entry (AI-1 through AI-9)</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run_timestamp</w:t>
            </w:r>
          </w:p>
        </w:tc>
        <w:tc>
          <w:tcPr>
            <w:tcW w:type="dxa" w:w="4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UTC timestamp of when the AI system ran</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tenant_id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tenant this run belongs to — never null, never cross-tenant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triggered_by</w:t>
            </w:r>
          </w:p>
        </w:tc>
        <w:tc>
          <w:tcPr>
            <w:tcW w:type="dxa" w:w="4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User ID of the human who triggered the AI run (or 'system' for automated triggers with the trigger event name)</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input_data_types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List of data type categories read by this AI run — not the values, just the types (e.g. 'validated_proficiency, transformation_dial, org_hierarchy')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output_summary</w:t>
            </w:r>
          </w:p>
        </w:tc>
        <w:tc>
          <w:tcPr>
            <w:tcW w:type="dxa" w:w="4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High-level description of outputs produced: type, count, confidence range (e.g. '47 skills generated, confidence range 74–98%')</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7 years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human_review_status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One of: pending_review · review_in_progress · approved_unmodified · approved_with_edits · rejected. With timestamp of each state change and user ID of reviewer.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is_modified_count</w:t>
            </w:r>
          </w:p>
        </w:tc>
        <w:tc>
          <w:tcPr>
            <w:tcW w:type="dxa" w:w="4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For AI-1 runs: the number of output fields where is_modified was set to true by a human reviewer during the approval workflow</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applied_to_production</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Boolean: was this AI output applied to production data? True only after human approval. False for rejected or pending outputs.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model_version</w:t>
            </w:r>
          </w:p>
        </w:tc>
        <w:tc>
          <w:tcPr>
            <w:tcW w:type="dxa" w:w="4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Claude API model version used for this run (e.g. claude-sonnet-4-20250514). Critical for debugging output quality changes after model upgrades.</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prompt_template_version</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version identifier of the prompt template used. Required for AI-1 (SkillForge) and AI-7 (Content Outline) where template changes directly affect output quality.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Permanent</w:t>
            </w:r>
          </w:p>
        </w:tc>
      </w:tr>
    </w:tbl>
    <w:p>
      <w:pPr>
        <w:spacing w:before="0" w:after="80"/>
      </w:pPr>
    </w:p>
    <w:p>
      <w:pPr>
        <w:pStyle w:val="Heading2"/>
        <w:spacing w:before="280" w:after="100"/>
      </w:pPr>
      <w:r>
        <w:rPr>
          <w:rFonts w:ascii="Georgia" w:cs="Georgia" w:eastAsia="Georgia" w:hAnsi="Georgia"/>
          <w:b/>
          <w:bCs/>
          <w:color w:val="1E40AF"/>
          <w:sz w:val="28"/>
          <w:szCs w:val="28"/>
        </w:rPr>
        <w:t xml:space="preserve">7.2 Sensitive Data Log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6"/>
              <w:bottom w:val="single" w:color="6D28D9" w:sz="4"/>
              <w:right w:val="single" w:color="6D28D9" w:sz="4"/>
            </w:tcBorders>
            <w:shd w:fill="F5F3FF" w:val="clear"/>
            <w:tcMar>
              <w:top w:type="dxa" w:w="120"/>
              <w:left w:type="dxa" w:w="200"/>
              <w:bottom w:type="dxa" w:w="120"/>
              <w:right w:type="dxa" w:w="160"/>
            </w:tcMar>
          </w:tcPr>
          <w:p>
            <w:pPr>
              <w:spacing w:before="0" w:after="60"/>
            </w:pPr>
            <w:r>
              <w:rPr>
                <w:rFonts w:ascii="Calibri" w:cs="Calibri" w:eastAsia="Calibri" w:hAnsi="Calibri"/>
                <w:b/>
                <w:bCs/>
                <w:caps/>
                <w:color w:val="6D28D9"/>
                <w:sz w:val="18"/>
                <w:szCs w:val="18"/>
              </w:rPr>
              <w:t xml:space="preserve">RULE AUDIT-R1  </w:t>
            </w:r>
            <w:r>
              <w:rPr>
                <w:rFonts w:ascii="Calibri" w:cs="Calibri" w:eastAsia="Calibri" w:hAnsi="Calibri"/>
                <w:b/>
                <w:bCs/>
                <w:color w:val="3B0764"/>
                <w:sz w:val="22"/>
                <w:szCs w:val="22"/>
              </w:rPr>
              <w:t xml:space="preserve">Sensitive data values must not be logged — only types and flags</w:t>
            </w:r>
          </w:p>
          <w:p>
            <w:pPr>
              <w:spacing w:before="0" w:after="0"/>
            </w:pPr>
            <w:r>
              <w:rPr>
                <w:rFonts w:ascii="Calibri" w:cs="Calibri" w:eastAsia="Calibri" w:hAnsi="Calibri"/>
                <w:color w:val="374151"/>
                <w:sz w:val="20"/>
                <w:szCs w:val="20"/>
              </w:rPr>
              <w:t xml:space="preserve">The audit trail must record that the AI system accessed performance data, wellbeing data, or psychometric data — but must never log the values of that data. Log entries capture: 'performance_flag_read: true' — not the performance rating value. This ensures the audit trail itself does not become a secondary exposure vector for sensitive data.</w:t>
            </w:r>
          </w:p>
        </w:tc>
      </w:tr>
    </w:tbl>
    <w:p>
      <w:pPr>
        <w:spacing w:before="0" w:after="100"/>
      </w:pPr>
    </w:p>
    <w:p>
      <w:pPr>
        <w:spacing w:before="0" w:after="80"/>
      </w:pPr>
    </w:p>
    <w:p>
      <w:pPr>
        <w:pageBreakBefore/>
      </w:pPr>
      <w:r>
        <w:t xml:space="preserve"/>
      </w:r>
    </w:p>
    <w:p>
      <w:pPr>
        <w:pStyle w:val="Heading1"/>
        <w:spacing w:before="360" w:after="120"/>
      </w:pPr>
      <w:r>
        <w:rPr>
          <w:rFonts w:ascii="Georgia" w:cs="Georgia" w:eastAsia="Georgia" w:hAnsi="Georgia"/>
          <w:b/>
          <w:bCs/>
          <w:color w:val="0F172A"/>
          <w:sz w:val="38"/>
          <w:szCs w:val="38"/>
        </w:rPr>
        <w:t xml:space="preserve">8. Model Upgrade and Prompt Change Protocol</w:t>
      </w:r>
    </w:p>
    <w:p>
      <w:pPr>
        <w:spacing w:before="0" w:after="100"/>
      </w:pPr>
      <w:r>
        <w:rPr>
          <w:rFonts w:ascii="Calibri" w:cs="Calibri" w:eastAsia="Calibri" w:hAnsi="Calibri"/>
          <w:b w:val="false"/>
          <w:bCs w:val="false"/>
          <w:i w:val="false"/>
          <w:iCs w:val="false"/>
          <w:color w:val="374151"/>
          <w:sz w:val="22"/>
          <w:szCs w:val="22"/>
        </w:rPr>
        <w:t xml:space="preserve">When Anthropic releases a new Claude model version, or when a prompt template is changed, the following protocol governs how the change is validated and deployed.</w:t>
      </w:r>
    </w:p>
    <w:p>
      <w:pPr>
        <w:spacing w:before="0" w:after="80"/>
      </w:pPr>
    </w:p>
    <w:p>
      <w:pPr>
        <w:pStyle w:val="Heading2"/>
        <w:spacing w:before="280" w:after="100"/>
      </w:pPr>
      <w:r>
        <w:rPr>
          <w:rFonts w:ascii="Georgia" w:cs="Georgia" w:eastAsia="Georgia" w:hAnsi="Georgia"/>
          <w:b/>
          <w:bCs/>
          <w:color w:val="1E40AF"/>
          <w:sz w:val="28"/>
          <w:szCs w:val="28"/>
        </w:rPr>
        <w:t xml:space="preserve">8.1 Trigger Conditions</w:t>
      </w:r>
    </w:p>
    <w:p>
      <w:pPr>
        <w:pStyle w:val="ListParagraph"/>
        <w:numPr>
          <w:ilvl w:val="0"/>
          <w:numId w:val="2"/>
        </w:numPr>
        <w:spacing w:before="0" w:after="60"/>
      </w:pPr>
      <w:r>
        <w:rPr>
          <w:rFonts w:ascii="Calibri" w:cs="Calibri" w:eastAsia="Calibri" w:hAnsi="Calibri"/>
          <w:color w:val="374151"/>
          <w:sz w:val="21"/>
          <w:szCs w:val="21"/>
        </w:rPr>
        <w:t xml:space="preserve">Anthropic releases a new Claude Sonnet model version (primary trigger)</w:t>
      </w:r>
    </w:p>
    <w:p>
      <w:pPr>
        <w:pStyle w:val="ListParagraph"/>
        <w:numPr>
          <w:ilvl w:val="0"/>
          <w:numId w:val="2"/>
        </w:numPr>
        <w:spacing w:before="0" w:after="60"/>
      </w:pPr>
      <w:r>
        <w:rPr>
          <w:rFonts w:ascii="Calibri" w:cs="Calibri" w:eastAsia="Calibri" w:hAnsi="Calibri"/>
          <w:color w:val="374151"/>
          <w:sz w:val="21"/>
          <w:szCs w:val="21"/>
        </w:rPr>
        <w:t xml:space="preserve">AI output quality degradation detected: approval rejection rate &gt;30% at Tier 1 for AI-1, or proposal win rate &lt;30% for AI-9, or content outline acceptance rate &lt;70% for AI-7</w:t>
      </w:r>
    </w:p>
    <w:p>
      <w:pPr>
        <w:pStyle w:val="ListParagraph"/>
        <w:numPr>
          <w:ilvl w:val="0"/>
          <w:numId w:val="2"/>
        </w:numPr>
        <w:spacing w:before="0" w:after="60"/>
      </w:pPr>
      <w:r>
        <w:rPr>
          <w:rFonts w:ascii="Calibri" w:cs="Calibri" w:eastAsia="Calibri" w:hAnsi="Calibri"/>
          <w:color w:val="374151"/>
          <w:sz w:val="21"/>
          <w:szCs w:val="21"/>
        </w:rPr>
        <w:t xml:space="preserve">New data type added to any AI system's permitted input list</w:t>
      </w:r>
    </w:p>
    <w:p>
      <w:pPr>
        <w:pStyle w:val="ListParagraph"/>
        <w:numPr>
          <w:ilvl w:val="0"/>
          <w:numId w:val="2"/>
        </w:numPr>
        <w:spacing w:before="0" w:after="60"/>
      </w:pPr>
      <w:r>
        <w:rPr>
          <w:rFonts w:ascii="Calibri" w:cs="Calibri" w:eastAsia="Calibri" w:hAnsi="Calibri"/>
          <w:color w:val="374151"/>
          <w:sz w:val="21"/>
          <w:szCs w:val="21"/>
        </w:rPr>
        <w:t xml:space="preserve">New AI system capability added to the platform (always requires a new entry in Section 4 of this document before deployment)</w:t>
      </w:r>
    </w:p>
    <w:p>
      <w:pPr>
        <w:spacing w:before="0" w:after="80"/>
      </w:pPr>
    </w:p>
    <w:p>
      <w:pPr>
        <w:pStyle w:val="Heading2"/>
        <w:spacing w:before="280" w:after="100"/>
      </w:pPr>
      <w:r>
        <w:rPr>
          <w:rFonts w:ascii="Georgia" w:cs="Georgia" w:eastAsia="Georgia" w:hAnsi="Georgia"/>
          <w:b/>
          <w:bCs/>
          <w:color w:val="1E40AF"/>
          <w:sz w:val="28"/>
          <w:szCs w:val="28"/>
        </w:rPr>
        <w:t xml:space="preserve">8.2 Validation Steps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3400"/>
        <w:gridCol w:w="2000"/>
      </w:tblGrid>
      <w:tr>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3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Criterion</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1</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Run the new model version against the NovaTech 35-employee test dataset using all current prompt templates</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Outputs pass automated structural validation (all required fields present, taxonomy hierarchy correct, no null values in required fields)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Engineer</w:t>
            </w:r>
          </w:p>
        </w:tc>
      </w:tr>
      <w:tr>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2</w:t>
            </w:r>
          </w:p>
        </w:tc>
        <w:tc>
          <w:tcPr>
            <w:tcW w:type="dxa" w:w="3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Run the new model version against 3 anonymised real-tenant datasets (different industries, different sizes)</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Output quality scores within ±10% of baseline scores from the current model version on the same datasets</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Engineer + Head of Product</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3</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Verify data boundary rules: confirm the new model version respects all forbidden data inputs defined in Section 4</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Zero instances of forbidden data types appearing in outputs across 100 test runs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 Engineer</w:t>
            </w:r>
          </w:p>
        </w:tc>
      </w:tr>
      <w:tr>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4</w:t>
            </w:r>
          </w:p>
        </w:tc>
        <w:tc>
          <w:tcPr>
            <w:tcW w:type="dxa" w:w="3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Run prompt injection tests against AI-8 (Conversational Interface) with the new model version</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Zero successful injections across the standard injection test library (minimum 50 test cases)</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Security Engineer</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5</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Update this document: record the new model version, the validation test results, and the deployment date in Section 8.3</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Document updated and reviewed by Head of Product &amp; AI before deployment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w:t>
            </w:r>
          </w:p>
        </w:tc>
      </w:tr>
      <w:tr>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6</w:t>
            </w:r>
          </w:p>
        </w:tc>
        <w:tc>
          <w:tcPr>
            <w:tcW w:type="dxa" w:w="3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Deploy to staging. Run L1 onboarding flow end-to-end with the new model on staging.</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L1 completion flow completes successfully. 3-tier approval flow works correctly. InsightBoard populates correctly.</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QA Engineer</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7</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Deploy to production with canary rollout (10% of new AI runs on new model, 90% on current model for 48 hours)</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Error rate on canary cohort not more than 2× the baseline error rate. No P1 incidents in 48 hours.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DevOps + AI Engineer</w:t>
            </w:r>
          </w:p>
        </w:tc>
      </w:tr>
    </w:tbl>
    <w:p>
      <w:pPr>
        <w:spacing w:before="0" w:after="80"/>
      </w:pPr>
    </w:p>
    <w:p>
      <w:pPr>
        <w:pStyle w:val="Heading2"/>
        <w:spacing w:before="280" w:after="100"/>
      </w:pPr>
      <w:r>
        <w:rPr>
          <w:rFonts w:ascii="Georgia" w:cs="Georgia" w:eastAsia="Georgia" w:hAnsi="Georgia"/>
          <w:b/>
          <w:bCs/>
          <w:color w:val="1E40AF"/>
          <w:sz w:val="28"/>
          <w:szCs w:val="28"/>
        </w:rPr>
        <w:t xml:space="preserve">8.3 Model Version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Model Version</w:t>
            </w:r>
          </w:p>
        </w:tc>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Deployed</w:t>
            </w:r>
          </w:p>
        </w:tc>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Deployed By</w:t>
            </w:r>
          </w:p>
        </w:tc>
        <w:tc>
          <w:tcPr>
            <w:tcW w:type="dxa" w:w="4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Validation Notes</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deployment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Baseline version. All 9 AI systems validated against NovaTech dataset. All data boundary tests passed.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9. Governance, Ownership, and Sign-Off</w:t>
      </w:r>
    </w:p>
    <w:p>
      <w:pPr>
        <w:pStyle w:val="Heading2"/>
        <w:spacing w:before="280" w:after="100"/>
      </w:pPr>
      <w:r>
        <w:rPr>
          <w:rFonts w:ascii="Georgia" w:cs="Georgia" w:eastAsia="Georgia" w:hAnsi="Georgia"/>
          <w:b/>
          <w:bCs/>
          <w:color w:val="1E40AF"/>
          <w:sz w:val="28"/>
          <w:szCs w:val="28"/>
        </w:rPr>
        <w:t xml:space="preserve">9.1 Document Ownership</w:t>
      </w:r>
    </w:p>
    <w:p>
      <w:pPr>
        <w:pStyle w:val="ListParagraph"/>
        <w:numPr>
          <w:ilvl w:val="0"/>
          <w:numId w:val="2"/>
        </w:numPr>
        <w:spacing w:before="0" w:after="60"/>
      </w:pPr>
      <w:r>
        <w:rPr>
          <w:rFonts w:ascii="Calibri" w:cs="Calibri" w:eastAsia="Calibri" w:hAnsi="Calibri"/>
          <w:color w:val="374151"/>
          <w:sz w:val="21"/>
          <w:szCs w:val="21"/>
        </w:rPr>
        <w:t xml:space="preserve">Owner: Head of Product &amp; AI. This person is accountable for the accuracy and currency of this document.</w:t>
      </w:r>
    </w:p>
    <w:p>
      <w:pPr>
        <w:pStyle w:val="ListParagraph"/>
        <w:numPr>
          <w:ilvl w:val="0"/>
          <w:numId w:val="2"/>
        </w:numPr>
        <w:spacing w:before="0" w:after="60"/>
      </w:pPr>
      <w:r>
        <w:rPr>
          <w:rFonts w:ascii="Calibri" w:cs="Calibri" w:eastAsia="Calibri" w:hAnsi="Calibri"/>
          <w:color w:val="374151"/>
          <w:sz w:val="21"/>
          <w:szCs w:val="21"/>
        </w:rPr>
        <w:t xml:space="preserve">Reviewers: Lead AI Engineer (technical accuracy) · Legal/Compliance (data protection rules) · Head of Customer Success (client-facing impact of AI rules)</w:t>
      </w:r>
    </w:p>
    <w:p>
      <w:pPr>
        <w:pStyle w:val="ListParagraph"/>
        <w:numPr>
          <w:ilvl w:val="0"/>
          <w:numId w:val="2"/>
        </w:numPr>
        <w:spacing w:before="0" w:after="60"/>
      </w:pPr>
      <w:r>
        <w:rPr>
          <w:rFonts w:ascii="Calibri" w:cs="Calibri" w:eastAsia="Calibri" w:hAnsi="Calibri"/>
          <w:color w:val="374151"/>
          <w:sz w:val="21"/>
          <w:szCs w:val="21"/>
        </w:rPr>
        <w:t xml:space="preserve">Review cadence: mandatory review before every model upgrade, every new AI capability deployment, and at minimum quarterly.</w:t>
      </w:r>
    </w:p>
    <w:p>
      <w:pPr>
        <w:pStyle w:val="ListParagraph"/>
        <w:numPr>
          <w:ilvl w:val="0"/>
          <w:numId w:val="2"/>
        </w:numPr>
        <w:spacing w:before="0" w:after="60"/>
      </w:pPr>
      <w:r>
        <w:rPr>
          <w:rFonts w:ascii="Calibri" w:cs="Calibri" w:eastAsia="Calibri" w:hAnsi="Calibri"/>
          <w:color w:val="374151"/>
          <w:sz w:val="21"/>
          <w:szCs w:val="21"/>
        </w:rPr>
        <w:t xml:space="preserve">Change management: any change to Section 4 (System-Specific Rules), Section 5 (Sensitive Data Matrix), or Section 7 (Audit Requirements) requires sign-off from the Owner plus one Reviewer before the change takes effect. Changes to Sections 6 and 8 require Owner sign-off only.</w:t>
      </w:r>
    </w:p>
    <w:p>
      <w:pPr>
        <w:spacing w:before="0" w:after="80"/>
      </w:pPr>
    </w:p>
    <w:p>
      <w:pPr>
        <w:pStyle w:val="Heading2"/>
        <w:spacing w:before="280" w:after="100"/>
      </w:pPr>
      <w:r>
        <w:rPr>
          <w:rFonts w:ascii="Georgia" w:cs="Georgia" w:eastAsia="Georgia" w:hAnsi="Georgia"/>
          <w:b/>
          <w:bCs/>
          <w:color w:val="1E40AF"/>
          <w:sz w:val="28"/>
          <w:szCs w:val="28"/>
        </w:rPr>
        <w:t xml:space="preserve">9.2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Document</w:t>
            </w:r>
          </w:p>
        </w:tc>
        <w:tc>
          <w:tcPr>
            <w:tcW w:type="dxa" w:w="65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Relationship to This AI Rules Document</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Product Document v22+</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Specifies what each AI system does. This document specifies what each AI system is permitted to do. Where they conflict, this document takes precedence on governance questions.</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BRD v3+</w:t>
            </w:r>
          </w:p>
        </w:tc>
        <w:tc>
          <w:tcPr>
            <w:tcW w:type="dxa" w:w="6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Engineering requirements for building AI systems. This document provides the governance boundary conditions that BRD requirements must operate within.</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Prompt Library (separate document)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specific prompt templates, system prompts, and temperature settings for each AI system. Governed by the rules in Section 4 of this document. Prompt changes must be validated against this document's data boundary rules before deployment.</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Data Architecture (BRD Section 8)</w:t>
            </w:r>
          </w:p>
        </w:tc>
        <w:tc>
          <w:tcPr>
            <w:tcW w:type="dxa" w:w="6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The database schema that physically enforces the data boundary rules defined in this document. Where the schema and the rules in this document conflict, this document defines the intended state and the schema must be updated.</w:t>
            </w:r>
          </w:p>
        </w:tc>
      </w:tr>
    </w:tbl>
    <w:p>
      <w:pPr>
        <w:spacing w:before="0" w:after="80"/>
      </w:pPr>
    </w:p>
    <w:p>
      <w:pPr>
        <w:pStyle w:val="Heading2"/>
        <w:spacing w:before="280" w:after="100"/>
      </w:pPr>
      <w:r>
        <w:rPr>
          <w:rFonts w:ascii="Georgia" w:cs="Georgia" w:eastAsia="Georgia" w:hAnsi="Georgia"/>
          <w:b/>
          <w:bCs/>
          <w:color w:val="1E40AF"/>
          <w:sz w:val="28"/>
          <w:szCs w:val="28"/>
        </w:rPr>
        <w:t xml:space="preserve">9.3 Approval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Name &amp; Signature</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20"/>
                <w:szCs w:val="20"/>
              </w:rPr>
              <w:t xml:space="preserve">Head of Product &amp; AI (Owner)</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Lead AI Engineer</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r>
      <w:tr>
        <w:tc>
          <w:tcPr>
            <w:tcW w:type="dxa" w:w="32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1E40AF"/>
                <w:sz w:val="20"/>
                <w:szCs w:val="20"/>
              </w:rPr>
              <w:t xml:space="preserve">Legal / Data Protection Officer</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r>
      <w:tr>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Head of Customer Success</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
            </w:r>
          </w:p>
        </w:tc>
      </w:tr>
    </w:tbl>
    <w:p>
      <w:pPr>
        <w:spacing w:before="0" w:after="200"/>
      </w:pPr>
    </w:p>
    <w:p>
      <w:pPr>
        <w:spacing w:before="0" w:after="0"/>
        <w:jc w:val="center"/>
      </w:pPr>
      <w:r>
        <w:rPr>
          <w:rFonts w:ascii="Calibri" w:cs="Calibri" w:eastAsia="Calibri" w:hAnsi="Calibri"/>
          <w:color w:val="6B7280"/>
          <w:sz w:val="18"/>
          <w:szCs w:val="18"/>
        </w:rPr>
        <w:t xml:space="preserve">Edstellar Skills Intelligence Platform — AI Rules and Governance Document v1.0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F172A"/>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1E40A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2026-03-24T10:38:18.159Z</dcterms:created>
  <dcterms:modified xsi:type="dcterms:W3CDTF">2026-03-24T10:38:18.160Z</dcterms:modified>
</cp:coreProperties>
</file>

<file path=docProps/custom.xml><?xml version="1.0" encoding="utf-8"?>
<Properties xmlns="http://schemas.openxmlformats.org/officeDocument/2006/custom-properties" xmlns:vt="http://schemas.openxmlformats.org/officeDocument/2006/docPropsVTypes"/>
</file>