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80"/>
      </w:pPr>
    </w:p>
    <w:p>
      <w:pPr>
        <w:spacing w:before="0" w:after="60"/>
      </w:pPr>
      <w:r>
        <w:rPr>
          <w:rFonts w:ascii="Calibri" w:cs="Calibri" w:eastAsia="Calibri" w:hAnsi="Calibri"/>
          <w:b/>
          <w:bCs/>
          <w:caps/>
          <w:color w:val="6B7280"/>
          <w:spacing w:val="100"/>
          <w:sz w:val="22"/>
          <w:szCs w:val="22"/>
        </w:rPr>
        <w:t xml:space="preserve">EDSTELLAR SKILLS INTELLIGENCE PLATFORM</w:t>
      </w:r>
    </w:p>
    <w:p>
      <w:pPr>
        <w:pBdr>
          <w:bottom w:val="single" w:color="1D4ED8" w:sz="12" w:space="1"/>
        </w:pBdr>
        <w:spacing w:before="0" w:after="0"/>
      </w:pPr>
      <w:r>
        <w:rPr>
          <w:sz w:val="4"/>
          <w:szCs w:val="4"/>
        </w:rPr>
        <w:t xml:space="preserve"> </w:t>
      </w:r>
    </w:p>
    <w:p>
      <w:pPr>
        <w:spacing w:before="0" w:after="80"/>
      </w:pPr>
    </w:p>
    <w:p>
      <w:pPr>
        <w:spacing w:before="0" w:after="40"/>
      </w:pPr>
      <w:r>
        <w:rPr>
          <w:rFonts w:ascii="Georgia" w:cs="Georgia" w:eastAsia="Georgia" w:hAnsi="Georgia"/>
          <w:b/>
          <w:bCs/>
          <w:color w:val="0F172A"/>
          <w:sz w:val="56"/>
          <w:szCs w:val="56"/>
        </w:rPr>
        <w:t xml:space="preserve">Functional Requirements</w:t>
      </w:r>
    </w:p>
    <w:p>
      <w:pPr>
        <w:spacing w:before="0" w:after="40"/>
      </w:pPr>
      <w:r>
        <w:rPr>
          <w:rFonts w:ascii="Georgia" w:cs="Georgia" w:eastAsia="Georgia" w:hAnsi="Georgia"/>
          <w:b/>
          <w:bCs/>
          <w:color w:val="0F172A"/>
          <w:sz w:val="56"/>
          <w:szCs w:val="56"/>
        </w:rPr>
        <w:t xml:space="preserve">Document</w:t>
      </w:r>
    </w:p>
    <w:p>
      <w:pPr>
        <w:spacing w:before="0" w:after="80"/>
      </w:pPr>
      <w:r>
        <w:rPr>
          <w:rFonts w:ascii="Georgia" w:cs="Georgia" w:eastAsia="Georgia" w:hAnsi="Georgia"/>
          <w:i/>
          <w:iCs/>
          <w:color w:val="6B7280"/>
          <w:sz w:val="22"/>
          <w:szCs w:val="22"/>
        </w:rPr>
        <w:t xml:space="preserve">System behaviours · Business rules · Input/output specifications · Edge cases and error handling across all 14 modules</w:t>
      </w:r>
    </w:p>
    <w:p>
      <w:pPr>
        <w:spacing w:before="0" w:after="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Version</w:t>
            </w:r>
          </w:p>
        </w:tc>
        <w:tc>
          <w:tcPr>
            <w:tcW w:type="dxa" w:w="38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1.0</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Date</w:t>
            </w:r>
          </w:p>
        </w:tc>
        <w:tc>
          <w:tcPr>
            <w:tcW w:type="dxa" w:w="38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March 2026</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Modules covered</w:t>
            </w:r>
          </w:p>
        </w:tc>
        <w:tc>
          <w:tcPr>
            <w:tcW w:type="dxa" w:w="38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14 modules across 5 levels + cross-cutting systems</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Primary Audience</w:t>
            </w:r>
          </w:p>
        </w:tc>
        <w:tc>
          <w:tcPr>
            <w:tcW w:type="dxa" w:w="38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Engineering · QA · Product · Design</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Maintained By</w:t>
            </w:r>
          </w:p>
        </w:tc>
        <w:tc>
          <w:tcPr>
            <w:tcW w:type="dxa" w:w="38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Head of Product &amp; AI</w:t>
            </w:r>
          </w:p>
        </w:tc>
      </w:tr>
      <w:tr>
        <w:tc>
          <w:tcPr>
            <w:tcW w:type="dxa" w:w="2200"/>
            <w:tcBorders>
              <w:top w:val="none" w:color="FFFFFF" w:sz="0"/>
              <w:left w:val="none" w:color="FFFFFF" w:sz="0"/>
              <w:bottom w:val="none" w:color="FFFFFF" w:sz="0"/>
              <w:right w:val="none" w:color="FFFFFF" w:sz="0"/>
            </w:tcBorders>
            <w:shd w:fill="0F172A" w:val="clear"/>
            <w:tcMar>
              <w:top w:type="dxa" w:w="80"/>
              <w:left w:type="dxa" w:w="120"/>
              <w:bottom w:type="dxa" w:w="80"/>
              <w:right w:type="dxa" w:w="120"/>
            </w:tcMar>
          </w:tcPr>
          <w:p>
            <w:pPr>
              <w:jc w:val="right"/>
            </w:pPr>
            <w:r>
              <w:rPr>
                <w:rFonts w:ascii="Calibri" w:cs="Calibri" w:eastAsia="Calibri" w:hAnsi="Calibri"/>
                <w:b/>
                <w:bCs/>
                <w:color w:val="FFFFFF"/>
                <w:sz w:val="20"/>
                <w:szCs w:val="20"/>
              </w:rPr>
              <w:t xml:space="preserve">Governing Documents</w:t>
            </w:r>
          </w:p>
        </w:tc>
        <w:tc>
          <w:tcPr>
            <w:tcW w:type="dxa" w:w="3800"/>
            <w:tcBorders>
              <w:top w:val="none" w:color="FFFFFF" w:sz="0"/>
              <w:left w:val="none" w:color="FFFFFF" w:sz="0"/>
              <w:bottom w:val="none" w:color="FFFFFF" w:sz="0"/>
              <w:right w:val="none" w:color="FFFFFF" w:sz="0"/>
            </w:tcBorders>
            <w:shd w:fill="EFF6FF" w:val="clear"/>
            <w:tcMar>
              <w:top w:type="dxa" w:w="80"/>
              <w:left w:type="dxa" w:w="120"/>
              <w:bottom w:type="dxa" w:w="80"/>
              <w:right w:type="dxa" w:w="120"/>
            </w:tcMar>
          </w:tcPr>
          <w:p>
            <w:r>
              <w:rPr>
                <w:rFonts w:ascii="Calibri" w:cs="Calibri" w:eastAsia="Calibri" w:hAnsi="Calibri"/>
                <w:color w:val="374151"/>
                <w:sz w:val="20"/>
                <w:szCs w:val="20"/>
              </w:rPr>
              <w:t xml:space="preserve">Product Document v22 · BRD v3 · AI Rules Document v1.0</w:t>
            </w:r>
          </w:p>
        </w:tc>
      </w:tr>
    </w:tbl>
    <w:p>
      <w:pPr>
        <w:spacing w:before="0" w:after="40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 Overview and Document Conventions</w:t>
      </w:r>
    </w:p>
    <w:p>
      <w:pPr>
        <w:spacing w:before="0" w:after="100"/>
      </w:pPr>
      <w:r>
        <w:rPr>
          <w:rFonts w:ascii="Calibri" w:cs="Calibri" w:eastAsia="Calibri" w:hAnsi="Calibri"/>
          <w:b w:val="false"/>
          <w:bCs w:val="false"/>
          <w:i w:val="false"/>
          <w:iCs w:val="false"/>
          <w:color w:val="374151"/>
          <w:sz w:val="22"/>
          <w:szCs w:val="22"/>
        </w:rPr>
        <w:t xml:space="preserve">This Functional Requirements Document specifies the exact system behaviours, business rules, input/output definitions, and edge case handling for every module of the Edstellar Skills Intelligence Platform. It translates the product specifications and BRD into engineering-actionable functional requirements. Where the Product Document describes what and why, this document specifies how the system must behave.</w:t>
      </w:r>
    </w:p>
    <w:p>
      <w:pPr>
        <w:spacing w:before="0" w:after="80"/>
      </w:pPr>
    </w:p>
    <w:p>
      <w:pPr>
        <w:pStyle w:val="Heading2"/>
        <w:spacing w:before="280" w:after="100"/>
      </w:pPr>
      <w:r>
        <w:rPr>
          <w:rFonts w:ascii="Georgia" w:cs="Georgia" w:eastAsia="Georgia" w:hAnsi="Georgia"/>
          <w:b/>
          <w:bCs/>
          <w:color w:val="1E40AF"/>
          <w:sz w:val="28"/>
          <w:szCs w:val="28"/>
        </w:rPr>
        <w:t xml:space="preserve">1.1 FR Identifier Format</w:t>
      </w:r>
    </w:p>
    <w:p>
      <w:pPr>
        <w:spacing w:before="0" w:after="100"/>
      </w:pPr>
      <w:r>
        <w:rPr>
          <w:rFonts w:ascii="Calibri" w:cs="Calibri" w:eastAsia="Calibri" w:hAnsi="Calibri"/>
          <w:b w:val="false"/>
          <w:bCs w:val="false"/>
          <w:i w:val="false"/>
          <w:iCs w:val="false"/>
          <w:color w:val="374151"/>
          <w:sz w:val="22"/>
          <w:szCs w:val="22"/>
        </w:rPr>
        <w:t xml:space="preserve">Every functional requirement is assigned a unique identifier in the format: FR-[MODULE]-[NUMBER]. For example, FR-OS-001 is the first functional requirement for the OrgSetup module. Requirements are numbered sequentially within each module. Cross-module requirements use the prefix FR-XC.</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w:tc>
          <w:tcPr>
            <w:tcW w:type="dxa" w:w="1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Prefix</w:t>
            </w:r>
          </w:p>
        </w:tc>
        <w:tc>
          <w:tcPr>
            <w:tcW w:type="dxa" w:w="1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Module</w:t>
            </w:r>
          </w:p>
        </w:tc>
        <w:tc>
          <w:tcPr>
            <w:tcW w:type="dxa" w:w="67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FR-OS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OrgSetup</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Organisational context configuration — hierarchy, strategy, tools, standards, skill criticality</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FR-DP</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DataPort</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Data import, manual entry, HRIS sync, delta management</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FR-SF</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7-prompt AI framework generation pipeline</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FR-AH</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ApprovalHub</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3-tier framework approval and governance workflow</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FR-IB</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InsightBoard</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Persona-based dashboard system and AI conversational interface</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FR-SP</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SkillPassport</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living skill record, export, and verification</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FR-AE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AssessEngine</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Assessment building, distribution, collection, and scoring</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FR-SM</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Skills Matrix</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Multi-dimensional proficiency rating grid and perception gap analysis</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FR-LN</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LNA/TNA</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Learning and training needs analysis engine, weighted gap scoring</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FR-LI</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LNI/TNI</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Individual learning needs identification and personalised development brief</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FR-LP</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LearnPath</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learning path generation and individual development planning</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FR-TC</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TrainConnect</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Course marketplace, LMS integration, programme delivery management</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FR-CE</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CertificateEngine</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 template, auto-issuance, distribution, and QR verification</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FR-RG</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ReportGen</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Persona-adaptive report generation across all levels</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FR-PS</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PulseStrategy</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Continuous intelligence, integration signals, predictive engine, scenario modelling</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FR-SC</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Succession</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Succession pipeline management and AI risk engine</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FR-WB</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Wellbeing</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Burnout risk scoring, pulse surveys, development capacity adjustment</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FR-MK</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Marketplace</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Trainer/Coach Platform, Training Vendor Platform, credit system, booking</w:t>
            </w:r>
          </w:p>
        </w:tc>
      </w:tr>
      <w:tr>
        <w:tc>
          <w:tcPr>
            <w:tcW w:type="dxa" w:w="14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FR-SA</w:t>
            </w:r>
          </w:p>
        </w:tc>
        <w:tc>
          <w:tcPr>
            <w:tcW w:type="dxa" w:w="1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SaaS Admin</w:t>
            </w:r>
          </w:p>
        </w:tc>
        <w:tc>
          <w:tcPr>
            <w:tcW w:type="dxa" w:w="67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Tenant management, subscription billing, platform health, onboarding pipeline</w:t>
            </w:r>
          </w:p>
        </w:tc>
      </w:tr>
      <w:tr>
        <w:tc>
          <w:tcPr>
            <w:tcW w:type="dxa" w:w="1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FR-XC</w:t>
            </w:r>
          </w:p>
        </w:tc>
        <w:tc>
          <w:tcPr>
            <w:tcW w:type="dxa" w:w="1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Cross-Cutting</w:t>
            </w:r>
          </w:p>
        </w:tc>
        <w:tc>
          <w:tcPr>
            <w:tcW w:type="dxa" w:w="67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Level gating, notifications, audit trail, RBAC, data governance</w:t>
            </w:r>
          </w:p>
        </w:tc>
      </w:tr>
    </w:tbl>
    <w:p>
      <w:pPr>
        <w:spacing w:before="0" w:after="80"/>
      </w:pPr>
    </w:p>
    <w:p>
      <w:pPr>
        <w:pStyle w:val="Heading2"/>
        <w:spacing w:before="280" w:after="100"/>
      </w:pPr>
      <w:r>
        <w:rPr>
          <w:rFonts w:ascii="Georgia" w:cs="Georgia" w:eastAsia="Georgia" w:hAnsi="Georgia"/>
          <w:b/>
          <w:bCs/>
          <w:color w:val="1E40AF"/>
          <w:sz w:val="28"/>
          <w:szCs w:val="28"/>
        </w:rPr>
        <w:t xml:space="preserve">1.2 Business Rule Priority</w:t>
      </w:r>
    </w:p>
    <w:p>
      <w:pPr>
        <w:pStyle w:val="ListParagraph"/>
        <w:numPr>
          <w:ilvl w:val="0"/>
          <w:numId w:val="2"/>
        </w:numPr>
        <w:spacing w:before="0" w:after="60"/>
      </w:pPr>
      <w:r>
        <w:rPr>
          <w:rFonts w:ascii="Calibri" w:cs="Calibri" w:eastAsia="Calibri" w:hAnsi="Calibri"/>
          <w:color w:val="374151"/>
          <w:sz w:val="21"/>
          <w:szCs w:val="21"/>
        </w:rPr>
        <w:t xml:space="preserve">MUST — the system must implement this behaviour with no exceptions. A deviation is a defect.</w:t>
      </w:r>
    </w:p>
    <w:p>
      <w:pPr>
        <w:pStyle w:val="ListParagraph"/>
        <w:numPr>
          <w:ilvl w:val="0"/>
          <w:numId w:val="2"/>
        </w:numPr>
        <w:spacing w:before="0" w:after="60"/>
      </w:pPr>
      <w:r>
        <w:rPr>
          <w:rFonts w:ascii="Calibri" w:cs="Calibri" w:eastAsia="Calibri" w:hAnsi="Calibri"/>
          <w:color w:val="374151"/>
          <w:sz w:val="21"/>
          <w:szCs w:val="21"/>
        </w:rPr>
        <w:t xml:space="preserve">SHOULD — the system should implement this behaviour. A deviation requires documented approval from the Head of Product &amp; AI.</w:t>
      </w:r>
    </w:p>
    <w:p>
      <w:pPr>
        <w:pStyle w:val="ListParagraph"/>
        <w:numPr>
          <w:ilvl w:val="0"/>
          <w:numId w:val="2"/>
        </w:numPr>
        <w:spacing w:before="0" w:after="60"/>
      </w:pPr>
      <w:r>
        <w:rPr>
          <w:rFonts w:ascii="Calibri" w:cs="Calibri" w:eastAsia="Calibri" w:hAnsi="Calibri"/>
          <w:color w:val="374151"/>
          <w:sz w:val="21"/>
          <w:szCs w:val="21"/>
        </w:rPr>
        <w:t xml:space="preserve">MAY — the system may implement this behaviour. It is permitted but not required in the initial build.</w:t>
      </w: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2. M1 — OrgSetup: Organisational Context Layer</w:t>
      </w:r>
    </w:p>
    <w:p>
      <w:pPr>
        <w:spacing w:before="0" w:after="100"/>
      </w:pPr>
      <w:r>
        <w:rPr>
          <w:rFonts w:ascii="Calibri" w:cs="Calibri" w:eastAsia="Calibri" w:hAnsi="Calibri"/>
          <w:b w:val="false"/>
          <w:bCs w:val="false"/>
          <w:i w:val="false"/>
          <w:iCs w:val="false"/>
          <w:color w:val="374151"/>
          <w:sz w:val="22"/>
          <w:szCs w:val="22"/>
        </w:rPr>
        <w:t xml:space="preserve">OrgSetup is the foundational configuration module. It is the primary input layer to the SkillForge AI pipeline. All AI-generated outputs are only as good as the OrgSetup context. This module must be completed before the AI pipeline can be triggered.</w:t>
      </w:r>
    </w:p>
    <w:p>
      <w:pPr>
        <w:spacing w:before="0" w:after="80"/>
      </w:pPr>
    </w:p>
    <w:p>
      <w:pPr>
        <w:pStyle w:val="Heading2"/>
        <w:spacing w:before="280" w:after="100"/>
      </w:pPr>
      <w:r>
        <w:rPr>
          <w:rFonts w:ascii="Georgia" w:cs="Georgia" w:eastAsia="Georgia" w:hAnsi="Georgia"/>
          <w:b/>
          <w:bCs/>
          <w:color w:val="1E40AF"/>
          <w:sz w:val="28"/>
          <w:szCs w:val="28"/>
        </w:rPr>
        <w:t xml:space="preserve">2.1 Hierarchy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FR-OS-001  </w:t>
            </w:r>
            <w:r>
              <w:rPr>
                <w:rFonts w:ascii="Calibri" w:cs="Calibri" w:eastAsia="Calibri" w:hAnsi="Calibri"/>
                <w:b/>
                <w:bCs/>
                <w:color w:val="0F172A"/>
                <w:sz w:val="21"/>
                <w:szCs w:val="21"/>
              </w:rPr>
              <w:t xml:space="preserve">Hierarchy depth is unlimited and flexible</w:t>
            </w:r>
          </w:p>
          <w:p>
            <w:pPr>
              <w:spacing w:before="0" w:after="0"/>
            </w:pPr>
            <w:r>
              <w:rPr>
                <w:rFonts w:ascii="Calibri" w:cs="Calibri" w:eastAsia="Calibri" w:hAnsi="Calibri"/>
                <w:color w:val="374151"/>
                <w:sz w:val="20"/>
                <w:szCs w:val="20"/>
              </w:rPr>
              <w:t xml:space="preserve">The system MUST support a hierarchy of unlimited depth. An organisation may define: Organisation → Division → Business Unit → Sub-BU → Department → Team → Sub-team, or any variation thereof. The system must not impose a fixed maximum level count. Every node must support: name, code (optional), head_employee_id (optional), cost_centre_code (optional), location_ids (array), and custom_attributes (JSONB).</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FR-OS-002  </w:t>
            </w:r>
            <w:r>
              <w:rPr>
                <w:rFonts w:ascii="Calibri" w:cs="Calibri" w:eastAsia="Calibri" w:hAnsi="Calibri"/>
                <w:b/>
                <w:bCs/>
                <w:color w:val="0F172A"/>
                <w:sz w:val="21"/>
                <w:szCs w:val="21"/>
              </w:rPr>
              <w:t xml:space="preserve">Multi-dimensional hierarchy support</w:t>
            </w:r>
          </w:p>
          <w:p>
            <w:pPr>
              <w:spacing w:before="0" w:after="0"/>
            </w:pPr>
            <w:r>
              <w:rPr>
                <w:rFonts w:ascii="Calibri" w:cs="Calibri" w:eastAsia="Calibri" w:hAnsi="Calibri"/>
                <w:color w:val="374151"/>
                <w:sz w:val="20"/>
                <w:szCs w:val="20"/>
              </w:rPr>
              <w:t xml:space="preserve">The system MUST support multiple concurrent hierarchy definitions per organisation. An organisation may define a primary hierarchy (org structure) and secondary hierarchies (project-based, product-based, geography-based). Every employee must be assignable to nodes across multiple hierarchies simultaneously. Each hierarchy type is labelled and the primary hierarchy is the default for all analytical outputs unless a filter selects a secondary hierarchy.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BR-OS-01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OrgSetup completion &lt; 50%</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pipeline trigger button is disabled with a tooltip explaining minimum completeness required.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BR-OS-02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OrgSetup completion 50–74%</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can be triggered. Outputs flagged as 'Context-Limited'. Tier 1 review screen shows missing context fields.</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BR-OS-03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Strategy goals not entered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uses industry + org size + tool inventory to infer strategic priorities. context_confidence &lt; 0.7. Label shown on all framework outputs.</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BR-OS-04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Transformation Dial ±4 or ±5</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CHRO approval required. A mandatory business rationale field (minimum 100 words) must be completed. Rationale stored in audit trail and attached to all LNA outputs produced under this setting.</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BR-OS-05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Tool listed as 'Sunsetting'</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Auto-generates a migration skill requirement in SkillForge for the replacement tool. Shown in the framework as a forward-looking skill need.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BR-OS-06</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Planned tool adoption flag set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generates a future skill requirement in TNA for the planned tool. Training recommended before the tool is deployed.</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BR-OS-07</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 criticality C1 assigned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Criticality multiplier = 2.0x in LNA weighted gap score for all gaps on this skill.</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BR-OS-08</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Regulatory classification on product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Compliance skill requirements for that regulatory standard auto-populated in the relevant team's TNA.</w:t>
            </w:r>
          </w:p>
        </w:tc>
      </w:tr>
    </w:tbl>
    <w:p>
      <w:pPr>
        <w:spacing w:before="0" w:after="80"/>
      </w:pPr>
    </w:p>
    <w:p>
      <w:pPr>
        <w:pStyle w:val="Heading2"/>
        <w:spacing w:before="280" w:after="100"/>
      </w:pPr>
      <w:r>
        <w:rPr>
          <w:rFonts w:ascii="Georgia" w:cs="Georgia" w:eastAsia="Georgia" w:hAnsi="Georgia"/>
          <w:b/>
          <w:bCs/>
          <w:color w:val="1E40AF"/>
          <w:sz w:val="28"/>
          <w:szCs w:val="28"/>
        </w:rPr>
        <w:t xml:space="preserve">2.2 Data Context 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FR-OS-003  </w:t>
            </w:r>
            <w:r>
              <w:rPr>
                <w:rFonts w:ascii="Calibri" w:cs="Calibri" w:eastAsia="Calibri" w:hAnsi="Calibri"/>
                <w:b/>
                <w:bCs/>
                <w:color w:val="0F172A"/>
                <w:sz w:val="21"/>
                <w:szCs w:val="21"/>
              </w:rPr>
              <w:t xml:space="preserve">Data Context Meter calculation</w:t>
            </w:r>
          </w:p>
          <w:p>
            <w:pPr>
              <w:spacing w:before="0" w:after="0"/>
            </w:pPr>
            <w:r>
              <w:rPr>
                <w:rFonts w:ascii="Calibri" w:cs="Calibri" w:eastAsia="Calibri" w:hAnsi="Calibri"/>
                <w:color w:val="374151"/>
                <w:sz w:val="20"/>
                <w:szCs w:val="20"/>
              </w:rPr>
              <w:t xml:space="preserve">The Data Context Meter MUST calculate a completeness score (0–100%) combining: OrgSetup layer completeness (hierarchy completeness, strategy completeness, tool inventory, standards, client registry — each weighted) and DataPort layer completeness (employee master data, certifications, training history, project records). The meter MUST update in real time after every save action in OrgSetup and after every DataPort import event. The score MUST be visible on the Admin Portal home screen and in the SkillForge trigger view.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Item</w:t>
            </w:r>
          </w:p>
        </w:tc>
        <w:tc>
          <w:tcPr>
            <w:tcW w:type="dxa" w:w="32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Input / Trigger</w:t>
            </w:r>
          </w:p>
        </w:tc>
        <w:tc>
          <w:tcPr>
            <w:tcW w:type="dxa" w:w="40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Output / System Response</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Below 35%</w:t>
            </w:r>
          </w:p>
        </w:tc>
        <w:tc>
          <w:tcPr>
            <w:tcW w:type="dxa" w:w="3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Any attempt to trigger SkillForge</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blocks trigger. Displays: 'Data Context score is too low to generate a quality framework. Complete at least the hierarchy, strategy, and employee master data.'</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35–49%</w:t>
            </w:r>
          </w:p>
        </w:tc>
        <w:tc>
          <w:tcPr>
            <w:tcW w:type="dxa" w:w="32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trigger</w:t>
            </w:r>
          </w:p>
        </w:tc>
        <w:tc>
          <w:tcPr>
            <w:tcW w:type="dxa" w:w="40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runs. All outputs flagged 'Low Confidence'. Cannot be published until score improves or HR Head overrides with documented reason.</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50–69%</w:t>
            </w:r>
          </w:p>
        </w:tc>
        <w:tc>
          <w:tcPr>
            <w:tcW w:type="dxa" w:w="3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trigger</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runs. Outputs flagged 'Context-Limited'. Can be published after 3-tier approval.</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70–100%</w:t>
            </w:r>
          </w:p>
        </w:tc>
        <w:tc>
          <w:tcPr>
            <w:tcW w:type="dxa" w:w="32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trigger</w:t>
            </w:r>
          </w:p>
        </w:tc>
        <w:tc>
          <w:tcPr>
            <w:tcW w:type="dxa" w:w="40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runs with standard confidence. Outputs follow normal approval flow.</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Below 70% after import</w:t>
            </w:r>
          </w:p>
        </w:tc>
        <w:tc>
          <w:tcPr>
            <w:tcW w:type="dxa" w:w="3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Any import event</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Notification fired to HR Admin: 'Your data completeness score is below 70%. Here is what is missing: [list]. Complete these to improve AI output quality.'</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3. M2 — DataPort: Data Foundation</w:t>
      </w:r>
    </w:p>
    <w:p>
      <w:pPr>
        <w:spacing w:before="0" w:after="100"/>
      </w:pPr>
      <w:r>
        <w:rPr>
          <w:rFonts w:ascii="Calibri" w:cs="Calibri" w:eastAsia="Calibri" w:hAnsi="Calibri"/>
          <w:b w:val="false"/>
          <w:bCs w:val="false"/>
          <w:i w:val="false"/>
          <w:iCs w:val="false"/>
          <w:color w:val="374151"/>
          <w:sz w:val="22"/>
          <w:szCs w:val="22"/>
        </w:rPr>
        <w:t xml:space="preserve">DataPort is the data ingestion layer. It supports three input methods: Excel import, manual entry, and HRIS sync. All three feed the same underlying data model. The Data Context Meter reflects completeness across all three sources.</w:t>
      </w:r>
    </w:p>
    <w:p>
      <w:pPr>
        <w:spacing w:before="0" w:after="80"/>
      </w:pPr>
    </w:p>
    <w:p>
      <w:pPr>
        <w:pStyle w:val="Heading2"/>
        <w:spacing w:before="280" w:after="100"/>
      </w:pPr>
      <w:r>
        <w:rPr>
          <w:rFonts w:ascii="Georgia" w:cs="Georgia" w:eastAsia="Georgia" w:hAnsi="Georgia"/>
          <w:b/>
          <w:bCs/>
          <w:color w:val="1E40AF"/>
          <w:sz w:val="28"/>
          <w:szCs w:val="28"/>
        </w:rPr>
        <w:t xml:space="preserve">3.1 Excel Import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FR-DP-001  </w:t>
            </w:r>
            <w:r>
              <w:rPr>
                <w:rFonts w:ascii="Calibri" w:cs="Calibri" w:eastAsia="Calibri" w:hAnsi="Calibri"/>
                <w:b/>
                <w:bCs/>
                <w:color w:val="0F172A"/>
                <w:sz w:val="21"/>
                <w:szCs w:val="21"/>
              </w:rPr>
              <w:t xml:space="preserve">Excel import — zero data loss requirement</w:t>
            </w:r>
          </w:p>
          <w:p>
            <w:pPr>
              <w:spacing w:before="0" w:after="0"/>
            </w:pPr>
            <w:r>
              <w:rPr>
                <w:rFonts w:ascii="Calibri" w:cs="Calibri" w:eastAsia="Calibri" w:hAnsi="Calibri"/>
                <w:color w:val="374151"/>
                <w:sz w:val="20"/>
                <w:szCs w:val="20"/>
              </w:rPr>
              <w:t xml:space="preserve">The system MUST parse the imported Excel file client-side using SheetJS before any server upload. The system MUST display a sheet-by-sheet preview showing detected row counts, field mappings, and any validation errors before the user confirms the import. No data is written to the database until the user explicitly clicks 'Confirm Import'. If any row contains an error, the user must be offered the choice to: skip the errored row and import the rest, fix the error inline in the preview, or cancel the import entirely.</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BR-DP-01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Duplicate employee_code detected in import</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Flag as a duplicate. Show: existing record vs incoming record. User must choose: skip, overwrite, or merge. Never auto-overwrite.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BR-DP-02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in import with no matching department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Create the employee with a 'Department Not Found' flag. HR Admin must resolve before the employee appears in analytical views.</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BR-DP-03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Date field contains invalid format</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Flag the specific cell with the expected format. Do not attempt to parse ambiguous dates (e.g. 01/02/2024 — day-first or month-first). Require the user to correct the format.</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BR-DP-04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record already exists (same employee_code)</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If is_modified = true on any field: show a side-by-side comparison. User must approve each field change individually. Never silently overwrite human-edited fields.</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BR-DP-05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Re-import detects an employee in existing data but not in new file</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Prompt: 'EMP-042 is in your current data but not in this import. Remove them? This will not delete their historical data.' User must confirm removal explicitly.</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BR-DP-06</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Certification import: expiry date is in the past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Import the certification with an 'Expired' status flag. Include in the 30-day expiry notification backlog immediately.</w:t>
            </w:r>
          </w:p>
        </w:tc>
      </w:tr>
    </w:tbl>
    <w:p>
      <w:pPr>
        <w:spacing w:before="0" w:after="80"/>
      </w:pPr>
    </w:p>
    <w:p>
      <w:pPr>
        <w:pStyle w:val="Heading2"/>
        <w:spacing w:before="280" w:after="100"/>
      </w:pPr>
      <w:r>
        <w:rPr>
          <w:rFonts w:ascii="Georgia" w:cs="Georgia" w:eastAsia="Georgia" w:hAnsi="Georgia"/>
          <w:b/>
          <w:bCs/>
          <w:color w:val="1E40AF"/>
          <w:sz w:val="28"/>
          <w:szCs w:val="28"/>
        </w:rPr>
        <w:t xml:space="preserve">3.2 Manual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FR-DP-002  </w:t>
            </w:r>
            <w:r>
              <w:rPr>
                <w:rFonts w:ascii="Calibri" w:cs="Calibri" w:eastAsia="Calibri" w:hAnsi="Calibri"/>
                <w:b/>
                <w:bCs/>
                <w:color w:val="0F172A"/>
                <w:sz w:val="21"/>
                <w:szCs w:val="21"/>
              </w:rPr>
              <w:t xml:space="preserve">Manual entry — real-time duplicate detection</w:t>
            </w:r>
          </w:p>
          <w:p>
            <w:pPr>
              <w:spacing w:before="0" w:after="0"/>
            </w:pPr>
            <w:r>
              <w:rPr>
                <w:rFonts w:ascii="Calibri" w:cs="Calibri" w:eastAsia="Calibri" w:hAnsi="Calibri"/>
                <w:color w:val="374151"/>
                <w:sz w:val="20"/>
                <w:szCs w:val="20"/>
              </w:rPr>
              <w:t xml:space="preserve">When an HR Admin enters a new employee manually, the system MUST check for potential duplicates in real time as the name and email are typed. If a potential duplicate is found (same email, or same name + same department), the system MUST display a non-blocking warning with a link to the existing record. The HR Admin may proceed with creation or navigate to the existing record. Creation of a confirmed duplicate email address MUST be blocked at the database level.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FR-DP-003  </w:t>
            </w:r>
            <w:r>
              <w:rPr>
                <w:rFonts w:ascii="Calibri" w:cs="Calibri" w:eastAsia="Calibri" w:hAnsi="Calibri"/>
                <w:b/>
                <w:bCs/>
                <w:color w:val="0F172A"/>
                <w:sz w:val="21"/>
                <w:szCs w:val="21"/>
              </w:rPr>
              <w:t xml:space="preserve">Manual entry updates Data Context Meter immediately</w:t>
            </w:r>
          </w:p>
          <w:p>
            <w:pPr>
              <w:spacing w:before="0" w:after="0"/>
            </w:pPr>
            <w:r>
              <w:rPr>
                <w:rFonts w:ascii="Calibri" w:cs="Calibri" w:eastAsia="Calibri" w:hAnsi="Calibri"/>
                <w:color w:val="374151"/>
                <w:sz w:val="20"/>
                <w:szCs w:val="20"/>
              </w:rPr>
              <w:t xml:space="preserve">Every manual entry action — creating a new employee, adding a certification, updating a job title — MUST trigger a real-time recalculation of the Data Context Meter score. The updated score MUST be visible within 5 seconds of the save action without a full page reload.</w:t>
            </w:r>
          </w:p>
        </w:tc>
      </w:tr>
    </w:tbl>
    <w:p>
      <w:pPr>
        <w:spacing w:before="0" w:after="80"/>
      </w:pPr>
    </w:p>
    <w:p>
      <w:pPr>
        <w:pStyle w:val="Heading2"/>
        <w:spacing w:before="280" w:after="100"/>
      </w:pPr>
      <w:r>
        <w:rPr>
          <w:rFonts w:ascii="Georgia" w:cs="Georgia" w:eastAsia="Georgia" w:hAnsi="Georgia"/>
          <w:b/>
          <w:bCs/>
          <w:color w:val="1E40AF"/>
          <w:sz w:val="28"/>
          <w:szCs w:val="28"/>
        </w:rPr>
        <w:t xml:space="preserve">3.3 HRIS Sync — Delta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FR-DP-004  </w:t>
            </w:r>
            <w:r>
              <w:rPr>
                <w:rFonts w:ascii="Calibri" w:cs="Calibri" w:eastAsia="Calibri" w:hAnsi="Calibri"/>
                <w:b/>
                <w:bCs/>
                <w:color w:val="7F1D1D"/>
                <w:sz w:val="21"/>
                <w:szCs w:val="21"/>
              </w:rPr>
              <w:t xml:space="preserve">Delta review is mandatory before commit</w:t>
            </w:r>
          </w:p>
          <w:p>
            <w:pPr>
              <w:spacing w:before="0" w:after="0"/>
            </w:pPr>
            <w:r>
              <w:rPr>
                <w:rFonts w:ascii="Calibri" w:cs="Calibri" w:eastAsia="Calibri" w:hAnsi="Calibri"/>
                <w:color w:val="374151"/>
                <w:sz w:val="20"/>
                <w:szCs w:val="20"/>
              </w:rPr>
              <w:t xml:space="preserve">Every HRIS sync MUST produce a structured delta report before any changes are applied to the database. The delta report MUST categorise every change as: New (employee or record not previously in the system), Changed (existing record with one or more field updates), Removed (record present in current system but not returned by the HRIS). The HR Admin MUST review the delta and explicitly commit or reject individual changes. The system MUST never auto-apply HRIS changes without human review.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BR-DP-07</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HRIS returns a field change on a record where is_modified = true</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Flag the conflict explicitly: 'This field was manually edited on [date] by [user]. The HRIS is returning a different value. Which takes precedence?' User must choose. Do not auto-overwrite.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BR-DP-08</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HRIS sync connection fails</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Notify HR Admin with the error type (auth failure, timeout, endpoint unavailable). Log the failure. Do not apply partial data. Schedule automatic retry after 1 hour (3 maximum retries before requiring manual re-trigger).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BR-DP-09</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removed from HRIS but still has active assessment assignments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Block removal from analytical layer. Notify HR Admin: 'This employee has active assessments. Remove them from active assessment cycles before removing from the platform.'</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BR-DP-10</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HRIS sync returns employment_type = 'contractor' for an existing permanent employee</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Flag as a significant change. Require HR Head approval before applying. Log the change with both old and new employment type.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4. M3 — SkillForge: AI Framework Generation Pipeline</w:t>
      </w:r>
    </w:p>
    <w:p>
      <w:pPr>
        <w:spacing w:before="0" w:after="100"/>
      </w:pPr>
      <w:r>
        <w:rPr>
          <w:rFonts w:ascii="Calibri" w:cs="Calibri" w:eastAsia="Calibri" w:hAnsi="Calibri"/>
          <w:b w:val="false"/>
          <w:bCs w:val="false"/>
          <w:i w:val="false"/>
          <w:iCs w:val="false"/>
          <w:color w:val="374151"/>
          <w:sz w:val="22"/>
          <w:szCs w:val="22"/>
        </w:rPr>
        <w:t xml:space="preserve">SkillForge is the 7-prompt sequential AI pipeline that generates the organisation's skills taxonomy, competency framework, role-skill matrix, and employee baselines. It is the most consequential system in the platform. Every downstream analytical output depends on its outputs.</w:t>
      </w:r>
    </w:p>
    <w:p>
      <w:pPr>
        <w:spacing w:before="0" w:after="80"/>
      </w:pPr>
    </w:p>
    <w:p>
      <w:pPr>
        <w:pStyle w:val="Heading2"/>
        <w:spacing w:before="280" w:after="100"/>
      </w:pPr>
      <w:r>
        <w:rPr>
          <w:rFonts w:ascii="Georgia" w:cs="Georgia" w:eastAsia="Georgia" w:hAnsi="Georgia"/>
          <w:b/>
          <w:bCs/>
          <w:color w:val="1E40AF"/>
          <w:sz w:val="28"/>
          <w:szCs w:val="28"/>
        </w:rPr>
        <w:t xml:space="preserve">4.1 Pipeline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FR-SF-001  </w:t>
            </w:r>
            <w:r>
              <w:rPr>
                <w:rFonts w:ascii="Calibri" w:cs="Calibri" w:eastAsia="Calibri" w:hAnsi="Calibri"/>
                <w:b/>
                <w:bCs/>
                <w:color w:val="0F172A"/>
                <w:sz w:val="21"/>
                <w:szCs w:val="21"/>
              </w:rPr>
              <w:t xml:space="preserve">Pipeline is sequential and context-chain dependent</w:t>
            </w:r>
          </w:p>
          <w:p>
            <w:pPr>
              <w:spacing w:before="0" w:after="0"/>
            </w:pPr>
            <w:r>
              <w:rPr>
                <w:rFonts w:ascii="Calibri" w:cs="Calibri" w:eastAsia="Calibri" w:hAnsi="Calibri"/>
                <w:color w:val="374151"/>
                <w:sz w:val="20"/>
                <w:szCs w:val="20"/>
              </w:rPr>
              <w:t xml:space="preserve">The system MUST execute all 7 prompts in sequential order. Each prompt receives the structured JSON output of all preceding prompts as context. Prompt 4 (Skill Generation) MUST NOT run before Prompt 3 (Role Architecture) has completed and returned valid JSON. If any prompt returns invalid JSON or times out after 3 retries, the pipeline MUST pause at that prompt, preserve all completed prompt outputs, notify the HR Admin with the specific prompt number and failure reason, and allow re-triggering from the failed prompt — not from Prompt 1.</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FR-SF-002  </w:t>
            </w:r>
            <w:r>
              <w:rPr>
                <w:rFonts w:ascii="Calibri" w:cs="Calibri" w:eastAsia="Calibri" w:hAnsi="Calibri"/>
                <w:b/>
                <w:bCs/>
                <w:color w:val="7F1D1D"/>
                <w:sz w:val="21"/>
                <w:szCs w:val="21"/>
              </w:rPr>
              <w:t xml:space="preserve">is_modified flag is inviolable on re-run</w:t>
            </w:r>
          </w:p>
          <w:p>
            <w:pPr>
              <w:spacing w:before="0" w:after="0"/>
            </w:pPr>
            <w:r>
              <w:rPr>
                <w:rFonts w:ascii="Calibri" w:cs="Calibri" w:eastAsia="Calibri" w:hAnsi="Calibri"/>
                <w:color w:val="374151"/>
                <w:sz w:val="20"/>
                <w:szCs w:val="20"/>
              </w:rPr>
              <w:t xml:space="preserve">When SkillForge re-runs (after framework edits, after OrgSetup changes, or on manual trigger): the pipeline MUST NOT overwrite any field where is_modified = true. The pipeline may generate new suggested values for modified fields and present them in a side-by-side comparison in the Tier 1 review, but it may not apply them without explicit human approval. is_modified = true is permanent until a human explicitly resets 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FR-SF-003  </w:t>
            </w:r>
            <w:r>
              <w:rPr>
                <w:rFonts w:ascii="Calibri" w:cs="Calibri" w:eastAsia="Calibri" w:hAnsi="Calibri"/>
                <w:b/>
                <w:bCs/>
                <w:color w:val="0F172A"/>
                <w:sz w:val="21"/>
                <w:szCs w:val="21"/>
              </w:rPr>
              <w:t xml:space="preserve">Quantity scales with org complexity — no fixed target</w:t>
            </w:r>
          </w:p>
          <w:p>
            <w:pPr>
              <w:spacing w:before="0" w:after="0"/>
            </w:pPr>
            <w:r>
              <w:rPr>
                <w:rFonts w:ascii="Calibri" w:cs="Calibri" w:eastAsia="Calibri" w:hAnsi="Calibri"/>
                <w:color w:val="374151"/>
                <w:sz w:val="20"/>
                <w:szCs w:val="20"/>
              </w:rPr>
              <w:t xml:space="preserve">The system MUST NOT target a fixed number of skills or competencies. Skill quantity scales with: number of distinct role families, tool inventory breadth, compliance standard count, org size band, and strategy complexity. A 35-person technology startup MUST produce fewer skills than a 3,000-person regulated financial services firm. The AI prompt explicitly forbids fixed-quantity targeting.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BR-SF-01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completion time &gt; 4 minutes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Engineering alert triggered. UI shows 'Taking longer than expected — your progress is saved.' Do not show timeout error to the user unless all 3 retries have failed.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BR-SF-02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Generated skill references a tool not in the tool_inventory</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The skill is flagged as 'Source: ai_generated — no tool reference'. It is still generated but the tool linkage field is empty. Tier 1 reviewer is shown this flag.</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BR-SF-03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excluded from pipeline (scope_status = excluded)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Prompt SF-7 (Employee Baselines) filters out Excluded employees before generating baselines. No baseline is created for Excluded employees.</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BR-SF-04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existing_skills_seed uploaded by client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Seeds are preserved in the taxonomy where they align. source = 'seeded' or 'merged'. Seeds are never deleted or overridden by the pipeline without a conflict flag requiring human resolution.</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BR-SF-05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 values not configured in OrgSetup</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Prompt SF-5 (Competency Generation) derives values from strategic_priorities and culture_definition with a confidence reduction. Outputs labelled 'Values inferred — review recommended'.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BR-SF-06</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Transformation Dial set to -4 or -5 for a domain</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Prompt SF-4 MUST NOT generate skills for that domain. The domain appears in the framework with a 'Deprioritised' tag visible to Tier 1 reviewers.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Item</w:t>
            </w:r>
          </w:p>
        </w:tc>
        <w:tc>
          <w:tcPr>
            <w:tcW w:type="dxa" w:w="32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Input / Trigger</w:t>
            </w:r>
          </w:p>
        </w:tc>
        <w:tc>
          <w:tcPr>
            <w:tcW w:type="dxa" w:w="408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Output / System Response</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Pipeline trigger</w:t>
            </w:r>
          </w:p>
        </w:tc>
        <w:tc>
          <w:tcPr>
            <w:tcW w:type="dxa" w:w="3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Admin clicks 'Generate Framework'</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Async job created in BullMQ. Real-time progress bar activates showing prompts 1–7. Each prompt shows: Running / Complete / Failed.</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Prompt 1 complete</w:t>
            </w:r>
          </w:p>
        </w:tc>
        <w:tc>
          <w:tcPr>
            <w:tcW w:type="dxa" w:w="32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Structured org_profile JSON returned</w:t>
            </w:r>
          </w:p>
        </w:tc>
        <w:tc>
          <w:tcPr>
            <w:tcW w:type="dxa" w:w="40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Context chain initialised. Prompt 2 queued with Prompt 1 output as context.</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All 7 prompts complete</w:t>
            </w:r>
          </w:p>
        </w:tc>
        <w:tc>
          <w:tcPr>
            <w:tcW w:type="dxa" w:w="3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framework JSON in database</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Tier 1 review notification sent to Admin. Dashboard shows: skills count, competency count, employee baseline coverage percentage.</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Single prompt fails (retry 1)</w:t>
            </w:r>
          </w:p>
        </w:tc>
        <w:tc>
          <w:tcPr>
            <w:tcW w:type="dxa" w:w="32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API timeout or non-JSON response</w:t>
            </w:r>
          </w:p>
        </w:tc>
        <w:tc>
          <w:tcPr>
            <w:tcW w:type="dxa" w:w="40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Auto-retry after 2 seconds. No user notification on first retry.</w:t>
            </w:r>
          </w:p>
        </w:tc>
      </w:tr>
      <w:tr>
        <w:tc>
          <w:tcPr>
            <w:tcW w:type="dxa" w:w="20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Single prompt fails (retry 3)</w:t>
            </w:r>
          </w:p>
        </w:tc>
        <w:tc>
          <w:tcPr>
            <w:tcW w:type="dxa" w:w="32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API timeout or non-JSON response after 3 retries</w:t>
            </w:r>
          </w:p>
        </w:tc>
        <w:tc>
          <w:tcPr>
            <w:tcW w:type="dxa" w:w="408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Pipeline pauses. HR Admin notified with prompt ID. Resume capability enabled from the failed prompt.</w:t>
            </w:r>
          </w:p>
        </w:tc>
      </w:tr>
      <w:tr>
        <w:tc>
          <w:tcPr>
            <w:tcW w:type="dxa" w:w="2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Full pipeline complete — baselines generated</w:t>
            </w:r>
          </w:p>
        </w:tc>
        <w:tc>
          <w:tcPr>
            <w:tcW w:type="dxa" w:w="32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SF-7 output</w:t>
            </w:r>
          </w:p>
        </w:tc>
        <w:tc>
          <w:tcPr>
            <w:tcW w:type="dxa" w:w="408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employee baselines populated with data_source = 'ai_estimated' and is_modified = false. Skill Passports updated with 'AI Estimated' provenance badges.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5. M4 — ApprovalHub: 3-Tier Governance Workflow</w:t>
      </w:r>
    </w:p>
    <w:p>
      <w:pPr>
        <w:spacing w:before="0" w:after="100"/>
      </w:pPr>
      <w:r>
        <w:rPr>
          <w:rFonts w:ascii="Calibri" w:cs="Calibri" w:eastAsia="Calibri" w:hAnsi="Calibri"/>
          <w:b w:val="false"/>
          <w:bCs w:val="false"/>
          <w:i w:val="false"/>
          <w:iCs w:val="false"/>
          <w:color w:val="374151"/>
          <w:sz w:val="22"/>
          <w:szCs w:val="22"/>
        </w:rPr>
        <w:t xml:space="preserve">ApprovalHub manages the structured human review of all AI-generated framework content before it is published as the FrameworkBible. It is a 3-tier sequential workflow with defined roles, edit capabilities, notification requirements, and version control at each tier.</w:t>
      </w:r>
    </w:p>
    <w:p>
      <w:pPr>
        <w:spacing w:before="0" w:after="80"/>
      </w:pPr>
    </w:p>
    <w:p>
      <w:pPr>
        <w:pStyle w:val="Heading2"/>
        <w:spacing w:before="280" w:after="100"/>
      </w:pPr>
      <w:r>
        <w:rPr>
          <w:rFonts w:ascii="Georgia" w:cs="Georgia" w:eastAsia="Georgia" w:hAnsi="Georgia"/>
          <w:b/>
          <w:bCs/>
          <w:color w:val="1E40AF"/>
          <w:sz w:val="28"/>
          <w:szCs w:val="28"/>
        </w:rPr>
        <w:t xml:space="preserve">5.1 Workflow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FR-AH-001  </w:t>
            </w:r>
            <w:r>
              <w:rPr>
                <w:rFonts w:ascii="Calibri" w:cs="Calibri" w:eastAsia="Calibri" w:hAnsi="Calibri"/>
                <w:b/>
                <w:bCs/>
                <w:color w:val="0F172A"/>
                <w:sz w:val="21"/>
                <w:szCs w:val="21"/>
              </w:rPr>
              <w:t xml:space="preserve">Tier progression is strictly sequential</w:t>
            </w:r>
          </w:p>
          <w:p>
            <w:pPr>
              <w:spacing w:before="0" w:after="0"/>
            </w:pPr>
            <w:r>
              <w:rPr>
                <w:rFonts w:ascii="Calibri" w:cs="Calibri" w:eastAsia="Calibri" w:hAnsi="Calibri"/>
                <w:color w:val="374151"/>
                <w:sz w:val="20"/>
                <w:szCs w:val="20"/>
              </w:rPr>
              <w:t xml:space="preserve">The approval workflow MUST follow the sequence: AI Generation Complete → Tier 1 (Admin) → Tier 2 (Dept Heads) → Tier 3 (HR Head) → Published. No tier may be skipped. Tier 2 cannot begin reviewing until Tier 1 has submitted. Tier 3 cannot publish until all configured Dept Heads at Tier 2 have submitted their department scope. Partial Tier 2 completion (some Dept Heads submitted, some pending) MUST be visible to Tier 3 in a department-by-department status view.</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FR-AH-002  </w:t>
            </w:r>
            <w:r>
              <w:rPr>
                <w:rFonts w:ascii="Calibri" w:cs="Calibri" w:eastAsia="Calibri" w:hAnsi="Calibri"/>
                <w:b/>
                <w:bCs/>
                <w:color w:val="0F172A"/>
                <w:sz w:val="21"/>
                <w:szCs w:val="21"/>
              </w:rPr>
              <w:t xml:space="preserve">Edit at any tier sets is_modified = true</w:t>
            </w:r>
          </w:p>
          <w:p>
            <w:pPr>
              <w:spacing w:before="0" w:after="0"/>
            </w:pPr>
            <w:r>
              <w:rPr>
                <w:rFonts w:ascii="Calibri" w:cs="Calibri" w:eastAsia="Calibri" w:hAnsi="Calibri"/>
                <w:color w:val="374151"/>
                <w:sz w:val="20"/>
                <w:szCs w:val="20"/>
              </w:rPr>
              <w:t xml:space="preserve">When any reviewer at any tier edits a generated skill, competency, proficiency descriptor, or role-skill mapping: the is_modified flag on that specific record MUST be set to true immediately. The audit trail MUST capture: which user edited, which field, the value before edit, and the value after edit. This flag persists across all subsequent pipeline re-runs.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FR-AH-003  </w:t>
            </w:r>
            <w:r>
              <w:rPr>
                <w:rFonts w:ascii="Calibri" w:cs="Calibri" w:eastAsia="Calibri" w:hAnsi="Calibri"/>
                <w:b/>
                <w:bCs/>
                <w:color w:val="0F172A"/>
                <w:sz w:val="21"/>
                <w:szCs w:val="21"/>
              </w:rPr>
              <w:t xml:space="preserve">Flag-to-tier mechanism</w:t>
            </w:r>
          </w:p>
          <w:p>
            <w:pPr>
              <w:spacing w:before="0" w:after="0"/>
            </w:pPr>
            <w:r>
              <w:rPr>
                <w:rFonts w:ascii="Calibri" w:cs="Calibri" w:eastAsia="Calibri" w:hAnsi="Calibri"/>
                <w:color w:val="374151"/>
                <w:sz w:val="20"/>
                <w:szCs w:val="20"/>
              </w:rPr>
              <w:t xml:space="preserve">At Tier 1, the Admin MUST be able to flag any item for Tier 2 or Tier 3 attention with a mandatory explanatory note. Flagged items appear highlighted in the next tier's review queue. The next tier reviewer MUST explicitly resolve each flag — either accepting the Tier 1 note or editing the item — before they can submit. A flag cannot be silently dismissed.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BR-AH-01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Tier 1 submits with unresolved validation warnings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MUST allow submission but display a warning count. Unresolved items appear at the top of the Tier 2 queue with a 'Submitted with warnings' badge.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BR-AH-02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Tier 2 Dept Head has not submitted after 14 days</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Stall alert sent to the Dept Head and to HR Head. HR Head may escalate or grant a 7-day extension. If still not submitted after 21 days total, HR Head may manually advance the workflow with an override reason logged.</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BR-AH-03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Super Admin edits FrameworkBible post-publish</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Re-approval workflow triggered automatically. Framework status reverts to 'pending_re_approval'. A new version is created (Version N+1). All downstream features continue using the last published version (Version N) until Version N+1 is published. This is a hard requirement — there must never be a state where no published version exists.</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BR-AH-04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Tier 3 HR Head publishes</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FrameworkBible Version 1.0 locked. approval_status = 'published'. L2 gate technically unlocked — the API endpoint for L2 features begins returning 200 instead of 403. All managers notified. SkillForge pipeline cannot overwrite any published field where is_modified = true.</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BR-AH-05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SkillForge re-run after publish with modified records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AI-generated revised suggestions shown in a comparison panel alongside the human-approved version. HR Admin must explicitly accept or reject each AI suggestion for modified records. Bulk accept/reject available for unmodified records.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6. M10 — AssessEngine and Skills Matrix</w:t>
      </w:r>
    </w:p>
    <w:p>
      <w:pPr>
        <w:spacing w:before="0" w:after="100"/>
      </w:pPr>
      <w:r>
        <w:rPr>
          <w:rFonts w:ascii="Calibri" w:cs="Calibri" w:eastAsia="Calibri" w:hAnsi="Calibri"/>
          <w:b w:val="false"/>
          <w:bCs w:val="false"/>
          <w:i w:val="false"/>
          <w:iCs w:val="false"/>
          <w:color w:val="374151"/>
          <w:sz w:val="22"/>
          <w:szCs w:val="22"/>
        </w:rPr>
        <w:t xml:space="preserve">AssessEngine handles the full lifecycle of skill and competency assessment — from cycle creation and population targeting through to response collection, scoring, and validated proficiency output. The Skills Matrix is the interactive rating grid through which manager and self-assessment data is collected.</w:t>
      </w:r>
    </w:p>
    <w:p>
      <w:pPr>
        <w:spacing w:before="0" w:after="80"/>
      </w:pPr>
    </w:p>
    <w:p>
      <w:pPr>
        <w:pStyle w:val="Heading2"/>
        <w:spacing w:before="280" w:after="100"/>
      </w:pPr>
      <w:r>
        <w:rPr>
          <w:rFonts w:ascii="Georgia" w:cs="Georgia" w:eastAsia="Georgia" w:hAnsi="Georgia"/>
          <w:b/>
          <w:bCs/>
          <w:color w:val="1E40AF"/>
          <w:sz w:val="28"/>
          <w:szCs w:val="28"/>
        </w:rPr>
        <w:t xml:space="preserve">6.1 Assessment Cycle — Population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FR-AE-001  </w:t>
            </w:r>
            <w:r>
              <w:rPr>
                <w:rFonts w:ascii="Calibri" w:cs="Calibri" w:eastAsia="Calibri" w:hAnsi="Calibri"/>
                <w:b/>
                <w:bCs/>
                <w:color w:val="0F172A"/>
                <w:sz w:val="21"/>
                <w:szCs w:val="21"/>
              </w:rPr>
              <w:t xml:space="preserve">Population resolution is locked at dispatch</w:t>
            </w:r>
          </w:p>
          <w:p>
            <w:pPr>
              <w:spacing w:before="0" w:after="0"/>
            </w:pPr>
            <w:r>
              <w:rPr>
                <w:rFonts w:ascii="Calibri" w:cs="Calibri" w:eastAsia="Calibri" w:hAnsi="Calibri"/>
                <w:color w:val="374151"/>
                <w:sz w:val="20"/>
                <w:szCs w:val="20"/>
              </w:rPr>
              <w:t xml:space="preserve">When an assessment cycle is dispatched, the system MUST resolve the target population into a concrete list of employee IDs and store this list in the resolved_employee_ids field. This list is immutable after dispatch. If an employee is added to the platform after dispatch, they are NOT added to this cycle. If an employee changes department after dispatch, their previous assignment to this cycle is preserved. Completion rates and reminders are calculated against the resolved_employee_ids list — not the live population.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FR-AE-002  </w:t>
            </w:r>
            <w:r>
              <w:rPr>
                <w:rFonts w:ascii="Calibri" w:cs="Calibri" w:eastAsia="Calibri" w:hAnsi="Calibri"/>
                <w:b/>
                <w:bCs/>
                <w:color w:val="0F172A"/>
                <w:sz w:val="21"/>
                <w:szCs w:val="21"/>
              </w:rPr>
              <w:t xml:space="preserve">Exclusion rules are applied before resolution</w:t>
            </w:r>
          </w:p>
          <w:p>
            <w:pPr>
              <w:spacing w:before="0" w:after="0"/>
            </w:pPr>
            <w:r>
              <w:rPr>
                <w:rFonts w:ascii="Calibri" w:cs="Calibri" w:eastAsia="Calibri" w:hAnsi="Calibri"/>
                <w:color w:val="374151"/>
                <w:sz w:val="20"/>
                <w:szCs w:val="20"/>
              </w:rPr>
              <w:t xml:space="preserve">Before resolving the final employee list, the system MUST apply all configured exclusion rules in order: employees with scope_status = 'excluded' are removed first, then employees meeting any cycle-specific exclusion criteria (on leave, in notice period, below minimum tenure threshold, manually excluded). The preview count shown before dispatch must reflect these exclusions.</w:t>
            </w:r>
          </w:p>
        </w:tc>
      </w:tr>
    </w:tbl>
    <w:p>
      <w:pPr>
        <w:spacing w:before="0" w:after="80"/>
      </w:pPr>
    </w:p>
    <w:p>
      <w:pPr>
        <w:pStyle w:val="Heading2"/>
        <w:spacing w:before="280" w:after="100"/>
      </w:pPr>
      <w:r>
        <w:rPr>
          <w:rFonts w:ascii="Georgia" w:cs="Georgia" w:eastAsia="Georgia" w:hAnsi="Georgia"/>
          <w:b/>
          <w:bCs/>
          <w:color w:val="1E40AF"/>
          <w:sz w:val="28"/>
          <w:szCs w:val="28"/>
        </w:rPr>
        <w:t xml:space="preserve">6.2 Assessment Response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FR-AE-003  </w:t>
            </w:r>
            <w:r>
              <w:rPr>
                <w:rFonts w:ascii="Calibri" w:cs="Calibri" w:eastAsia="Calibri" w:hAnsi="Calibri"/>
                <w:b/>
                <w:bCs/>
                <w:color w:val="0F172A"/>
                <w:sz w:val="21"/>
                <w:szCs w:val="21"/>
              </w:rPr>
              <w:t xml:space="preserve">Auto-save every 60 seconds</w:t>
            </w:r>
          </w:p>
          <w:p>
            <w:pPr>
              <w:spacing w:before="0" w:after="0"/>
            </w:pPr>
            <w:r>
              <w:rPr>
                <w:rFonts w:ascii="Calibri" w:cs="Calibri" w:eastAsia="Calibri" w:hAnsi="Calibri"/>
                <w:color w:val="374151"/>
                <w:sz w:val="20"/>
                <w:szCs w:val="20"/>
              </w:rPr>
              <w:t xml:space="preserve">For all assessment types, the system MUST auto-save partial responses every 60 seconds while a respondent has the assessment open. The respondent must be able to close their browser and return to their saved progress via the portal or the original email link. The auto-save must not interfere with any timer on timed assessments — it runs independently of the countdown.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FR-AE-004  </w:t>
            </w:r>
            <w:r>
              <w:rPr>
                <w:rFonts w:ascii="Calibri" w:cs="Calibri" w:eastAsia="Calibri" w:hAnsi="Calibri"/>
                <w:b/>
                <w:bCs/>
                <w:color w:val="0F172A"/>
                <w:sz w:val="21"/>
                <w:szCs w:val="21"/>
              </w:rPr>
              <w:t xml:space="preserve">8-status tracking is real-time</w:t>
            </w:r>
          </w:p>
          <w:p>
            <w:pPr>
              <w:spacing w:before="0" w:after="0"/>
            </w:pPr>
            <w:r>
              <w:rPr>
                <w:rFonts w:ascii="Calibri" w:cs="Calibri" w:eastAsia="Calibri" w:hAnsi="Calibri"/>
                <w:color w:val="374151"/>
                <w:sz w:val="20"/>
                <w:szCs w:val="20"/>
              </w:rPr>
              <w:t xml:space="preserve">Every respondent's status in the tracking dashboard MUST update in real time as actions occur. Status transitions: Not Started → Link Opened (on email link click or portal page visit) → In Progress (on first response submitted) → Partial Saved (on save-and-exit) → Submitted (on final submission) → Complete (after scoring engine processes). Overdue status applies at midnight on the deadline date. Opted Out requires an explicit HR Admin action with a mandatory reason.</w:t>
            </w:r>
          </w:p>
        </w:tc>
      </w:tr>
    </w:tbl>
    <w:p>
      <w:pPr>
        <w:spacing w:before="0" w:after="80"/>
      </w:pPr>
    </w:p>
    <w:p>
      <w:pPr>
        <w:pStyle w:val="Heading2"/>
        <w:spacing w:before="280" w:after="100"/>
      </w:pPr>
      <w:r>
        <w:rPr>
          <w:rFonts w:ascii="Georgia" w:cs="Georgia" w:eastAsia="Georgia" w:hAnsi="Georgia"/>
          <w:b/>
          <w:bCs/>
          <w:color w:val="1E40AF"/>
          <w:sz w:val="28"/>
          <w:szCs w:val="28"/>
        </w:rPr>
        <w:t xml:space="preserve">6.3 Skills Matrix Scoring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BR-AE-01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Self-rating = Manager rating (exact match)</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Validated proficiency = agreed level. data_source = 'triple_validated' if also confirmed by test score. Confidence = high.</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BR-AE-02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Self-rating differs from Manager rating by 1 level</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Weighted average applied: Manager rating × 0.6 + Self rating × 0.4 (configurable weights). Result rounded to nearest integer. perception_gap value stored.</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BR-AE-03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Self-rating differs from Manager rating by ≥ 2 levels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Flagged as significant perception gap. HR Admin and HRBP notified. A calibration conversation is recommended. Neither rating is auto-resolved — both stored. The gap appears in the Perception Gap dashboard.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BR-AE-04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Manager-only mode (no self-rating)</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rating becomes validated proficiency directly. data_source = 'manager_assessed'. Confidence = medium.</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BR-AE-05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Knowledge test score available</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If knowledge test score ≥ 75% on the relevant skill's test: proficiency validated at the tested level. data_source = 'test_validated'. If both manager rating and test confirm same level: data_source = 'triple_validated'.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BR-AE-06</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 assessment data for an employee-skill pair</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AI-estimated baseline used with label 'No assessment data — AI estimate only'. Performance and Discovery multipliers MUST NOT be applied to AI-estimated values without confirmed assessment data.</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BR-AE-07</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Proficiency override by HR Admin</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validated_proficiency updated. is_override = true. override_reason is mandatory. Audit trail captures: previous value, new value, reason, user, timestamp.</w:t>
            </w:r>
          </w:p>
        </w:tc>
      </w:tr>
    </w:tbl>
    <w:p>
      <w:pPr>
        <w:pStyle w:val="Heading2"/>
        <w:spacing w:before="280" w:after="100"/>
      </w:pPr>
      <w:r>
        <w:rPr>
          <w:rFonts w:ascii="Georgia" w:cs="Georgia" w:eastAsia="Georgia" w:hAnsi="Georgia"/>
          <w:b/>
          <w:bCs/>
          <w:color w:val="1E40AF"/>
          <w:sz w:val="28"/>
          <w:szCs w:val="28"/>
        </w:rPr>
        <w:t xml:space="preserve">6.4 360-Degree Feedback — Anonymity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FR-AE-005  </w:t>
            </w:r>
            <w:r>
              <w:rPr>
                <w:rFonts w:ascii="Calibri" w:cs="Calibri" w:eastAsia="Calibri" w:hAnsi="Calibri"/>
                <w:b/>
                <w:bCs/>
                <w:color w:val="7F1D1D"/>
                <w:sz w:val="21"/>
                <w:szCs w:val="21"/>
              </w:rPr>
              <w:t xml:space="preserve">Anonymity threshold enforcement</w:t>
            </w:r>
          </w:p>
          <w:p>
            <w:pPr>
              <w:spacing w:before="0" w:after="0"/>
            </w:pPr>
            <w:r>
              <w:rPr>
                <w:rFonts w:ascii="Calibri" w:cs="Calibri" w:eastAsia="Calibri" w:hAnsi="Calibri"/>
                <w:color w:val="374151"/>
                <w:sz w:val="20"/>
                <w:szCs w:val="20"/>
              </w:rPr>
              <w:t xml:space="preserve">For 360-degree feedback cycles, the system MUST suppress individual rater results from any view if the rater category has fewer than 3 respondents for that ratee. For example, if only 2 peers responded, peer ratings are not shown individually — only the aggregate is shown, and only if the aggregate pool is 3 or more. The ratee sees their aggregate score per competency — they MUST NOT be able to identify which rater gave which score.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FR-AE-006  </w:t>
            </w:r>
            <w:r>
              <w:rPr>
                <w:rFonts w:ascii="Calibri" w:cs="Calibri" w:eastAsia="Calibri" w:hAnsi="Calibri"/>
                <w:b/>
                <w:bCs/>
                <w:color w:val="0F172A"/>
                <w:sz w:val="21"/>
                <w:szCs w:val="21"/>
              </w:rPr>
              <w:t xml:space="preserve">Rater replacement protocol</w:t>
            </w:r>
          </w:p>
          <w:p>
            <w:pPr>
              <w:spacing w:before="0" w:after="0"/>
            </w:pPr>
            <w:r>
              <w:rPr>
                <w:rFonts w:ascii="Calibri" w:cs="Calibri" w:eastAsia="Calibri" w:hAnsi="Calibri"/>
                <w:color w:val="374151"/>
                <w:sz w:val="20"/>
                <w:szCs w:val="20"/>
              </w:rPr>
              <w:t xml:space="preserve">If a nominated rater declines or does not respond after 2 reminders, the system MUST notify the HR Admin and allow them to replace that rater. Replacement is only permitted if the cycle has not yet closed. The new rater receives a notification with the remaining deadline. The original rater's partial progress (if any) is discarded — it is not transferred to the replacement.</w:t>
            </w:r>
          </w:p>
        </w:tc>
      </w:tr>
    </w:tbl>
    <w:p>
      <w:pPr>
        <w:spacing w:before="0" w:after="8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7. LNA, TNA, LNI, TNI — Needs Analysis Engine</w:t>
      </w:r>
    </w:p>
    <w:p>
      <w:pPr>
        <w:spacing w:before="0" w:after="100"/>
      </w:pPr>
      <w:r>
        <w:rPr>
          <w:rFonts w:ascii="Calibri" w:cs="Calibri" w:eastAsia="Calibri" w:hAnsi="Calibri"/>
          <w:b w:val="false"/>
          <w:bCs w:val="false"/>
          <w:i w:val="false"/>
          <w:iCs w:val="false"/>
          <w:color w:val="374151"/>
          <w:sz w:val="22"/>
          <w:szCs w:val="22"/>
        </w:rPr>
        <w:t xml:space="preserve">The LNA/TNA engine converts validated assessment data into a prioritised, weighted learning needs analysis. The LNI/TNI engine converts the LNA into individual and team development briefs. This is the analytical core of the platform and the primary reason organisations upgrade from L1 to L2.</w:t>
      </w:r>
    </w:p>
    <w:p>
      <w:pPr>
        <w:spacing w:before="0" w:after="80"/>
      </w:pPr>
    </w:p>
    <w:p>
      <w:pPr>
        <w:pStyle w:val="Heading2"/>
        <w:spacing w:before="280" w:after="100"/>
      </w:pPr>
      <w:r>
        <w:rPr>
          <w:rFonts w:ascii="Georgia" w:cs="Georgia" w:eastAsia="Georgia" w:hAnsi="Georgia"/>
          <w:b/>
          <w:bCs/>
          <w:color w:val="1E40AF"/>
          <w:sz w:val="28"/>
          <w:szCs w:val="28"/>
        </w:rPr>
        <w:t xml:space="preserve">7.1 Weighted Gap Score — Calculation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FR-LN-001  </w:t>
            </w:r>
            <w:r>
              <w:rPr>
                <w:rFonts w:ascii="Calibri" w:cs="Calibri" w:eastAsia="Calibri" w:hAnsi="Calibri"/>
                <w:b/>
                <w:bCs/>
                <w:color w:val="0F172A"/>
                <w:sz w:val="21"/>
                <w:szCs w:val="21"/>
              </w:rPr>
              <w:t xml:space="preserve">Gap score formula is precise and mandatory</w:t>
            </w:r>
          </w:p>
          <w:p>
            <w:pPr>
              <w:spacing w:before="0" w:after="0"/>
            </w:pPr>
            <w:r>
              <w:rPr>
                <w:rFonts w:ascii="Calibri" w:cs="Calibri" w:eastAsia="Calibri" w:hAnsi="Calibri"/>
                <w:color w:val="374151"/>
                <w:sz w:val="20"/>
                <w:szCs w:val="20"/>
              </w:rPr>
              <w:t xml:space="preserve">The weighted gap score for every employee-skill pair MUST be calculated as: Raw Gap × Criticality Multiplier × Transformation Dial Multiplier × Project Timeline Urgency Multiplier × Performance Correlation Multiplier × Employee Discovery Multiplier. Raw Gap = Required Proficiency Level minus Current Validated Proficiency Level. If the current proficiency equals or exceeds the required proficiency, Raw Gap = 0 and Weighted Gap Score = 0 regardless of multiplier values.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Multiplier</w:t>
            </w:r>
          </w:p>
        </w:tc>
        <w:tc>
          <w:tcPr>
            <w:tcW w:type="dxa" w:w="25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Values</w:t>
            </w:r>
          </w:p>
        </w:tc>
        <w:tc>
          <w:tcPr>
            <w:tcW w:type="dxa" w:w="4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Source and Rule</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Skill Criticality</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C1=2.0x · C2=1.5x · C3=1.0x · C4=0.5x</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in OrgSetup by HR Head. Applied to all gaps on that skill regardless of employee. Cannot be overridden at the individual employee level.</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Transformation Dial</w:t>
            </w:r>
          </w:p>
        </w:tc>
        <w:tc>
          <w:tcPr>
            <w:tcW w:type="dxa" w:w="2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+5=2.0x · +3=1.5x · 0=1.0x · −3=0.5x · −5=0.1x. Linear interpolation between values.</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Set in OrgSetup. Applied per skill domain. Dial changes trigger full LNA recalculation.</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Project Timeline Urgency</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&lt;4wk=2.0x · 4–12wk=1.5x · 3–6mo=1.2x · 6mo+=1.0x · No project=1.0x</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Applied only where an active project explicitly requires this skill with a confirmed delivery date. Must be a confirmed project — not a planned one.</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Performance Correlation</w:t>
            </w:r>
          </w:p>
        </w:tc>
        <w:tc>
          <w:tcPr>
            <w:tcW w:type="dxa" w:w="25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Active PIP=1.8x · Performance risk=1.4x · No signal=1.0x</w:t>
            </w:r>
          </w:p>
        </w:tc>
        <w:tc>
          <w:tcPr>
            <w:tcW w:type="dxa" w:w="4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REQUIRES human confirmation before applying. If human_confirmed = false: multiplier = 1.0 regardless of the performance signal. Multiplier breakdown is HR Head access only.</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Employee Discovery Input</w:t>
            </w:r>
          </w:p>
        </w:tc>
        <w:tc>
          <w:tcPr>
            <w:tcW w:type="dxa" w:w="25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High declared=1.3x · Medium=1.1x · Not declared=1.0x</w:t>
            </w:r>
          </w:p>
        </w:tc>
        <w:tc>
          <w:tcPr>
            <w:tcW w:type="dxa" w:w="4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From Category F qualitative capture — the employee's own declaration of learning priority in a 1:1 or focus group session. Captured by L&amp;D Manager — not self-entered by the employee.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BR-LN-01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Weighted gap score = 0 (no gap)</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 does not appear in the LNA output for this employee. It appears in the Skills Matrix as 'Met — no gap' with a green indicator.</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BR-LN-02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AI-estimated baseline with no validated assessment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Gap score calculated using the AI estimate with a 'directional' confidence label. Performance and Discovery multipliers cannot be applied. The gap is shown with a 'Low data confidence' badge.</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BR-LN-03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Performance multiplier not yet confirmed by human</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surfaces a classification suggestion to the L&amp;D Manager in the LNA review screen. The suggestion is advisory only. The multiplier remains 1.0 until confirmed. The system MUST NOT apply the performance multiplier silently.</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BR-LN-04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LNA output visible to Manager</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sees: weighted score (number), intervention type, priority rank for their direct reports. Manager MUST NOT see: the performance multiplier breakdown, individual wellbeing data, raw assessment responses of others.</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BR-LN-05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LNA output visible to HR Head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 sees: full weighted score, all multiplier values including performance correlation, full LNA for all employees, organisation-wide gap heat map.</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BR-LN-06</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Transformation Dial changes post-LNA</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Full LNA recalculation triggered automatically. Previous LNA version archived with the dial settings that produced it. All LNI records marked as 'Pending refresh'.</w:t>
            </w:r>
          </w:p>
        </w:tc>
      </w:tr>
    </w:tbl>
    <w:p>
      <w:pPr>
        <w:spacing w:before="0" w:after="80"/>
      </w:pPr>
    </w:p>
    <w:p>
      <w:pPr>
        <w:pStyle w:val="Heading2"/>
        <w:spacing w:before="280" w:after="100"/>
      </w:pPr>
      <w:r>
        <w:rPr>
          <w:rFonts w:ascii="Georgia" w:cs="Georgia" w:eastAsia="Georgia" w:hAnsi="Georgia"/>
          <w:b/>
          <w:bCs/>
          <w:color w:val="1E40AF"/>
          <w:sz w:val="28"/>
          <w:szCs w:val="28"/>
        </w:rPr>
        <w:t xml:space="preserve">7.2 LNI — Individual Learning Needs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FR-LI-001  </w:t>
            </w:r>
            <w:r>
              <w:rPr>
                <w:rFonts w:ascii="Calibri" w:cs="Calibri" w:eastAsia="Calibri" w:hAnsi="Calibri"/>
                <w:b/>
                <w:bCs/>
                <w:color w:val="0F172A"/>
                <w:sz w:val="21"/>
                <w:szCs w:val="21"/>
              </w:rPr>
              <w:t xml:space="preserve">LNI is generated for every Active Participant within 24 hours of cycle close</w:t>
            </w:r>
          </w:p>
          <w:p>
            <w:pPr>
              <w:spacing w:before="0" w:after="0"/>
            </w:pPr>
            <w:r>
              <w:rPr>
                <w:rFonts w:ascii="Calibri" w:cs="Calibri" w:eastAsia="Calibri" w:hAnsi="Calibri"/>
                <w:color w:val="374151"/>
                <w:sz w:val="20"/>
                <w:szCs w:val="20"/>
              </w:rPr>
              <w:t xml:space="preserve">When an assessment cycle closes, the system MUST generate a complete LNI for every employee with scope_status = 'active_participant' who was in the resolved_employee_ids of that cycle. Generation MUST complete within 24 hours of the cycle close event. The LNI MUST contain all 8 mandatory components: (1) who the employee is, (2) validated gaps, (3) intervention type per gap, (4) recommended sequence, (5) aspiration vs role priority weighting, (6) experience gaps from CV/resume intelligence, (7) development timeline adjusted for fte_ratio and wellbeing capacity, and (8) success indicators.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FR-LI-002  </w:t>
            </w:r>
            <w:r>
              <w:rPr>
                <w:rFonts w:ascii="Calibri" w:cs="Calibri" w:eastAsia="Calibri" w:hAnsi="Calibri"/>
                <w:b/>
                <w:bCs/>
                <w:color w:val="0F172A"/>
                <w:sz w:val="21"/>
                <w:szCs w:val="21"/>
              </w:rPr>
              <w:t xml:space="preserve">LNI is living — refreshed on data change</w:t>
            </w:r>
          </w:p>
          <w:p>
            <w:pPr>
              <w:spacing w:before="0" w:after="0"/>
            </w:pPr>
            <w:r>
              <w:rPr>
                <w:rFonts w:ascii="Calibri" w:cs="Calibri" w:eastAsia="Calibri" w:hAnsi="Calibri"/>
                <w:color w:val="374151"/>
                <w:sz w:val="20"/>
                <w:szCs w:val="20"/>
              </w:rPr>
              <w:t xml:space="preserve">The LNI MUST update automatically when any of the following occur: new assessment data becomes available for this employee, a discovery session adds a new declared need, the Transformation Dial changes for relevant skill domains, the employee's wellbeing_capacity_level changes, the employee's career aspiration is updated, or the employee's role changes via an internal transfer lifecycle event. Every LNI carries a 'Last updated' timestamp and a 'What changed' note when it refreshes.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FR-LI-003  </w:t>
            </w:r>
            <w:r>
              <w:rPr>
                <w:rFonts w:ascii="Calibri" w:cs="Calibri" w:eastAsia="Calibri" w:hAnsi="Calibri"/>
                <w:b/>
                <w:bCs/>
                <w:color w:val="0F172A"/>
                <w:sz w:val="21"/>
                <w:szCs w:val="21"/>
              </w:rPr>
              <w:t xml:space="preserve">LNI development timeline respects fte_ratio and wellbeing capacity</w:t>
            </w:r>
          </w:p>
          <w:p>
            <w:pPr>
              <w:spacing w:before="0" w:after="0"/>
            </w:pPr>
            <w:r>
              <w:rPr>
                <w:rFonts w:ascii="Calibri" w:cs="Calibri" w:eastAsia="Calibri" w:hAnsi="Calibri"/>
                <w:color w:val="374151"/>
                <w:sz w:val="20"/>
                <w:szCs w:val="20"/>
              </w:rPr>
              <w:t xml:space="preserve">The system MUST calculate the development timeline using the employee's actual fte_ratio. A 40-hour learning path for a 0.5 FTE employee MUST be flagged as unsuitable and rebalanced to match their actual working capacity. If the employee's wellbeing_capacity_level = 'reduced', the recommended weekly learning hours MUST be reduced by 30%. If wellbeing_capacity_level = 'conservative', weekly hours MUST be reduced by 50%. The timeline adjustment MUST be visible in the IDP and LNI — the raw score driving the adjustment MUST NOT be shown.</w:t>
            </w:r>
          </w:p>
        </w:tc>
      </w:tr>
    </w:tbl>
    <w:p>
      <w:pPr>
        <w:spacing w:before="0" w:after="8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8. M6 — InsightBoard and AI Conversational Interface</w:t>
      </w:r>
    </w:p>
    <w:p>
      <w:pPr>
        <w:spacing w:before="0" w:after="100"/>
      </w:pPr>
      <w:r>
        <w:rPr>
          <w:rFonts w:ascii="Calibri" w:cs="Calibri" w:eastAsia="Calibri" w:hAnsi="Calibri"/>
          <w:b w:val="false"/>
          <w:bCs w:val="false"/>
          <w:i w:val="false"/>
          <w:iCs w:val="false"/>
          <w:color w:val="374151"/>
          <w:sz w:val="22"/>
          <w:szCs w:val="22"/>
        </w:rPr>
        <w:t xml:space="preserve">InsightBoard is the platform's primary intelligence surface. It serves 5 distinct HR personas, each with a different dashboard configuration, data scope, and analytical lens. The AI Conversational Interface is embedded in every widget and operates within strict data boundary and RBAC constraints.</w:t>
      </w:r>
    </w:p>
    <w:p>
      <w:pPr>
        <w:spacing w:before="0" w:after="80"/>
      </w:pPr>
    </w:p>
    <w:p>
      <w:pPr>
        <w:pStyle w:val="Heading2"/>
        <w:spacing w:before="280" w:after="100"/>
      </w:pPr>
      <w:r>
        <w:rPr>
          <w:rFonts w:ascii="Georgia" w:cs="Georgia" w:eastAsia="Georgia" w:hAnsi="Georgia"/>
          <w:b/>
          <w:bCs/>
          <w:color w:val="1E40AF"/>
          <w:sz w:val="28"/>
          <w:szCs w:val="28"/>
        </w:rPr>
        <w:t xml:space="preserve">8.1 Persona Dashboard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FR-IB-001  </w:t>
            </w:r>
            <w:r>
              <w:rPr>
                <w:rFonts w:ascii="Calibri" w:cs="Calibri" w:eastAsia="Calibri" w:hAnsi="Calibri"/>
                <w:b/>
                <w:bCs/>
                <w:color w:val="7F1D1D"/>
                <w:sz w:val="21"/>
                <w:szCs w:val="21"/>
              </w:rPr>
              <w:t xml:space="preserve">Data scope is enforced at the query layer — not the UI</w:t>
            </w:r>
          </w:p>
          <w:p>
            <w:pPr>
              <w:spacing w:before="0" w:after="0"/>
            </w:pPr>
            <w:r>
              <w:rPr>
                <w:rFonts w:ascii="Calibri" w:cs="Calibri" w:eastAsia="Calibri" w:hAnsi="Calibri"/>
                <w:color w:val="374151"/>
                <w:sz w:val="20"/>
                <w:szCs w:val="20"/>
              </w:rPr>
              <w:t xml:space="preserve">Each persona dashboard MUST scope its data at the database query layer, not by hiding UI components. A Manager's dashboard that shows 'Team Skills Coverage' MUST query only that manager's direct reports. If the SQL query were executed without the manager_id filter, it MUST still return only scoped data due to the RBAC-aware query construction. A UI component visibility toggle is not an acceptable substitute for query-layer scoping.</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FR-IB-002  </w:t>
            </w:r>
            <w:r>
              <w:rPr>
                <w:rFonts w:ascii="Calibri" w:cs="Calibri" w:eastAsia="Calibri" w:hAnsi="Calibri"/>
                <w:b/>
                <w:bCs/>
                <w:color w:val="0F172A"/>
                <w:sz w:val="21"/>
                <w:szCs w:val="21"/>
              </w:rPr>
              <w:t xml:space="preserve">Dashboard data provenance labels are mandatory</w:t>
            </w:r>
          </w:p>
          <w:p>
            <w:pPr>
              <w:spacing w:before="0" w:after="0"/>
            </w:pPr>
            <w:r>
              <w:rPr>
                <w:rFonts w:ascii="Calibri" w:cs="Calibri" w:eastAsia="Calibri" w:hAnsi="Calibri"/>
                <w:color w:val="374151"/>
                <w:sz w:val="20"/>
                <w:szCs w:val="20"/>
              </w:rPr>
              <w:t xml:space="preserve">Every metric, chart, and data point displayed in InsightBoard MUST show a provenance label. At L1 (pre-assessment): 'AI Estimated'. Post-assessment: 'Manager-assessed', 'Self-assessed', 'Test-validated', 'Triple-validated', or 'Signal-detected'. Mixed provenance (some validated, some estimated) MUST show a breakdown — 'Validated: 68% · AI Estimated: 32%'. A dashboard without provenance labels is a defect.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FR-IB-003  </w:t>
            </w:r>
            <w:r>
              <w:rPr>
                <w:rFonts w:ascii="Calibri" w:cs="Calibri" w:eastAsia="Calibri" w:hAnsi="Calibri"/>
                <w:b/>
                <w:bCs/>
                <w:color w:val="0F172A"/>
                <w:sz w:val="21"/>
                <w:szCs w:val="21"/>
              </w:rPr>
              <w:t xml:space="preserve">InsightBoard page load MUST be under 2 seconds</w:t>
            </w:r>
          </w:p>
          <w:p>
            <w:pPr>
              <w:spacing w:before="0" w:after="0"/>
            </w:pPr>
            <w:r>
              <w:rPr>
                <w:rFonts w:ascii="Calibri" w:cs="Calibri" w:eastAsia="Calibri" w:hAnsi="Calibri"/>
                <w:color w:val="374151"/>
                <w:sz w:val="20"/>
                <w:szCs w:val="20"/>
              </w:rPr>
              <w:t xml:space="preserve">The full InsightBoard dashboard including all 56 charts MUST load within 2 seconds on a standard broadband connection. This MUST be achieved through: pre-aggregated chart data refreshed on a configurable schedule (default: every 4 hours), CDN delivery for all static assets, and read replicas for all analytics queries. The 2-second target is measured from page navigation to all charts being fully rendered — not just the skeleton loading state.</w:t>
            </w:r>
          </w:p>
        </w:tc>
      </w:tr>
    </w:tbl>
    <w:p>
      <w:pPr>
        <w:spacing w:before="0" w:after="80"/>
      </w:pPr>
    </w:p>
    <w:p>
      <w:pPr>
        <w:pStyle w:val="Heading2"/>
        <w:spacing w:before="280" w:after="100"/>
      </w:pPr>
      <w:r>
        <w:rPr>
          <w:rFonts w:ascii="Georgia" w:cs="Georgia" w:eastAsia="Georgia" w:hAnsi="Georgia"/>
          <w:b/>
          <w:bCs/>
          <w:color w:val="1E40AF"/>
          <w:sz w:val="28"/>
          <w:szCs w:val="28"/>
        </w:rPr>
        <w:t xml:space="preserve">8.2 AI Conversational Interface — Functional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FR-IB-004  </w:t>
            </w:r>
            <w:r>
              <w:rPr>
                <w:rFonts w:ascii="Calibri" w:cs="Calibri" w:eastAsia="Calibri" w:hAnsi="Calibri"/>
                <w:b/>
                <w:bCs/>
                <w:color w:val="0F172A"/>
                <w:sz w:val="21"/>
                <w:szCs w:val="21"/>
              </w:rPr>
              <w:t xml:space="preserve">Context payload is widget-scoped and RBAC-filtered</w:t>
            </w:r>
          </w:p>
          <w:p>
            <w:pPr>
              <w:spacing w:before="0" w:after="0"/>
            </w:pPr>
            <w:r>
              <w:rPr>
                <w:rFonts w:ascii="Calibri" w:cs="Calibri" w:eastAsia="Calibri" w:hAnsi="Calibri"/>
                <w:color w:val="374151"/>
                <w:sz w:val="20"/>
                <w:szCs w:val="20"/>
              </w:rPr>
              <w:t xml:space="preserve">When a user opens the AI conversational widget on any InsightBoard chart: the system MUST assemble a context payload containing only: (1) the data currently displayed in that specific widget, (2) the active filters on that widget, (3) the user's role and the data scope that role is authorised to see. The AI MUST NOT receive any data outside this scoped payload. The context payload is assembled server-side — the AI never has access to raw database queries.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FR-IB-005  </w:t>
            </w:r>
            <w:r>
              <w:rPr>
                <w:rFonts w:ascii="Calibri" w:cs="Calibri" w:eastAsia="Calibri" w:hAnsi="Calibri"/>
                <w:b/>
                <w:bCs/>
                <w:color w:val="7F1D1D"/>
                <w:sz w:val="21"/>
                <w:szCs w:val="21"/>
              </w:rPr>
              <w:t xml:space="preserve">Prompt injection attempts MUST be detected and rejected</w:t>
            </w:r>
          </w:p>
          <w:p>
            <w:pPr>
              <w:spacing w:before="0" w:after="0"/>
            </w:pPr>
            <w:r>
              <w:rPr>
                <w:rFonts w:ascii="Calibri" w:cs="Calibri" w:eastAsia="Calibri" w:hAnsi="Calibri"/>
                <w:color w:val="374151"/>
                <w:sz w:val="20"/>
                <w:szCs w:val="20"/>
              </w:rPr>
              <w:t xml:space="preserve">The AI conversational interface MUST detect prompt injection attempts — instructions in user messages designed to override system behaviour ('ignore previous instructions', 'you are now', 'as a developer', 'reveal your system prompt'). On detection: the injected instruction MUST NOT be executed. The system MUST respond with: 'I can only discuss the data shown in this dashboard. How can I help you understand this data?' The injection attempt MUST be logged as a security event in the audit trail with the full prompt text.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BR-IB-01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asks about data outside their RBAC scope</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responds: 'That information isn't available at your access level. Your [appropriate senior role] can access this view.' No data is approximated or estimated from in-scope data.</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BR-IB-02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asks about individual Burnout Risk Score (non-HR Head user)</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responds that this data is not available at the current access level — even if the user is the employee's direct manager. AI MUST NOT confirm or deny whether a score exists.</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BR-IB-03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response references an uncertain data point</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Response includes: 'Note: this figure is AI-estimated — validated data from an assessment cycle would give a more precise answer.' Uncertainty is always surfaced, never hidden.</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BR-IB-04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User saves a conversation thread</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Thread persisted per user per widget. Accessible across sessions. Thread labelled with widget name and save date. Maximum 20 saved threads per user.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BR-IB-05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response exceeds 200 words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Response MUST be truncated to 200 words. Final sentence must be complete — no mid-sentence cut-off. A 'Tell me more' prompt offered if more detail is available.</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9. M8 — SkillPassport: Employee's Living Record</w:t>
      </w:r>
    </w:p>
    <w:p>
      <w:pPr>
        <w:spacing w:before="0" w:after="100"/>
      </w:pPr>
      <w:r>
        <w:rPr>
          <w:rFonts w:ascii="Calibri" w:cs="Calibri" w:eastAsia="Calibri" w:hAnsi="Calibri"/>
          <w:b w:val="false"/>
          <w:bCs w:val="false"/>
          <w:i w:val="false"/>
          <w:iCs w:val="false"/>
          <w:color w:val="374151"/>
          <w:sz w:val="22"/>
          <w:szCs w:val="22"/>
        </w:rPr>
        <w:t xml:space="preserve">The Skill Passport is the employee's personal professional record within the platform. It accumulates data from all modules and levels, belongs to the employee rather than the organisation, and persists after employment ends. Every employee with Active Participant or View Only scope has a Skill Passport.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FR-SP-001  </w:t>
            </w:r>
            <w:r>
              <w:rPr>
                <w:rFonts w:ascii="Calibri" w:cs="Calibri" w:eastAsia="Calibri" w:hAnsi="Calibri"/>
                <w:b/>
                <w:bCs/>
                <w:color w:val="0F172A"/>
                <w:sz w:val="21"/>
                <w:szCs w:val="21"/>
              </w:rPr>
              <w:t xml:space="preserve">Skill Passport auto-created on employee import</w:t>
            </w:r>
          </w:p>
          <w:p>
            <w:pPr>
              <w:spacing w:before="0" w:after="0"/>
            </w:pPr>
            <w:r>
              <w:rPr>
                <w:rFonts w:ascii="Calibri" w:cs="Calibri" w:eastAsia="Calibri" w:hAnsi="Calibri"/>
                <w:color w:val="374151"/>
                <w:sz w:val="20"/>
                <w:szCs w:val="20"/>
              </w:rPr>
              <w:t xml:space="preserve">The system MUST create a Skill Passport record automatically for every employee on first import — whether via Excel, manual entry, or HRIS sync. The Skill Passport creation MUST require zero manual steps from the HR Admin. The passport_id (UUID) is generated at creation time and is immutable for the lifetime of the record including post-employment alumni status.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FR-SP-002  </w:t>
            </w:r>
            <w:r>
              <w:rPr>
                <w:rFonts w:ascii="Calibri" w:cs="Calibri" w:eastAsia="Calibri" w:hAnsi="Calibri"/>
                <w:b/>
                <w:bCs/>
                <w:color w:val="0F172A"/>
                <w:sz w:val="21"/>
                <w:szCs w:val="21"/>
              </w:rPr>
              <w:t xml:space="preserve">Employee controls their own verification settings</w:t>
            </w:r>
          </w:p>
          <w:p>
            <w:pPr>
              <w:spacing w:before="0" w:after="0"/>
            </w:pPr>
            <w:r>
              <w:rPr>
                <w:rFonts w:ascii="Calibri" w:cs="Calibri" w:eastAsia="Calibri" w:hAnsi="Calibri"/>
                <w:color w:val="374151"/>
                <w:sz w:val="20"/>
                <w:szCs w:val="20"/>
              </w:rPr>
              <w:t xml:space="preserve">The employee MUST have full control over their Skill Passport verification settings from the Employee Portal: they may enable or disable verification entirely, select which verification tier to allow (Standard, Deep, or both), and view a log of every verification access event. Disabling verification takes effect immediately — no future verification requests are fulfilled after the employee disables it. Existing verifications already issued are not retroactively invalidated.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FR-SP-003  </w:t>
            </w:r>
            <w:r>
              <w:rPr>
                <w:rFonts w:ascii="Calibri" w:cs="Calibri" w:eastAsia="Calibri" w:hAnsi="Calibri"/>
                <w:b/>
                <w:bCs/>
                <w:color w:val="0F172A"/>
                <w:sz w:val="21"/>
                <w:szCs w:val="21"/>
              </w:rPr>
              <w:t xml:space="preserve">Every verification access notifies the employee</w:t>
            </w:r>
          </w:p>
          <w:p>
            <w:pPr>
              <w:spacing w:before="0" w:after="0"/>
            </w:pPr>
            <w:r>
              <w:rPr>
                <w:rFonts w:ascii="Calibri" w:cs="Calibri" w:eastAsia="Calibri" w:hAnsi="Calibri"/>
                <w:color w:val="374151"/>
                <w:sz w:val="20"/>
                <w:szCs w:val="20"/>
              </w:rPr>
              <w:t xml:space="preserve">When any hiring company or third party accesses a Skill Passport verification (Standard or Deep tier), the system MUST send a notification to the passport holder within 30 seconds containing: the timestamp of access, the verification tier accessed, and a confirmation that no additional personal data beyond the verified tier was disclosed. The employee cannot prevent access notifications — they are mandatory and non-configurable.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BR-SP-01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exits (alumni status)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 Passport verification endpoint remains active for 2 years (configurable). Employee loses platform login access. Skill Passport enters read-only mode. Employee retains access via a public verification URL they were given at exit.</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BR-SP-02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GDPR erasure request on active Skill Passport</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Passport record deleted. passport_id deactivated. Verification endpoint returns 'Record deleted on request of data subject' — not a generic 'not found'. Certificate records anonymised (employee_id removed).</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BR-SP-03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uploads a new resume version</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re-parses the new resume. Delta comparison shown to employee: 'New experience detected — these items are new in your latest upload.' Employee confirms additions before they appear in their profile.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BR-SP-04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 Passport export requested</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generates a PDF within 60 seconds. PDF includes: personal details, validated and estimated skill levels with provenance, certifications, training history, IDP summary. PDF MUST NOT include: org-proprietary data (FrameworkBible definitions, internal project names, other employees' data), Burnout Risk Score, psychometric raw scores.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10. M20 — Wellbeing Intelligence Layer</w:t>
      </w:r>
    </w:p>
    <w:p>
      <w:pPr>
        <w:spacing w:before="0" w:after="100"/>
      </w:pPr>
      <w:r>
        <w:rPr>
          <w:rFonts w:ascii="Calibri" w:cs="Calibri" w:eastAsia="Calibri" w:hAnsi="Calibri"/>
          <w:b w:val="false"/>
          <w:bCs w:val="false"/>
          <w:i w:val="false"/>
          <w:iCs w:val="false"/>
          <w:color w:val="374151"/>
          <w:sz w:val="22"/>
          <w:szCs w:val="22"/>
        </w:rPr>
        <w:t xml:space="preserve">The Wellbeing Intelligence Layer is the most privacy-sensitive module in the platform. It calculates Burnout Risk Scores from four permitted signal sources and applies a development capacity adjustment to individual development plans. Access to individual scores is restricted to HR Head and above.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FR-WB-001  </w:t>
            </w:r>
            <w:r>
              <w:rPr>
                <w:rFonts w:ascii="Calibri" w:cs="Calibri" w:eastAsia="Calibri" w:hAnsi="Calibri"/>
                <w:b/>
                <w:bCs/>
                <w:color w:val="7F1D1D"/>
                <w:sz w:val="21"/>
                <w:szCs w:val="21"/>
              </w:rPr>
              <w:t xml:space="preserve">Burnout Risk Score inputs are strictly bounded</w:t>
            </w:r>
          </w:p>
          <w:p>
            <w:pPr>
              <w:spacing w:before="0" w:after="0"/>
            </w:pPr>
            <w:r>
              <w:rPr>
                <w:rFonts w:ascii="Calibri" w:cs="Calibri" w:eastAsia="Calibri" w:hAnsi="Calibri"/>
                <w:color w:val="374151"/>
                <w:sz w:val="20"/>
                <w:szCs w:val="20"/>
              </w:rPr>
              <w:t xml:space="preserve">The system MUST calculate the Burnout Risk Score using ONLY these four signal sources: (1) Wellbeing pulse survey trend — the direction and magnitude of score change over 12 weeks, not individual response text, (2) Meeting load proxy — weekly meeting hour count from calendar integration, not meeting titles or attendees, (3) Project overallocation flag — a binary yes/no from PM tool integration, not the specific project details, (4) Learning platform inactivity — weeks since last logged learning activity, not what was accessed or abandoned. ANY other data source — performance data, assessment scores, disciplinary records, compensation — MUST be excluded. The system MUST detect and reject forbidden data types in the input payload.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FR-WB-002  </w:t>
            </w:r>
            <w:r>
              <w:rPr>
                <w:rFonts w:ascii="Calibri" w:cs="Calibri" w:eastAsia="Calibri" w:hAnsi="Calibri"/>
                <w:b/>
                <w:bCs/>
                <w:color w:val="7F1D1D"/>
                <w:sz w:val="21"/>
                <w:szCs w:val="21"/>
              </w:rPr>
              <w:t xml:space="preserve">Team aggregate requires minimum 5 Active Participants</w:t>
            </w:r>
          </w:p>
          <w:p>
            <w:pPr>
              <w:spacing w:before="0" w:after="0"/>
            </w:pPr>
            <w:r>
              <w:rPr>
                <w:rFonts w:ascii="Calibri" w:cs="Calibri" w:eastAsia="Calibri" w:hAnsi="Calibri"/>
                <w:color w:val="374151"/>
                <w:sz w:val="20"/>
                <w:szCs w:val="20"/>
              </w:rPr>
              <w:t xml:space="preserve">The system MUST set is_eligible = false and avg_risk_score = NULL for any team with fewer than 5 Active Participants. This threshold is a hard constraint — it is not configurable by any user role including Super Admin or Edstellar Admin. The UI MUST display 'Team too small to display aggregate — minimum 5 team members required' when is_eligible = false. Individual scores MUST NEVER be exposed to any manager regardless of team size.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BR-WB-01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Burnout risk = 'Elevated'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receives a conversation starter prompt: 'One of your team members may need a check-in this week. Consider scheduling a 1:1.' No name, no score, no reason disclosed to the manager.</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BR-WB-02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Burnout risk = 'High'</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receives the conversation starter AND the LNI for that employee has its recommended weekly learning hours reduced by 50% (conservative capacity). Timeline extended accordingly.</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BR-WB-03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Missing wellbeing signals (fewer than 2 of 4 sources)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No Burnout Risk Score generated. HR Head sees 'Insufficient data — wellbeing signals incomplete' for that employee. Development timeline adjustment does not activate.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BR-WB-04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Wellbeing data accessed by any role below HR Head</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returns 403 Forbidden. Audit trail logs the access attempt with the requesting user's ID, timestamp, and attempted endpoint. Engineering alert fired if the same user makes 3+ denied attempts in an hour.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BR-WB-05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Proposal Engine attempts to read wellbeing data</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returns 403 at the application layer. The AI-9 Proposal Engine's permitted data boundary does not include wellbeing data. Any attempt to read it is a security event.</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11. M16 — Succession Planning</w:t>
      </w:r>
    </w:p>
    <w:p>
      <w:pPr>
        <w:spacing w:before="0" w:after="100"/>
      </w:pPr>
      <w:r>
        <w:rPr>
          <w:rFonts w:ascii="Calibri" w:cs="Calibri" w:eastAsia="Calibri" w:hAnsi="Calibri"/>
          <w:b w:val="false"/>
          <w:bCs w:val="false"/>
          <w:i w:val="false"/>
          <w:iCs w:val="false"/>
          <w:color w:val="374151"/>
          <w:sz w:val="22"/>
          <w:szCs w:val="22"/>
        </w:rPr>
        <w:t xml:space="preserve">The Succession Planning module provides continuous pipeline monitoring for critical roles with AI-driven risk alerts. Access to individual candidate identities is restricted to HR Head and above. All other roles receive role-level alerts without individual names.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FR-SC-001  </w:t>
            </w:r>
            <w:r>
              <w:rPr>
                <w:rFonts w:ascii="Calibri" w:cs="Calibri" w:eastAsia="Calibri" w:hAnsi="Calibri"/>
                <w:b/>
                <w:bCs/>
                <w:color w:val="7F1D1D"/>
                <w:sz w:val="21"/>
                <w:szCs w:val="21"/>
              </w:rPr>
              <w:t xml:space="preserve">Serving Notice alert fires within 30 seconds — synchronously</w:t>
            </w:r>
          </w:p>
          <w:p>
            <w:pPr>
              <w:spacing w:before="0" w:after="0"/>
            </w:pPr>
            <w:r>
              <w:rPr>
                <w:rFonts w:ascii="Calibri" w:cs="Calibri" w:eastAsia="Calibri" w:hAnsi="Calibri"/>
                <w:color w:val="374151"/>
                <w:sz w:val="20"/>
                <w:szCs w:val="20"/>
              </w:rPr>
              <w:t xml:space="preserve">When an employee's employment_type changes to 'notice', the Succession Risk Engine MUST calculate and fire all related alerts within 30 seconds. This is the one AI system that MUST NOT be processed through the async BullMQ queue — it MUST be processed synchronously. If the 30-second SLA is breached, an engineering P1 alert is triggered and a fallback SMS notification is sent to the HR Head.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FR-SC-002  </w:t>
            </w:r>
            <w:r>
              <w:rPr>
                <w:rFonts w:ascii="Calibri" w:cs="Calibri" w:eastAsia="Calibri" w:hAnsi="Calibri"/>
                <w:b/>
                <w:bCs/>
                <w:color w:val="7F1D1D"/>
                <w:sz w:val="21"/>
                <w:szCs w:val="21"/>
              </w:rPr>
              <w:t xml:space="preserve">Individual candidate names are restricted to HR Head access</w:t>
            </w:r>
          </w:p>
          <w:p>
            <w:pPr>
              <w:spacing w:before="0" w:after="0"/>
            </w:pPr>
            <w:r>
              <w:rPr>
                <w:rFonts w:ascii="Calibri" w:cs="Calibri" w:eastAsia="Calibri" w:hAnsi="Calibri"/>
                <w:color w:val="374151"/>
                <w:sz w:val="20"/>
                <w:szCs w:val="20"/>
              </w:rPr>
              <w:t xml:space="preserve">In all succession alerts, dashboards, and reports visible to roles below HR Head: individual employee names MUST NOT appear. Alerts state the role name only: 'A succession candidate for [Role] has a high attrition risk signal.' The individual_context block in the alert payload contains the employee_id and is surfaced only when the request is made by an HR Head-level authenticated session.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BR-SC-01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Bench strength drops below minimum</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Immediate alert to HR Head. Alert states: role name, current bench strength, minimum required, which readiness band lost a candidate (not the candidate's name).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BR-SC-02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Ready Now candidate shows high attrition risk</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Alert to HR Head with role name. Pipeline bench strength recalculated. If bench strength drops below minimum as a result, BR-SC-01 fires immediately after.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BR-SC-03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Role requirements change (Transformation Dial raises required proficiency)</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candidate readiness bands recalculated. Candidates who no longer meet the new threshold flagged for development plan update. HR Head notified.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BR-SC-04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What-if scenario: incumbent leaves today</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runs the calculation immediately. Output: roles that would be left without adequate succession, bench strength impact, estimated time-to-fill from each candidate's current readiness band. No changes applied to the live pipeline.</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BR-SC-05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Fixed-term contractor in a critical role</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flags the concentration risk. Contractor excluded from succession pipeline candidates by default. HR Head can opt them in explicitly with a documented reason.</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12. Certificate Engine and ReportGen</w:t>
      </w:r>
    </w:p>
    <w:p>
      <w:pPr>
        <w:pStyle w:val="Heading2"/>
        <w:spacing w:before="280" w:after="100"/>
      </w:pPr>
      <w:r>
        <w:rPr>
          <w:rFonts w:ascii="Georgia" w:cs="Georgia" w:eastAsia="Georgia" w:hAnsi="Georgia"/>
          <w:b/>
          <w:bCs/>
          <w:color w:val="1E40AF"/>
          <w:sz w:val="28"/>
          <w:szCs w:val="28"/>
        </w:rPr>
        <w:t xml:space="preserve">12.1 Certificate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FR-CE-001  </w:t>
            </w:r>
            <w:r>
              <w:rPr>
                <w:rFonts w:ascii="Calibri" w:cs="Calibri" w:eastAsia="Calibri" w:hAnsi="Calibri"/>
                <w:b/>
                <w:bCs/>
                <w:color w:val="0F172A"/>
                <w:sz w:val="21"/>
                <w:szCs w:val="21"/>
              </w:rPr>
              <w:t xml:space="preserve">Certificate auto-issued within 60 seconds of completion trigger</w:t>
            </w:r>
          </w:p>
          <w:p>
            <w:pPr>
              <w:spacing w:before="0" w:after="0"/>
            </w:pPr>
            <w:r>
              <w:rPr>
                <w:rFonts w:ascii="Calibri" w:cs="Calibri" w:eastAsia="Calibri" w:hAnsi="Calibri"/>
                <w:color w:val="374151"/>
                <w:sz w:val="20"/>
                <w:szCs w:val="20"/>
              </w:rPr>
              <w:t xml:space="preserve">When a training completion event is recorded in TrainConnect (SCORM completion, manual attendance confirmation, or coaching programme milestone), and the course is configured for auto-issuance: the Certificate Engine MUST issue the certificate within 60 seconds. The certificate MUST be delivered to: (1) the employee's Skill Passport, (2) the employee's registered email, and (3) the L&amp;D Manager's completion tracking dashboard.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FR-CE-002  </w:t>
            </w:r>
            <w:r>
              <w:rPr>
                <w:rFonts w:ascii="Calibri" w:cs="Calibri" w:eastAsia="Calibri" w:hAnsi="Calibri"/>
                <w:b/>
                <w:bCs/>
                <w:color w:val="0F172A"/>
                <w:sz w:val="21"/>
                <w:szCs w:val="21"/>
              </w:rPr>
              <w:t xml:space="preserve">QR verification endpoint is always public and stateless</w:t>
            </w:r>
          </w:p>
          <w:p>
            <w:pPr>
              <w:spacing w:before="0" w:after="0"/>
            </w:pPr>
            <w:r>
              <w:rPr>
                <w:rFonts w:ascii="Calibri" w:cs="Calibri" w:eastAsia="Calibri" w:hAnsi="Calibri"/>
                <w:color w:val="374151"/>
                <w:sz w:val="20"/>
                <w:szCs w:val="20"/>
              </w:rPr>
              <w:t xml:space="preserve">The certificate QR code links to a public verification endpoint that requires no authentication. The endpoint MUST return: validity status (valid/revoked/expired/deleted), the certificate holder's name, the programme name, the issuing organisation, the issue date, and the expiry date if applicable. The endpoint MUST be stateless — it reads from the certificates table and returns a result without creating any session. Every access to the endpoint MUST log: timestamp, certificate_uid accessed, and the IP address of the requester.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BR-CE-01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 revoked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QR endpoint returns: 'This certificate has been revoked by the issuing organisation.' revocation_reason is not disclosed via the public endpoint — it is accessible only to HR Admins in the platform.</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BR-CE-02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 expiry within 60 days</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Alert sent to employee and HR Admin. Renewal path shown in the employee's Skill Passport. Certificate remains valid until the expiry date — it is not pre-emptively invalidated.</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BR-CE-03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requests LinkedIn share</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generates a pre-formatted LinkedIn share URL. The URL links to the certificate's QR verification page — not to a file download. The employee's LinkedIn credential number field is populated if provided.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BR-CE-04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Org updates their certificate template</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future certificates use the new template. Existing issued certificates retain the template version they were issued under. No retroactive re-issue.</w:t>
            </w:r>
          </w:p>
        </w:tc>
      </w:tr>
    </w:tbl>
    <w:p>
      <w:pPr>
        <w:spacing w:before="0" w:after="80"/>
      </w:pPr>
    </w:p>
    <w:p>
      <w:pPr>
        <w:pStyle w:val="Heading2"/>
        <w:spacing w:before="280" w:after="100"/>
      </w:pPr>
      <w:r>
        <w:rPr>
          <w:rFonts w:ascii="Georgia" w:cs="Georgia" w:eastAsia="Georgia" w:hAnsi="Georgia"/>
          <w:b/>
          <w:bCs/>
          <w:color w:val="1E40AF"/>
          <w:sz w:val="28"/>
          <w:szCs w:val="28"/>
        </w:rPr>
        <w:t xml:space="preserve">12.2 ReportGen — Persona-Adaptive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FR-RG-001  </w:t>
            </w:r>
            <w:r>
              <w:rPr>
                <w:rFonts w:ascii="Calibri" w:cs="Calibri" w:eastAsia="Calibri" w:hAnsi="Calibri"/>
                <w:b/>
                <w:bCs/>
                <w:color w:val="0F172A"/>
                <w:sz w:val="21"/>
                <w:szCs w:val="21"/>
              </w:rPr>
              <w:t xml:space="preserve">The same underlying data produces structurally different reports per persona</w:t>
            </w:r>
          </w:p>
          <w:p>
            <w:pPr>
              <w:spacing w:before="0" w:after="0"/>
            </w:pPr>
            <w:r>
              <w:rPr>
                <w:rFonts w:ascii="Calibri" w:cs="Calibri" w:eastAsia="Calibri" w:hAnsi="Calibri"/>
                <w:color w:val="374151"/>
                <w:sz w:val="20"/>
                <w:szCs w:val="20"/>
              </w:rPr>
              <w:t xml:space="preserve">ReportGen MUST produce meaningfully different report structures for different personas using the same underlying data. A CHRO LNA report MUST emphasise: strategic risk language, aggregate gaps by skill domain, board-ready executive summary, investment framing. An L&amp;D Manager LNA report MUST emphasise: programme design recommendations, intervention type distribution, individual gap counts, scheduling feasibility. The difference MUST be structural — not just font or colour. An engineering check: the two reports should not share the same section heading order.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FR-RG-002  </w:t>
            </w:r>
            <w:r>
              <w:rPr>
                <w:rFonts w:ascii="Calibri" w:cs="Calibri" w:eastAsia="Calibri" w:hAnsi="Calibri"/>
                <w:b/>
                <w:bCs/>
                <w:color w:val="0F172A"/>
                <w:sz w:val="21"/>
                <w:szCs w:val="21"/>
              </w:rPr>
              <w:t xml:space="preserve">Reports generate within 10 seconds for standard reports, 30 seconds for board reports</w:t>
            </w:r>
          </w:p>
          <w:p>
            <w:pPr>
              <w:spacing w:before="0" w:after="0"/>
            </w:pPr>
            <w:r>
              <w:rPr>
                <w:rFonts w:ascii="Calibri" w:cs="Calibri" w:eastAsia="Calibri" w:hAnsi="Calibri"/>
                <w:color w:val="374151"/>
                <w:sz w:val="20"/>
                <w:szCs w:val="20"/>
              </w:rPr>
              <w:t xml:space="preserve">Standard reports (LNA, TNA, Skills Matrix, Wellbeing, Perception Gap, L1 Completion) MUST generate their PDF within 10 seconds. Board-level reports (Transformation Roadmap, Multi-year Investment Plan, Scenario Analysis) MUST generate within 30 seconds. If generation exceeds these limits, an async delivery mode MUST activate: the user receives an email with a download link when the report is ready. The async mode MUST be notified to the user at time of request — not silently.</w:t>
            </w:r>
          </w:p>
        </w:tc>
      </w:tr>
    </w:tbl>
    <w:p>
      <w:pPr>
        <w:spacing w:before="0" w:after="8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13. Marketplace Ecosystem</w:t>
      </w:r>
    </w:p>
    <w:p>
      <w:pPr>
        <w:spacing w:before="0" w:after="100"/>
      </w:pPr>
      <w:r>
        <w:rPr>
          <w:rFonts w:ascii="Calibri" w:cs="Calibri" w:eastAsia="Calibri" w:hAnsi="Calibri"/>
          <w:b w:val="false"/>
          <w:bCs w:val="false"/>
          <w:i w:val="false"/>
          <w:iCs w:val="false"/>
          <w:color w:val="374151"/>
          <w:sz w:val="22"/>
          <w:szCs w:val="22"/>
        </w:rPr>
        <w:t xml:space="preserve">The Marketplace Ecosystem converts validated TNA outputs into fulfilled learning interventions through the Trainer and Coach Platform and the Training Vendor Platform. The credit system governs access to trainer profiles. The booking system mediates all financial transactions.</w:t>
      </w:r>
    </w:p>
    <w:p>
      <w:pPr>
        <w:spacing w:before="0" w:after="80"/>
      </w:pPr>
    </w:p>
    <w:p>
      <w:pPr>
        <w:pStyle w:val="Heading2"/>
        <w:spacing w:before="280" w:after="100"/>
      </w:pPr>
      <w:r>
        <w:rPr>
          <w:rFonts w:ascii="Georgia" w:cs="Georgia" w:eastAsia="Georgia" w:hAnsi="Georgia"/>
          <w:b/>
          <w:bCs/>
          <w:color w:val="1E40AF"/>
          <w:sz w:val="28"/>
          <w:szCs w:val="28"/>
        </w:rPr>
        <w:t xml:space="preserve">13.1 Credit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FR-MK-001  </w:t>
            </w:r>
            <w:r>
              <w:rPr>
                <w:rFonts w:ascii="Calibri" w:cs="Calibri" w:eastAsia="Calibri" w:hAnsi="Calibri"/>
                <w:b/>
                <w:bCs/>
                <w:color w:val="0F172A"/>
                <w:sz w:val="21"/>
                <w:szCs w:val="21"/>
              </w:rPr>
              <w:t xml:space="preserve">Credit consumption is atomic</w:t>
            </w:r>
          </w:p>
          <w:p>
            <w:pPr>
              <w:spacing w:before="0" w:after="0"/>
            </w:pPr>
            <w:r>
              <w:rPr>
                <w:rFonts w:ascii="Calibri" w:cs="Calibri" w:eastAsia="Calibri" w:hAnsi="Calibri"/>
                <w:color w:val="374151"/>
                <w:sz w:val="20"/>
                <w:szCs w:val="20"/>
              </w:rPr>
              <w:t xml:space="preserve">When a client organisation unlocks a trainer profile by spending credits: the credit deduction and the profile unlock MUST be applied atomically — either both happen or neither happens. A partial state (credit deducted but profile not unlocked, or profile unlocked but credit not deducted) is not permitted and MUST be detected and corrected by a consistency check that runs every 5 minutes.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FR-MK-002  </w:t>
            </w:r>
            <w:r>
              <w:rPr>
                <w:rFonts w:ascii="Calibri" w:cs="Calibri" w:eastAsia="Calibri" w:hAnsi="Calibri"/>
                <w:b/>
                <w:bCs/>
                <w:color w:val="0F172A"/>
                <w:sz w:val="21"/>
                <w:szCs w:val="21"/>
              </w:rPr>
              <w:t xml:space="preserve">Same-org idempotent profile unlock</w:t>
            </w:r>
          </w:p>
          <w:p>
            <w:pPr>
              <w:spacing w:before="0" w:after="0"/>
            </w:pPr>
            <w:r>
              <w:rPr>
                <w:rFonts w:ascii="Calibri" w:cs="Calibri" w:eastAsia="Calibri" w:hAnsi="Calibri"/>
                <w:color w:val="374151"/>
                <w:sz w:val="20"/>
                <w:szCs w:val="20"/>
              </w:rPr>
              <w:t xml:space="preserve">If a user within the same organisation views a trainer profile that a colleague has already unlocked: the credit MUST NOT be charged again. The system MUST check whether any user within the same tenant has unlocked that profile within the last 12 months (the credit expiry window). If so, the profile is accessible without additional credit cost.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BR-MK-01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Credit balance = 0</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Client cannot unlock new profiles. Existing unlocked profiles remain accessible for 12 months from unlock date. A low balance alert was sent at 20% remaining.</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BR-MK-02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Credits expire (12 months from purchase)</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30-day and 60-day advance expiry reminders sent. On expiry date: credits zeroed. Expired credits cannot be reinstated.</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BR-MK-03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Booking cancelled by client before engagement starts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Cancellation policy applies per booking terms. Platform escrow returns funds per the policy minus the processing fee. Booking status updated to 'Cancelled — client'. Trainer notified.</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BR-MK-04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Trainer cancels after booking confirmed</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Platform policy: trainer-initiated cancellation after confirmation triggers a hold on the trainer's next payout. Client receives a full refund. Cancellation rate tracked on trainer profile.</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BR-MK-05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Content Outline delivered to trainer</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Outline delivered via the trainer's platform inbox AND to their registered email within 30 seconds of booking confirmation. Outline is read-only — trainer cannot edit it in the platform (they may adapt it in their own delivery).</w:t>
            </w:r>
          </w:p>
        </w:tc>
      </w:tr>
    </w:tbl>
    <w:p>
      <w:pPr>
        <w:spacing w:before="0" w:after="80"/>
      </w:pPr>
    </w:p>
    <w:p>
      <w:pPr>
        <w:pStyle w:val="Heading2"/>
        <w:spacing w:before="280" w:after="100"/>
      </w:pPr>
      <w:r>
        <w:rPr>
          <w:rFonts w:ascii="Georgia" w:cs="Georgia" w:eastAsia="Georgia" w:hAnsi="Georgia"/>
          <w:b/>
          <w:bCs/>
          <w:color w:val="1E40AF"/>
          <w:sz w:val="28"/>
          <w:szCs w:val="28"/>
        </w:rPr>
        <w:t xml:space="preserve">13.2 Data Boundary — Trainer and Vendor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FR-MK-003  </w:t>
            </w:r>
            <w:r>
              <w:rPr>
                <w:rFonts w:ascii="Calibri" w:cs="Calibri" w:eastAsia="Calibri" w:hAnsi="Calibri"/>
                <w:b/>
                <w:bCs/>
                <w:color w:val="7F1D1D"/>
                <w:sz w:val="21"/>
                <w:szCs w:val="21"/>
              </w:rPr>
              <w:t xml:space="preserve">Trainers and vendors MUST NOT receive individual employee data</w:t>
            </w:r>
          </w:p>
          <w:p>
            <w:pPr>
              <w:spacing w:before="0" w:after="0"/>
            </w:pPr>
            <w:r>
              <w:rPr>
                <w:rFonts w:ascii="Calibri" w:cs="Calibri" w:eastAsia="Calibri" w:hAnsi="Calibri"/>
                <w:color w:val="374151"/>
                <w:sz w:val="20"/>
                <w:szCs w:val="20"/>
              </w:rPr>
              <w:t xml:space="preserve">The gap brief sent to a trainer or vendor MUST contain ONLY: the skill or competency name, the aggregate population at each proficiency level (not individual names or IDs), the target proficiency, the role families in scope (not individual job titles), the preferred delivery format, and the available budget range. The trainer or vendor MUST have no way to identify individual employees from any data they receive through the platform.</w:t>
            </w:r>
          </w:p>
        </w:tc>
      </w:tr>
    </w:tbl>
    <w:p>
      <w:pPr>
        <w:spacing w:before="0" w:after="8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14. Cross-Cutting Functional Requirements</w:t>
      </w:r>
    </w:p>
    <w:p>
      <w:pPr>
        <w:pStyle w:val="Heading2"/>
        <w:spacing w:before="280" w:after="100"/>
      </w:pPr>
      <w:r>
        <w:rPr>
          <w:rFonts w:ascii="Georgia" w:cs="Georgia" w:eastAsia="Georgia" w:hAnsi="Georgia"/>
          <w:b/>
          <w:bCs/>
          <w:color w:val="1E40AF"/>
          <w:sz w:val="28"/>
          <w:szCs w:val="28"/>
        </w:rPr>
        <w:t xml:space="preserve">14.1 Level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FR-XC-001  </w:t>
            </w:r>
            <w:r>
              <w:rPr>
                <w:rFonts w:ascii="Calibri" w:cs="Calibri" w:eastAsia="Calibri" w:hAnsi="Calibri"/>
                <w:b/>
                <w:bCs/>
                <w:color w:val="7F1D1D"/>
                <w:sz w:val="21"/>
                <w:szCs w:val="21"/>
              </w:rPr>
              <w:t xml:space="preserve">Level gates are enforced at the API middleware layer</w:t>
            </w:r>
          </w:p>
          <w:p>
            <w:pPr>
              <w:spacing w:before="0" w:after="0"/>
            </w:pPr>
            <w:r>
              <w:rPr>
                <w:rFonts w:ascii="Calibri" w:cs="Calibri" w:eastAsia="Calibri" w:hAnsi="Calibri"/>
                <w:color w:val="374151"/>
                <w:sz w:val="20"/>
                <w:szCs w:val="20"/>
              </w:rPr>
              <w:t xml:space="preserve">Level gating MUST be enforced by API middleware that reads the organisation's current_level field and compares it to the minimum level required by the requested endpoint. If current_level &lt; required_level: the API returns HTTP 403 with the error body: {error: 'LEVEL_GATE_LOCKED', current_level: N, required_level: M, message: 'Complete Level N requirements to unlock this feature'}. This check MUST occur on every request — it MUST NOT be cached for longer than 60 seconds per org.</w:t>
            </w:r>
          </w:p>
        </w:tc>
      </w:tr>
    </w:tbl>
    <w:p>
      <w:pPr>
        <w:spacing w:before="0" w:after="80"/>
      </w:pPr>
    </w:p>
    <w:p>
      <w:pPr>
        <w:pStyle w:val="Heading2"/>
        <w:spacing w:before="280" w:after="100"/>
      </w:pPr>
      <w:r>
        <w:rPr>
          <w:rFonts w:ascii="Georgia" w:cs="Georgia" w:eastAsia="Georgia" w:hAnsi="Georgia"/>
          <w:b/>
          <w:bCs/>
          <w:color w:val="1E40AF"/>
          <w:sz w:val="28"/>
          <w:szCs w:val="28"/>
        </w:rPr>
        <w:t xml:space="preserve">14.2 Scope Status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BR-XC-01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scope_status = 'excluded'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MUST be invisible to: InsightBoard charts, assessment dispatch lists, LNA outputs, LNI generation, succession pipeline, ReportGen. MUST still appear in: DataPort admin view, scope management screen, billing summary (as excluded — zero cost). NOT notified to the employee.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BR-XC-02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scope_status = 'view_only'</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Has Employee Portal access and Skill Passport only. MUST NOT appear in: org assessment cycles, InsightBoard workforce counts, LNA outputs, succession planning. Billed at View Only rate (30% of Active Participant rate by default).</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BR-XC-03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Scope Status changes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change MUST be logged immediately in audit trail with: actor, timestamp, previous status, new status, mandatory reason. scope_status_changed_at and scope_status_reason fields MUST be populated. Scope change takes effect for all analytical outputs within 30 seconds.</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BR-XC-04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Employment-type scope rule configured</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When a new employee is imported or added manually with a matching employment_type: scope_status MUST be auto-set to the configured value before the record becomes visible in any analytical view. The auto-rule is logged as the trigger in scope_status_changed_at.</w:t>
            </w:r>
          </w:p>
        </w:tc>
      </w:tr>
    </w:tbl>
    <w:p>
      <w:pPr>
        <w:spacing w:before="0" w:after="80"/>
      </w:pPr>
    </w:p>
    <w:p>
      <w:pPr>
        <w:pStyle w:val="Heading2"/>
        <w:spacing w:before="280" w:after="100"/>
      </w:pPr>
      <w:r>
        <w:rPr>
          <w:rFonts w:ascii="Georgia" w:cs="Georgia" w:eastAsia="Georgia" w:hAnsi="Georgia"/>
          <w:b/>
          <w:bCs/>
          <w:color w:val="1E40AF"/>
          <w:sz w:val="28"/>
          <w:szCs w:val="28"/>
        </w:rPr>
        <w:t xml:space="preserve">14.3 Notification Engine — Delivery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FR-XC-002  </w:t>
            </w:r>
            <w:r>
              <w:rPr>
                <w:rFonts w:ascii="Calibri" w:cs="Calibri" w:eastAsia="Calibri" w:hAnsi="Calibri"/>
                <w:b/>
                <w:bCs/>
                <w:color w:val="0F172A"/>
                <w:sz w:val="21"/>
                <w:szCs w:val="21"/>
              </w:rPr>
              <w:t xml:space="preserve">All notifications MUST deliver within 30 seconds of trigger</w:t>
            </w:r>
          </w:p>
          <w:p>
            <w:pPr>
              <w:spacing w:before="0" w:after="0"/>
            </w:pPr>
            <w:r>
              <w:rPr>
                <w:rFonts w:ascii="Calibri" w:cs="Calibri" w:eastAsia="Calibri" w:hAnsi="Calibri"/>
                <w:color w:val="374151"/>
                <w:sz w:val="20"/>
                <w:szCs w:val="20"/>
              </w:rPr>
              <w:t xml:space="preserve">Every notification type in the platform MUST be delivered to the recipient's email inbox within 30 seconds of the triggering event. This is a hard SLA measured from event timestamp to SendGrid/SES delivery confirmation, not just queue entry. If delivery fails, the system MUST retry with exponential backoff (2s, 8s, 32s). After 3 failed retries, the failure is logged as a P2 incident. Notification delivery rate is monitored in the SaaS Platform Health dashboard.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c>
          <w:tcPr>
            <w:tcW w:type="dxa" w:w="2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Trigger Event</w:t>
            </w:r>
          </w:p>
        </w:tc>
        <w:tc>
          <w:tcPr>
            <w:tcW w:type="dxa" w:w="21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Recipient</w:t>
            </w:r>
          </w:p>
        </w:tc>
        <w:tc>
          <w:tcPr>
            <w:tcW w:type="dxa" w:w="44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Content Required</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Excel import completed</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Super Admin, HR Head</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Records imported per sheet, errors if any, Data Context Meter score, next step CTA</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Data Context Meter below 70%</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Super Admin</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Missing data categories listed, features unlocked at full upload, re-upload CTA</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AI pipeline complete</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Super Admin</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Skills/competencies count, estimated review time, Tier 1 review begin CTA</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FrameworkBible published</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managers + HR team</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Framework is live, view link, summary count of skills and competencies</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Assessment cycle dispatched</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All targeted managers and employees</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X direct reports / skills to rate, deadline, estimated time, start CTA, direct link</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Assessment overdue (3/7/14 day)</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Overdue assessor + their manager</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Deadline date, items not yet rated, direct completion link. Manager view at 14 days shows list of their direct reports who have not completed.</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Serving notice — employment_type change</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(role alert) + HR Head (succession context)</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Manager: role-level alert, no employee name. HR Head: full succession pipeline context including name and bench strength impact.</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Succession pipeline gap below minimum bench strength</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HR Head</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Role name, current bench strength, minimum required, recommended action</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Certificate expiry within 60 days</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Employee + HR Admin</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Certificate name, expiry date, renewal path link</w:t>
            </w:r>
          </w:p>
        </w:tc>
      </w:tr>
      <w:tr>
        <w:tc>
          <w:tcPr>
            <w:tcW w:type="dxa" w:w="2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Wellbeing risk = Elevated or High</w:t>
            </w:r>
          </w:p>
        </w:tc>
        <w:tc>
          <w:tcPr>
            <w:tcW w:type="dxa" w:w="21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Team manager only</w:t>
            </w:r>
          </w:p>
        </w:tc>
        <w:tc>
          <w:tcPr>
            <w:tcW w:type="dxa" w:w="44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Generic prompt: 'A team member may need a check-in this week.' No name, no score, no reason.</w:t>
            </w:r>
          </w:p>
        </w:tc>
      </w:tr>
      <w:tr>
        <w:tc>
          <w:tcPr>
            <w:tcW w:type="dxa" w:w="2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Onboarding stage stall</w:t>
            </w:r>
          </w:p>
        </w:tc>
        <w:tc>
          <w:tcPr>
            <w:tcW w:type="dxa" w:w="21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Assigned Customer Success Manager</w:t>
            </w:r>
          </w:p>
        </w:tc>
        <w:tc>
          <w:tcPr>
            <w:tcW w:type="dxa" w:w="44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Tenant name, stalled stage, days stalled, recommended action template</w:t>
            </w:r>
          </w:p>
        </w:tc>
      </w:tr>
    </w:tbl>
    <w:p>
      <w:pPr>
        <w:spacing w:before="0" w:after="80"/>
      </w:pPr>
    </w:p>
    <w:p>
      <w:pPr>
        <w:pStyle w:val="Heading2"/>
        <w:spacing w:before="280" w:after="100"/>
      </w:pPr>
      <w:r>
        <w:rPr>
          <w:rFonts w:ascii="Georgia" w:cs="Georgia" w:eastAsia="Georgia" w:hAnsi="Georgia"/>
          <w:b/>
          <w:bCs/>
          <w:color w:val="1E40AF"/>
          <w:sz w:val="28"/>
          <w:szCs w:val="28"/>
        </w:rPr>
        <w:t xml:space="preserve">14.4 Audit Trail — Completeness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FR-XC-003  </w:t>
            </w:r>
            <w:r>
              <w:rPr>
                <w:rFonts w:ascii="Calibri" w:cs="Calibri" w:eastAsia="Calibri" w:hAnsi="Calibri"/>
                <w:b/>
                <w:bCs/>
                <w:color w:val="7F1D1D"/>
                <w:sz w:val="21"/>
                <w:szCs w:val="21"/>
              </w:rPr>
              <w:t xml:space="preserve">Audit trail is append-only and trigger-written</w:t>
            </w:r>
          </w:p>
          <w:p>
            <w:pPr>
              <w:spacing w:before="0" w:after="0"/>
            </w:pPr>
            <w:r>
              <w:rPr>
                <w:rFonts w:ascii="Calibri" w:cs="Calibri" w:eastAsia="Calibri" w:hAnsi="Calibri"/>
                <w:color w:val="374151"/>
                <w:sz w:val="20"/>
                <w:szCs w:val="20"/>
              </w:rPr>
              <w:t xml:space="preserve">The audit trail MUST be written exclusively by database triggers — no application code writes to it directly. The audit_log table MUST have no UPDATE or DELETE permissions granted to any database user including the application service account. The table is append-only by database-layer constraint. Every INSERT, UPDATE, and logical DELETE on every table in the platform MUST produce an audit log entry. There are no exceptions. If a trigger fails, the originating operation MUST be rolled back — partial data writes without audit records are not permitted.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FR-XC-004  </w:t>
            </w:r>
            <w:r>
              <w:rPr>
                <w:rFonts w:ascii="Calibri" w:cs="Calibri" w:eastAsia="Calibri" w:hAnsi="Calibri"/>
                <w:b/>
                <w:bCs/>
                <w:color w:val="7F1D1D"/>
                <w:sz w:val="21"/>
                <w:szCs w:val="21"/>
              </w:rPr>
              <w:t xml:space="preserve">Sensitive data values MUST NOT appear in audit log entries</w:t>
            </w:r>
          </w:p>
          <w:p>
            <w:pPr>
              <w:spacing w:before="0" w:after="0"/>
            </w:pPr>
            <w:r>
              <w:rPr>
                <w:rFonts w:ascii="Calibri" w:cs="Calibri" w:eastAsia="Calibri" w:hAnsi="Calibri"/>
                <w:color w:val="374151"/>
                <w:sz w:val="20"/>
                <w:szCs w:val="20"/>
              </w:rPr>
              <w:t xml:space="preserve">When a change occurs on a field classified as Highly Restricted (wellbeing scores, psychometric results) or Restricted (performance ratings): the audit log entry MUST record the sensitive_data_type flag ('wellbeing', 'psychometric', 'performance') but MUST NOT record the actual field value in value_before or value_after. The type flag is sufficient for audit purposes. The actual value must be retrieved directly from the source table by authorised roles — not from the audit trail.</w:t>
            </w:r>
          </w:p>
        </w:tc>
      </w:tr>
    </w:tbl>
    <w:p>
      <w:pPr>
        <w:spacing w:before="0" w:after="80"/>
      </w:pPr>
    </w:p>
    <w:p>
      <w:pPr>
        <w:pStyle w:val="Heading2"/>
        <w:spacing w:before="280" w:after="100"/>
      </w:pPr>
      <w:r>
        <w:rPr>
          <w:rFonts w:ascii="Georgia" w:cs="Georgia" w:eastAsia="Georgia" w:hAnsi="Georgia"/>
          <w:b/>
          <w:bCs/>
          <w:color w:val="1E40AF"/>
          <w:sz w:val="28"/>
          <w:szCs w:val="28"/>
        </w:rPr>
        <w:t xml:space="preserve">14.5 Multi-Tenancy — Zero Cross-Tenant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14"/>
              <w:bottom w:val="single" w:color="B91C1C" w:sz="4"/>
              <w:right w:val="single" w:color="B91C1C" w:sz="4"/>
            </w:tcBorders>
            <w:shd w:fill="FEF2F2" w:val="clear"/>
            <w:tcMar>
              <w:top w:type="dxa" w:w="100"/>
              <w:left w:type="dxa" w:w="180"/>
              <w:bottom w:type="dxa" w:w="100"/>
              <w:right w:type="dxa" w:w="160"/>
            </w:tcMar>
          </w:tcPr>
          <w:p>
            <w:pPr>
              <w:spacing w:before="0" w:after="40"/>
            </w:pPr>
            <w:r>
              <w:rPr>
                <w:rFonts w:ascii="Calibri" w:cs="Calibri" w:eastAsia="Calibri" w:hAnsi="Calibri"/>
                <w:b/>
                <w:bCs/>
                <w:caps/>
                <w:color w:val="B91C1C"/>
                <w:sz w:val="17"/>
                <w:szCs w:val="17"/>
              </w:rPr>
              <w:t xml:space="preserve">FR-XC-005  </w:t>
            </w:r>
            <w:r>
              <w:rPr>
                <w:rFonts w:ascii="Calibri" w:cs="Calibri" w:eastAsia="Calibri" w:hAnsi="Calibri"/>
                <w:b/>
                <w:bCs/>
                <w:color w:val="7F1D1D"/>
                <w:sz w:val="21"/>
                <w:szCs w:val="21"/>
              </w:rPr>
              <w:t xml:space="preserve">Row-level security is enforced at the database layer</w:t>
            </w:r>
          </w:p>
          <w:p>
            <w:pPr>
              <w:spacing w:before="0" w:after="0"/>
            </w:pPr>
            <w:r>
              <w:rPr>
                <w:rFonts w:ascii="Calibri" w:cs="Calibri" w:eastAsia="Calibri" w:hAnsi="Calibri"/>
                <w:color w:val="374151"/>
                <w:sz w:val="20"/>
                <w:szCs w:val="20"/>
              </w:rPr>
              <w:t xml:space="preserve">Every table MUST have PostgreSQL Row-Level Security (RLS) policies that enforce tenant isolation via tenant_id. A query running in the context of Tenant A's authenticated session MUST NOT return rows belonging to Tenant B — even if the application layer has a bug, the query is malformed, or the query is executed by an engineer directly in the database console. The database itself must reject cross-tenant access. This is the last line of defence and MUST be verified by the automated cross-tenant test suite on every deployment.</w:t>
            </w:r>
          </w:p>
        </w:tc>
      </w:tr>
    </w:tbl>
    <w:p>
      <w:pPr>
        <w:spacing w:before="0" w:after="80"/>
      </w:pPr>
    </w:p>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15. SaaS Platform Administration</w:t>
      </w:r>
    </w:p>
    <w:p>
      <w:pPr>
        <w:spacing w:before="0" w:after="100"/>
      </w:pPr>
      <w:r>
        <w:rPr>
          <w:rFonts w:ascii="Calibri" w:cs="Calibri" w:eastAsia="Calibri" w:hAnsi="Calibri"/>
          <w:b w:val="false"/>
          <w:bCs w:val="false"/>
          <w:i w:val="false"/>
          <w:iCs w:val="false"/>
          <w:color w:val="374151"/>
          <w:sz w:val="22"/>
          <w:szCs w:val="22"/>
        </w:rPr>
        <w:t xml:space="preserve">Platform administration governs the Edstellar SIP as a SaaS product — above individual client organisations. It covers tenant provisioning, subscription billing, platform health monitoring, and the onboarding pipeline.</w:t>
      </w:r>
    </w:p>
    <w:p>
      <w:pPr>
        <w:spacing w:before="0" w:after="80"/>
      </w:pPr>
    </w:p>
    <w:p>
      <w:pPr>
        <w:pStyle w:val="Heading2"/>
        <w:spacing w:before="280" w:after="100"/>
      </w:pPr>
      <w:r>
        <w:rPr>
          <w:rFonts w:ascii="Georgia" w:cs="Georgia" w:eastAsia="Georgia" w:hAnsi="Georgia"/>
          <w:b/>
          <w:bCs/>
          <w:color w:val="1E40AF"/>
          <w:sz w:val="28"/>
          <w:szCs w:val="28"/>
        </w:rPr>
        <w:t xml:space="preserve">15.1 Tenant Provisioning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FR-SA-001  </w:t>
            </w:r>
            <w:r>
              <w:rPr>
                <w:rFonts w:ascii="Calibri" w:cs="Calibri" w:eastAsia="Calibri" w:hAnsi="Calibri"/>
                <w:b/>
                <w:bCs/>
                <w:color w:val="0F172A"/>
                <w:sz w:val="21"/>
                <w:szCs w:val="21"/>
              </w:rPr>
              <w:t xml:space="preserve">Tenant provisioning creates full isolation automatically</w:t>
            </w:r>
          </w:p>
          <w:p>
            <w:pPr>
              <w:spacing w:before="0" w:after="0"/>
            </w:pPr>
            <w:r>
              <w:rPr>
                <w:rFonts w:ascii="Calibri" w:cs="Calibri" w:eastAsia="Calibri" w:hAnsi="Calibri"/>
                <w:color w:val="374151"/>
                <w:sz w:val="20"/>
                <w:szCs w:val="20"/>
              </w:rPr>
              <w:t xml:space="preserve">When a new tenant is provisioned: the system MUST automatically create an isolated database schema (or configure RLS for the new tenant_id), generate the Super Admin credentials, send the welcome email with login instructions and onboarding steps, initialise the onboarding_stage to 'tenant_activated', and log the provisioning event in the audit trail with the Edstellar Admin's identity. All six steps MUST complete atomically — if any step fails, the provisioning MUST be rolled back and the Edstellar Admin notified with the failure reason.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FR-SA-002  </w:t>
            </w:r>
            <w:r>
              <w:rPr>
                <w:rFonts w:ascii="Calibri" w:cs="Calibri" w:eastAsia="Calibri" w:hAnsi="Calibri"/>
                <w:b/>
                <w:bCs/>
                <w:color w:val="0F172A"/>
                <w:sz w:val="21"/>
                <w:szCs w:val="21"/>
              </w:rPr>
              <w:t xml:space="preserve">Subscription tier governs level access technically</w:t>
            </w:r>
          </w:p>
          <w:p>
            <w:pPr>
              <w:spacing w:before="0" w:after="0"/>
            </w:pPr>
            <w:r>
              <w:rPr>
                <w:rFonts w:ascii="Calibri" w:cs="Calibri" w:eastAsia="Calibri" w:hAnsi="Calibri"/>
                <w:color w:val="374151"/>
                <w:sz w:val="20"/>
                <w:szCs w:val="20"/>
              </w:rPr>
              <w:t xml:space="preserve">Subscription tier MUST map to level access limits enforced at the API gateway: Lite (L1 only, max 30 Active Participants), Growth (L1–L2), Scale (L1–L3 + Standard API), Enterprise (L1–L5 + full marketplace + benchmarking + Professional/Enterprise API). Active Participant count overage on Lite tier: system sends an upgrade prompt at 28 employees and blocks new Active Participant additions at 30 until the tier is upgraded.</w:t>
            </w:r>
          </w:p>
        </w:tc>
      </w:tr>
    </w:tbl>
    <w:p>
      <w:pPr>
        <w:spacing w:before="0" w:after="80"/>
      </w:pPr>
    </w:p>
    <w:p>
      <w:pPr>
        <w:pStyle w:val="Heading2"/>
        <w:spacing w:before="280" w:after="100"/>
      </w:pPr>
      <w:r>
        <w:rPr>
          <w:rFonts w:ascii="Georgia" w:cs="Georgia" w:eastAsia="Georgia" w:hAnsi="Georgia"/>
          <w:b/>
          <w:bCs/>
          <w:color w:val="1E40AF"/>
          <w:sz w:val="28"/>
          <w:szCs w:val="28"/>
        </w:rPr>
        <w:t xml:space="preserve">15.2 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BR-SA-01</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Billing count snapshot on 1st of month</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System calculates Active Participant count at midnight UTC on the 1st of each month. This count determines the invoice for that billing period. Count is immutable once snapshotted — mid-month scope changes do not affect the current period's invoice.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BR-SA-02</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Invoice overdue at 30 days</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Platform access suspended automatically. Super Admin of the client org receives a suspension notification. The CSM receives a simultaneous alert. Suspension is reversible immediately on payment confirmation — no grace period after 30 days.</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BR-SA-03</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Plan downgrade requested</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Downgrade MUST be applied at the end of the current billing period — never immediately. Data and features from the higher tier remain accessible until the billing period end. After the period end: higher-tier features become inaccessible, data is archived (not deleted). HR Head notified 14 days before effective date.</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BR-SA-04</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View Only employee billing</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View Only employees are billed at 30% of the Active Participant rate. Excluded employees are billed at zero. The billing summary in the Admin Console shows all three counts and their respective rates.</w:t>
            </w:r>
          </w:p>
        </w:tc>
      </w:tr>
    </w:tbl>
    <w:p>
      <w:pPr>
        <w:spacing w:before="0" w:after="80"/>
      </w:pPr>
    </w:p>
    <w:p>
      <w:pPr>
        <w:pStyle w:val="Heading2"/>
        <w:spacing w:before="280" w:after="100"/>
      </w:pPr>
      <w:r>
        <w:rPr>
          <w:rFonts w:ascii="Georgia" w:cs="Georgia" w:eastAsia="Georgia" w:hAnsi="Georgia"/>
          <w:b/>
          <w:bCs/>
          <w:color w:val="1E40AF"/>
          <w:sz w:val="28"/>
          <w:szCs w:val="28"/>
        </w:rPr>
        <w:t xml:space="preserve">15.3 Platform Health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FR-SA-003  </w:t>
            </w:r>
            <w:r>
              <w:rPr>
                <w:rFonts w:ascii="Calibri" w:cs="Calibri" w:eastAsia="Calibri" w:hAnsi="Calibri"/>
                <w:b/>
                <w:bCs/>
                <w:color w:val="0F172A"/>
                <w:sz w:val="21"/>
                <w:szCs w:val="21"/>
              </w:rPr>
              <w:t xml:space="preserve">Uptime SLA is 99.9% monthly — measured and reported</w:t>
            </w:r>
          </w:p>
          <w:p>
            <w:pPr>
              <w:spacing w:before="0" w:after="0"/>
            </w:pPr>
            <w:r>
              <w:rPr>
                <w:rFonts w:ascii="Calibri" w:cs="Calibri" w:eastAsia="Calibri" w:hAnsi="Calibri"/>
                <w:color w:val="374151"/>
                <w:sz w:val="20"/>
                <w:szCs w:val="20"/>
              </w:rPr>
              <w:t xml:space="preserve">The system MUST track uptime per portal (Admin, Manager, Employee) and per critical service (API, AI pipeline, NotifyEngine). Monthly uptime MUST be calculated and reported in the SaaS Admin health dashboard. Any portal unavailability exceeding 2 minutes MUST trigger a P1 engineering alert and update the public status page. The SLA calculation MUST exclude pre-announced maintenance windows.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720"/>
        <w:gridCol w:w="6000"/>
      </w:tblGrid>
      <w:tr>
        <w:tc>
          <w:tcPr>
            <w:tcW w:type="dxa" w:w="64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272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Condition</w:t>
            </w:r>
          </w:p>
        </w:tc>
        <w:tc>
          <w:tcPr>
            <w:tcW w:type="dxa" w:w="60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System Behaviour</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BR-SA-05</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AI pipeline p95 latency &gt; 5 minutes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Engineering alert triggered. SaaS Admin health dashboard shows the degradation. If the condition persists for 30 minutes, a proactive notification is sent to all HR Admins with active pipeline runs.</w:t>
            </w:r>
          </w:p>
        </w:tc>
      </w:tr>
      <w:tr>
        <w:tc>
          <w:tcPr>
            <w:tcW w:type="dxa" w:w="64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0F172A"/>
                <w:sz w:val="19"/>
                <w:szCs w:val="19"/>
              </w:rPr>
              <w:t xml:space="preserve">BR-SA-06</w:t>
            </w:r>
          </w:p>
        </w:tc>
        <w:tc>
          <w:tcPr>
            <w:tcW w:type="dxa" w:w="272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Cross-tenant query attempt detected</w:t>
            </w:r>
          </w:p>
        </w:tc>
        <w:tc>
          <w:tcPr>
            <w:tcW w:type="dxa" w:w="60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Immediate P0 security alert. All on-call engineering and security leads notified. The query is blocked and the requesting session is terminated. Full audit log of the attempt retained indefinitely.</w:t>
            </w:r>
          </w:p>
        </w:tc>
      </w:tr>
      <w:tr>
        <w:tc>
          <w:tcPr>
            <w:tcW w:type="dxa" w:w="64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BR-SA-07</w:t>
            </w:r>
          </w:p>
        </w:tc>
        <w:tc>
          <w:tcPr>
            <w:tcW w:type="dxa" w:w="272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API error rate &gt; 1% over 5 minutes</w:t>
            </w:r>
          </w:p>
        </w:tc>
        <w:tc>
          <w:tcPr>
            <w:tcW w:type="dxa" w:w="60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P1 alert triggered. Public status page updated. If the error rate exceeds 5% for 10 consecutive minutes, all non-critical background jobs (report generation, notification dispatch) are paused to preserve capacity for user-facing requests.</w:t>
            </w:r>
          </w:p>
        </w:tc>
      </w:tr>
    </w:tbl>
    <w:p>
      <w:pPr>
        <w:spacing w:before="0" w:after="120"/>
      </w:pPr>
    </w:p>
    <w:p>
      <w:pPr>
        <w:pageBreakBefore/>
      </w:pPr>
      <w:r>
        <w:t xml:space="preserve"/>
      </w:r>
    </w:p>
    <w:p>
      <w:pPr>
        <w:pStyle w:val="Heading1"/>
        <w:spacing w:before="360" w:after="120"/>
      </w:pPr>
      <w:r>
        <w:rPr>
          <w:rFonts w:ascii="Georgia" w:cs="Georgia" w:eastAsia="Georgia" w:hAnsi="Georgia"/>
          <w:b/>
          <w:bCs/>
          <w:color w:val="0F172A"/>
          <w:sz w:val="38"/>
          <w:szCs w:val="38"/>
        </w:rPr>
        <w:t xml:space="preserve">16. Freemium Tier and Level Progression Logic</w:t>
      </w:r>
    </w:p>
    <w:p>
      <w:pPr>
        <w:pStyle w:val="Heading2"/>
        <w:spacing w:before="280" w:after="100"/>
      </w:pPr>
      <w:r>
        <w:rPr>
          <w:rFonts w:ascii="Georgia" w:cs="Georgia" w:eastAsia="Georgia" w:hAnsi="Georgia"/>
          <w:b/>
          <w:bCs/>
          <w:color w:val="1E40AF"/>
          <w:sz w:val="28"/>
          <w:szCs w:val="28"/>
        </w:rPr>
        <w:t xml:space="preserve">16.1 Freemium Tier — Edstellar 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FR-FR-XC-006  </w:t>
            </w:r>
            <w:r>
              <w:rPr>
                <w:rFonts w:ascii="Calibri" w:cs="Calibri" w:eastAsia="Calibri" w:hAnsi="Calibri"/>
                <w:b/>
                <w:bCs/>
                <w:color w:val="0F172A"/>
                <w:sz w:val="21"/>
                <w:szCs w:val="21"/>
              </w:rPr>
              <w:t xml:space="preserve">Free tier scope is permanently defined</w:t>
            </w:r>
          </w:p>
          <w:p>
            <w:pPr>
              <w:spacing w:before="0" w:after="0"/>
            </w:pPr>
            <w:r>
              <w:rPr>
                <w:rFonts w:ascii="Calibri" w:cs="Calibri" w:eastAsia="Calibri" w:hAnsi="Calibri"/>
                <w:color w:val="374151"/>
                <w:sz w:val="20"/>
                <w:szCs w:val="20"/>
              </w:rPr>
              <w:t xml:space="preserve">The free tier (Edstellar Lite) includes: full L1 functionality for up to 30 Active Participants, 3 of 8 InsightBoard dashboard sections (Workforce Overview, Skills Inventory, Skill Gap Analysis), one free assessment cycle, and Employee Skill Passport creation. The free tier is permanent — not time-limited. Active Participant count limit of 30 is enforced at the API layer. At 28 employees, a non-blocking upgrade prompt is shown. At 30 employees, new Active Participant additions are blocked.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8"/>
              <w:left w:val="single" w:color="1D4ED8" w:sz="14"/>
              <w:bottom w:val="single" w:color="1D4ED8" w:sz="4"/>
              <w:right w:val="single" w:color="1D4ED8" w:sz="4"/>
            </w:tcBorders>
            <w:shd w:fill="EFF6FF" w:val="clear"/>
            <w:tcMar>
              <w:top w:type="dxa" w:w="100"/>
              <w:left w:type="dxa" w:w="180"/>
              <w:bottom w:type="dxa" w:w="100"/>
              <w:right w:type="dxa" w:w="160"/>
            </w:tcMar>
          </w:tcPr>
          <w:p>
            <w:pPr>
              <w:spacing w:before="0" w:after="40"/>
            </w:pPr>
            <w:r>
              <w:rPr>
                <w:rFonts w:ascii="Calibri" w:cs="Calibri" w:eastAsia="Calibri" w:hAnsi="Calibri"/>
                <w:b/>
                <w:bCs/>
                <w:caps/>
                <w:color w:val="1D4ED8"/>
                <w:sz w:val="17"/>
                <w:szCs w:val="17"/>
              </w:rPr>
              <w:t xml:space="preserve">FR-FR-XC-007  </w:t>
            </w:r>
            <w:r>
              <w:rPr>
                <w:rFonts w:ascii="Calibri" w:cs="Calibri" w:eastAsia="Calibri" w:hAnsi="Calibri"/>
                <w:b/>
                <w:bCs/>
                <w:color w:val="0F172A"/>
                <w:sz w:val="21"/>
                <w:szCs w:val="21"/>
              </w:rPr>
              <w:t xml:space="preserve">Locked features show data-informed previews — not generic gates</w:t>
            </w:r>
          </w:p>
          <w:p>
            <w:pPr>
              <w:spacing w:before="0" w:after="0"/>
            </w:pPr>
            <w:r>
              <w:rPr>
                <w:rFonts w:ascii="Calibri" w:cs="Calibri" w:eastAsia="Calibri" w:hAnsi="Calibri"/>
                <w:color w:val="374151"/>
                <w:sz w:val="20"/>
                <w:szCs w:val="20"/>
              </w:rPr>
              <w:t xml:space="preserve">When a free-tier user views a locked dashboard section: the system MUST show a preview using actual data from their own organisation. For example: 'You have 4 employees with certifications expiring in the next 90 days — upgrade to see who and take action.' This preview MUST be generated from live data — it MUST NOT be a generic placeholder. The preview shows enough to create upgrade desire without exposing the full data that a paid tier would reveal.</w:t>
            </w:r>
          </w:p>
        </w:tc>
      </w:tr>
    </w:tbl>
    <w:p>
      <w:pPr>
        <w:spacing w:before="0" w:after="80"/>
      </w:pPr>
    </w:p>
    <w:p>
      <w:pPr>
        <w:pStyle w:val="Heading2"/>
        <w:spacing w:before="280" w:after="100"/>
      </w:pPr>
      <w:r>
        <w:rPr>
          <w:rFonts w:ascii="Georgia" w:cs="Georgia" w:eastAsia="Georgia" w:hAnsi="Georgia"/>
          <w:b/>
          <w:bCs/>
          <w:color w:val="1E40AF"/>
          <w:sz w:val="28"/>
          <w:szCs w:val="28"/>
        </w:rPr>
        <w:t xml:space="preserve">16.2 Level Gate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360"/>
        <w:gridCol w:w="6200"/>
      </w:tblGrid>
      <w:tr>
        <w:tc>
          <w:tcPr>
            <w:tcW w:type="dxa" w:w="8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Gate</w:t>
            </w:r>
          </w:p>
        </w:tc>
        <w:tc>
          <w:tcPr>
            <w:tcW w:type="dxa" w:w="236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Unlocks</w:t>
            </w:r>
          </w:p>
        </w:tc>
        <w:tc>
          <w:tcPr>
            <w:tcW w:type="dxa" w:w="6200"/>
            <w:tcBorders>
              <w:top w:val="single" w:color="FFFFFF" w:sz="4"/>
              <w:left w:val="single" w:color="FFFFFF" w:sz="4"/>
              <w:bottom w:val="single" w:color="FFFFFF" w:sz="4"/>
              <w:right w:val="single" w:color="FFFFFF" w:sz="4"/>
            </w:tcBorders>
            <w:shd w:fill="0F172A" w:val="clear"/>
            <w:tcMar>
              <w:top w:type="dxa" w:w="80"/>
              <w:left w:type="dxa" w:w="120"/>
              <w:bottom w:type="dxa" w:w="80"/>
              <w:right w:type="dxa" w:w="120"/>
            </w:tcMar>
          </w:tcPr>
          <w:p>
            <w:r>
              <w:rPr>
                <w:rFonts w:ascii="Calibri" w:cs="Calibri" w:eastAsia="Calibri" w:hAnsi="Calibri"/>
                <w:b/>
                <w:bCs/>
                <w:color w:val="FFFFFF"/>
                <w:sz w:val="19"/>
                <w:szCs w:val="19"/>
              </w:rPr>
              <w:t xml:space="preserve">Required Completion Criteria</w:t>
            </w:r>
          </w:p>
        </w:tc>
      </w:tr>
      <w:tr>
        <w:tc>
          <w:tcPr>
            <w:tcW w:type="dxa" w:w="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L1→L2</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AssessEngine, LNA, LNI, LearnPath, Succession, Wellbeing</w:t>
            </w:r>
          </w:p>
        </w:tc>
        <w:tc>
          <w:tcPr>
            <w:tcW w:type="dxa" w:w="6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FrameworkBible published (Tier 3 HR Head approval complete). This is the only gate criterion for L2. The gate is technical — the API begins returning 200 for L2 endpoints within 60 seconds of publish.</w:t>
            </w:r>
          </w:p>
        </w:tc>
      </w:tr>
      <w:tr>
        <w:tc>
          <w:tcPr>
            <w:tcW w:type="dxa" w:w="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L2→L3</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TrainConnect, Certificate Engine, Content Outline, L&amp;D Project Engine, ReportGen L3</w:t>
            </w:r>
          </w:p>
        </w:tc>
        <w:tc>
          <w:tcPr>
            <w:tcW w:type="dxa" w:w="6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At least one complete assessment cycle closed AND validated proficiency data exists for ≥80% of Active Participants in at least one department. System checks this automatically — no manual gate approval required.</w:t>
            </w:r>
          </w:p>
        </w:tc>
      </w:tr>
      <w:tr>
        <w:tc>
          <w:tcPr>
            <w:tcW w:type="dxa" w:w="800"/>
            <w:tcBorders>
              <w:top w:val="single" w:color="E5E7EB" w:sz="4"/>
              <w:left w:val="single" w:color="E5E7EB" w:sz="4"/>
              <w:bottom w:val="single" w:color="E5E7EB" w:sz="4"/>
              <w:right w:val="single" w:color="E5E7EB" w:sz="4"/>
            </w:tcBorders>
            <w:shd w:fill="EFF6FF" w:val="clear"/>
            <w:tcMar>
              <w:top w:type="dxa" w:w="80"/>
              <w:left w:type="dxa" w:w="120"/>
              <w:bottom w:type="dxa" w:w="80"/>
              <w:right w:type="dxa" w:w="120"/>
            </w:tcMar>
          </w:tcPr>
          <w:p>
            <w:r>
              <w:rPr>
                <w:rFonts w:ascii="Calibri" w:cs="Calibri" w:eastAsia="Calibri" w:hAnsi="Calibri"/>
                <w:b/>
                <w:bCs/>
                <w:color w:val="0F172A"/>
                <w:sz w:val="19"/>
                <w:szCs w:val="19"/>
              </w:rPr>
              <w:t xml:space="preserve">L3→L4</w:t>
            </w:r>
          </w:p>
        </w:tc>
        <w:tc>
          <w:tcPr>
            <w:tcW w:type="dxa" w:w="236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PulseStrategy integrations, Predictive Engine, Proactive LNA triggers</w:t>
            </w:r>
          </w:p>
        </w:tc>
        <w:tc>
          <w:tcPr>
            <w:tcW w:type="dxa" w:w="6200"/>
            <w:tcBorders>
              <w:top w:val="single" w:color="E5E7EB" w:sz="4"/>
              <w:left w:val="single" w:color="E5E7EB" w:sz="4"/>
              <w:bottom w:val="single" w:color="E5E7EB" w:sz="4"/>
              <w:right w:val="single" w:color="E5E7EB" w:sz="4"/>
            </w:tcBorders>
            <w:shd w:fill="FFFFFF"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At least one Kirkpatrick L3 measurement completed on at least one training programme. At least one integration connector active and producing signals. Both checked automatically.</w:t>
            </w:r>
          </w:p>
        </w:tc>
      </w:tr>
      <w:tr>
        <w:tc>
          <w:tcPr>
            <w:tcW w:type="dxa" w:w="8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bCs/>
                <w:color w:val="374151"/>
                <w:sz w:val="19"/>
                <w:szCs w:val="19"/>
              </w:rPr>
              <w:t xml:space="preserve">L4→L5</w:t>
            </w:r>
          </w:p>
        </w:tc>
        <w:tc>
          <w:tcPr>
            <w:tcW w:type="dxa" w:w="236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Scenario modelling, Board dashboards, M&amp;A due diligence, Multi-year planning</w:t>
            </w:r>
          </w:p>
        </w:tc>
        <w:tc>
          <w:tcPr>
            <w:tcW w:type="dxa" w:w="6200"/>
            <w:tcBorders>
              <w:top w:val="single" w:color="E5E7EB" w:sz="4"/>
              <w:left w:val="single" w:color="E5E7EB" w:sz="4"/>
              <w:bottom w:val="single" w:color="E5E7EB" w:sz="4"/>
              <w:right w:val="single" w:color="E5E7EB" w:sz="4"/>
            </w:tcBorders>
            <w:shd w:fill="F8FAFC" w:val="clear"/>
            <w:tcMar>
              <w:top w:type="dxa" w:w="80"/>
              <w:left w:type="dxa" w:w="120"/>
              <w:bottom w:type="dxa" w:w="80"/>
              <w:right w:type="dxa" w:w="120"/>
            </w:tcMar>
          </w:tcPr>
          <w:p>
            <w:r>
              <w:rPr>
                <w:rFonts w:ascii="Calibri" w:cs="Calibri" w:eastAsia="Calibri" w:hAnsi="Calibri"/>
                <w:b w:val="false"/>
                <w:bCs w:val="false"/>
                <w:color w:val="374151"/>
                <w:sz w:val="19"/>
                <w:szCs w:val="19"/>
              </w:rPr>
              <w:t xml:space="preserve">At least 90 days of continuous L4 tracking data (proficiency history records with signal-detected source). Checked automatically. Board dashboard unlocks with a 'Building your intelligence history' state for the first 90 days.</w:t>
            </w:r>
          </w:p>
        </w:tc>
      </w:tr>
    </w:tbl>
    <w:p>
      <w:pPr>
        <w:spacing w:before="0" w:after="120"/>
      </w:pPr>
    </w:p>
    <w:p>
      <w:pPr>
        <w:spacing w:before="0" w:after="0"/>
        <w:jc w:val="center"/>
      </w:pPr>
      <w:r>
        <w:rPr>
          <w:rFonts w:ascii="Calibri" w:cs="Calibri" w:eastAsia="Calibri" w:hAnsi="Calibri"/>
          <w:color w:val="6B7280"/>
          <w:sz w:val="18"/>
          <w:szCs w:val="18"/>
        </w:rPr>
        <w:t xml:space="preserve">Edstellar Skills Intelligence Platform — Functional Requirements Document v1.0 — March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Georgia" w:cs="Georgia" w:eastAsia="Georgia" w:hAnsi="Georgia"/>
      <w:b/>
      <w:bCs/>
      <w:color w:val="0F172A"/>
      <w:sz w:val="38"/>
      <w:szCs w:val="38"/>
    </w:rPr>
  </w:style>
  <w:style w:type="paragraph" w:styleId="Heading2">
    <w:name w:val="Heading 2"/>
    <w:basedOn w:val="Normal"/>
    <w:next w:val="Normal"/>
    <w:qFormat/>
    <w:pPr>
      <w:spacing w:before="280" w:after="100"/>
      <w:outlineLvl w:val="1"/>
    </w:pPr>
    <w:rPr>
      <w:rFonts w:ascii="Georgia" w:cs="Georgia" w:eastAsia="Georgia" w:hAnsi="Georgia"/>
      <w:b/>
      <w:bCs/>
      <w:color w:val="1E40AF"/>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2026-04-03T10:15:09.917Z</dcterms:created>
  <dcterms:modified xsi:type="dcterms:W3CDTF">2026-04-03T10:15:09.918Z</dcterms:modified>
</cp:coreProperties>
</file>

<file path=docProps/custom.xml><?xml version="1.0" encoding="utf-8"?>
<Properties xmlns="http://schemas.openxmlformats.org/officeDocument/2006/custom-properties" xmlns:vt="http://schemas.openxmlformats.org/officeDocument/2006/docPropsVTypes"/>
</file>