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p>
    <w:p>
      <w:pPr>
        <w:spacing w:before="0" w:after="60"/>
        <w:jc w:val="center"/>
      </w:pPr>
      <w:r>
        <w:rPr>
          <w:rFonts w:ascii="Arial" w:cs="Arial" w:eastAsia="Arial" w:hAnsi="Arial"/>
          <w:b/>
          <w:bCs/>
          <w:caps/>
          <w:color w:val="6B7280"/>
          <w:spacing w:val="120"/>
          <w:sz w:val="26"/>
          <w:szCs w:val="26"/>
        </w:rPr>
        <w:t xml:space="preserve">BUSINESS REQUIREMENTS DOCUMENT</w:t>
      </w:r>
    </w:p>
    <w:p>
      <w:pPr>
        <w:pBdr>
          <w:bottom w:val="single" w:color="1E6FFF" w:sz="12" w:space="1"/>
        </w:pBdr>
        <w:spacing w:before="0" w:after="0"/>
        <w:jc w:val="center"/>
      </w:pPr>
      <w:r>
        <w:rPr>
          <w:rFonts w:ascii="Arial" w:cs="Arial" w:eastAsia="Arial" w:hAnsi="Arial"/>
          <w:sz w:val="4"/>
          <w:szCs w:val="4"/>
        </w:rPr>
        <w:t xml:space="preserve"> </w:t>
      </w:r>
    </w:p>
    <w:p>
      <w:pPr>
        <w:spacing w:before="0" w:after="80"/>
      </w:pPr>
    </w:p>
    <w:p>
      <w:pPr>
        <w:spacing w:before="0" w:after="60"/>
        <w:jc w:val="center"/>
      </w:pPr>
      <w:r>
        <w:rPr>
          <w:rFonts w:ascii="Arial" w:cs="Arial" w:eastAsia="Arial" w:hAnsi="Arial"/>
          <w:b/>
          <w:bCs/>
          <w:color w:val="1E6FFF"/>
          <w:sz w:val="60"/>
          <w:szCs w:val="60"/>
        </w:rPr>
        <w:t xml:space="preserve">Edstellar</w:t>
      </w:r>
    </w:p>
    <w:p>
      <w:pPr>
        <w:spacing w:before="0" w:after="40"/>
        <w:jc w:val="center"/>
      </w:pPr>
      <w:r>
        <w:rPr>
          <w:rFonts w:ascii="Arial" w:cs="Arial" w:eastAsia="Arial" w:hAnsi="Arial"/>
          <w:b/>
          <w:bCs/>
          <w:color w:val="1E3A6E"/>
          <w:sz w:val="52"/>
          <w:szCs w:val="52"/>
        </w:rPr>
        <w:t xml:space="preserve">Skills Intelligence Platform</w:t>
      </w:r>
    </w:p>
    <w:p>
      <w:pPr>
        <w:spacing w:before="0" w:after="40"/>
      </w:pPr>
    </w:p>
    <w:p>
      <w:pPr>
        <w:spacing w:before="0" w:after="40"/>
        <w:jc w:val="center"/>
      </w:pPr>
      <w:r>
        <w:rPr>
          <w:rFonts w:ascii="Arial" w:cs="Arial" w:eastAsia="Arial" w:hAnsi="Arial"/>
          <w:i/>
          <w:iCs/>
          <w:color w:val="1E6FFF"/>
          <w:sz w:val="26"/>
          <w:szCs w:val="26"/>
        </w:rPr>
        <w:t xml:space="preserve">Level 1 through Level 5 — Complete Platform Specification</w:t>
      </w:r>
    </w:p>
    <w:p>
      <w:pPr>
        <w:spacing w:before="0" w:after="0"/>
        <w:jc w:val="center"/>
      </w:pPr>
      <w:r>
        <w:rPr>
          <w:rFonts w:ascii="Arial" w:cs="Arial" w:eastAsia="Arial" w:hAnsi="Arial"/>
          <w:color w:val="6B7280"/>
          <w:sz w:val="22"/>
          <w:szCs w:val="22"/>
        </w:rPr>
        <w:t xml:space="preserve">26 Sections  ·  14+ Modules  ·  Marketplace Ecosystem  ·  SaaS + On-Premise</w:t>
      </w:r>
    </w:p>
    <w:p>
      <w:pPr>
        <w:spacing w:before="0" w:after="20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tcBorders>
              <w:top w:val="none" w:color="FFFFFF" w:sz="0"/>
              <w:left w:val="none" w:color="FFFFFF" w:sz="0"/>
              <w:bottom w:val="none" w:color="FFFFFF" w:sz="0"/>
              <w:right w:val="none" w:color="FFFFFF" w:sz="0"/>
            </w:tcBorders>
            <w:shd w:fill="1E3A6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Document Version</w:t>
            </w:r>
          </w:p>
        </w:tc>
        <w:tc>
          <w:tcPr>
            <w:tcW w:type="dxa" w:w="4000"/>
            <w:tcBorders>
              <w:top w:val="none" w:color="FFFFFF" w:sz="0"/>
              <w:left w:val="none" w:color="FFFFFF" w:sz="0"/>
              <w:bottom w:val="none" w:color="FFFFFF" w:sz="0"/>
              <w:right w:val="none" w:color="FFFFFF" w:sz="0"/>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3.0</w:t>
            </w:r>
          </w:p>
        </w:tc>
      </w:tr>
      <w:tr>
        <w:tc>
          <w:tcPr>
            <w:tcW w:type="dxa" w:w="2400"/>
            <w:tcBorders>
              <w:top w:val="none" w:color="FFFFFF" w:sz="0"/>
              <w:left w:val="none" w:color="FFFFFF" w:sz="0"/>
              <w:bottom w:val="none" w:color="FFFFFF" w:sz="0"/>
              <w:right w:val="none" w:color="FFFFFF" w:sz="0"/>
            </w:tcBorders>
            <w:shd w:fill="1E3A6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Date</w:t>
            </w:r>
          </w:p>
        </w:tc>
        <w:tc>
          <w:tcPr>
            <w:tcW w:type="dxa" w:w="4000"/>
            <w:tcBorders>
              <w:top w:val="none" w:color="FFFFFF" w:sz="0"/>
              <w:left w:val="none" w:color="FFFFFF" w:sz="0"/>
              <w:bottom w:val="none" w:color="FFFFFF" w:sz="0"/>
              <w:right w:val="none" w:color="FFFFFF" w:sz="0"/>
            </w:tcBorders>
            <w:shd w:fill="EFF5FF" w:val="clear"/>
            <w:tcMar>
              <w:top w:type="dxa" w:w="80"/>
              <w:left w:type="dxa" w:w="120"/>
              <w:bottom w:type="dxa" w:w="80"/>
              <w:right w:type="dxa" w:w="120"/>
            </w:tcMar>
          </w:tcPr>
          <w:p>
            <w:r>
              <w:rPr>
                <w:rFonts w:ascii="Arial" w:cs="Arial" w:eastAsia="Arial" w:hAnsi="Arial"/>
                <w:color w:val="374151"/>
                <w:sz w:val="20"/>
                <w:szCs w:val="20"/>
              </w:rPr>
              <w:t xml:space="preserve">March 2026</w:t>
            </w:r>
          </w:p>
        </w:tc>
      </w:tr>
      <w:tr>
        <w:tc>
          <w:tcPr>
            <w:tcW w:type="dxa" w:w="2400"/>
            <w:tcBorders>
              <w:top w:val="none" w:color="FFFFFF" w:sz="0"/>
              <w:left w:val="none" w:color="FFFFFF" w:sz="0"/>
              <w:bottom w:val="none" w:color="FFFFFF" w:sz="0"/>
              <w:right w:val="none" w:color="FFFFFF" w:sz="0"/>
            </w:tcBorders>
            <w:shd w:fill="1E3A6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Based On</w:t>
            </w:r>
          </w:p>
        </w:tc>
        <w:tc>
          <w:tcPr>
            <w:tcW w:type="dxa" w:w="4000"/>
            <w:tcBorders>
              <w:top w:val="none" w:color="FFFFFF" w:sz="0"/>
              <w:left w:val="none" w:color="FFFFFF" w:sz="0"/>
              <w:bottom w:val="none" w:color="FFFFFF" w:sz="0"/>
              <w:right w:val="none" w:color="FFFFFF" w:sz="0"/>
            </w:tcBorders>
            <w:shd w:fill="EFF5FF" w:val="clear"/>
            <w:tcMar>
              <w:top w:type="dxa" w:w="80"/>
              <w:left w:type="dxa" w:w="120"/>
              <w:bottom w:type="dxa" w:w="80"/>
              <w:right w:type="dxa" w:w="120"/>
            </w:tcMar>
          </w:tcPr>
          <w:p>
            <w:r>
              <w:rPr>
                <w:rFonts w:ascii="Arial" w:cs="Arial" w:eastAsia="Arial" w:hAnsi="Arial"/>
                <w:color w:val="374151"/>
                <w:sz w:val="20"/>
                <w:szCs w:val="20"/>
              </w:rPr>
              <w:t xml:space="preserve">Product Document v19 + SIP Flowchart v8</w:t>
            </w:r>
          </w:p>
        </w:tc>
      </w:tr>
      <w:tr>
        <w:tc>
          <w:tcPr>
            <w:tcW w:type="dxa" w:w="2400"/>
            <w:tcBorders>
              <w:top w:val="none" w:color="FFFFFF" w:sz="0"/>
              <w:left w:val="none" w:color="FFFFFF" w:sz="0"/>
              <w:bottom w:val="none" w:color="FFFFFF" w:sz="0"/>
              <w:right w:val="none" w:color="FFFFFF" w:sz="0"/>
            </w:tcBorders>
            <w:shd w:fill="1E3A6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Prepared By</w:t>
            </w:r>
          </w:p>
        </w:tc>
        <w:tc>
          <w:tcPr>
            <w:tcW w:type="dxa" w:w="4000"/>
            <w:tcBorders>
              <w:top w:val="none" w:color="FFFFFF" w:sz="0"/>
              <w:left w:val="none" w:color="FFFFFF" w:sz="0"/>
              <w:bottom w:val="none" w:color="FFFFFF" w:sz="0"/>
              <w:right w:val="none" w:color="FFFFFF" w:sz="0"/>
            </w:tcBorders>
            <w:shd w:fill="EFF5FF" w:val="clear"/>
            <w:tcMar>
              <w:top w:type="dxa" w:w="80"/>
              <w:left w:type="dxa" w:w="120"/>
              <w:bottom w:type="dxa" w:w="80"/>
              <w:right w:type="dxa" w:w="120"/>
            </w:tcMar>
          </w:tcPr>
          <w:p>
            <w:r>
              <w:rPr>
                <w:rFonts w:ascii="Arial" w:cs="Arial" w:eastAsia="Arial" w:hAnsi="Arial"/>
                <w:color w:val="374151"/>
                <w:sz w:val="20"/>
                <w:szCs w:val="20"/>
              </w:rPr>
              <w:t xml:space="preserve">Edstellar Head of Product &amp; AI</w:t>
            </w:r>
          </w:p>
        </w:tc>
      </w:tr>
      <w:tr>
        <w:tc>
          <w:tcPr>
            <w:tcW w:type="dxa" w:w="2400"/>
            <w:tcBorders>
              <w:top w:val="none" w:color="FFFFFF" w:sz="0"/>
              <w:left w:val="none" w:color="FFFFFF" w:sz="0"/>
              <w:bottom w:val="none" w:color="FFFFFF" w:sz="0"/>
              <w:right w:val="none" w:color="FFFFFF" w:sz="0"/>
            </w:tcBorders>
            <w:shd w:fill="1E3A6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Prepared For</w:t>
            </w:r>
          </w:p>
        </w:tc>
        <w:tc>
          <w:tcPr>
            <w:tcW w:type="dxa" w:w="4000"/>
            <w:tcBorders>
              <w:top w:val="none" w:color="FFFFFF" w:sz="0"/>
              <w:left w:val="none" w:color="FFFFFF" w:sz="0"/>
              <w:bottom w:val="none" w:color="FFFFFF" w:sz="0"/>
              <w:right w:val="none" w:color="FFFFFF" w:sz="0"/>
            </w:tcBorders>
            <w:shd w:fill="EFF5FF" w:val="clear"/>
            <w:tcMar>
              <w:top w:type="dxa" w:w="80"/>
              <w:left w:type="dxa" w:w="120"/>
              <w:bottom w:type="dxa" w:w="80"/>
              <w:right w:type="dxa" w:w="120"/>
            </w:tcMar>
          </w:tcPr>
          <w:p>
            <w:r>
              <w:rPr>
                <w:rFonts w:ascii="Arial" w:cs="Arial" w:eastAsia="Arial" w:hAnsi="Arial"/>
                <w:color w:val="374151"/>
                <w:sz w:val="20"/>
                <w:szCs w:val="20"/>
              </w:rPr>
              <w:t xml:space="preserve">AI Development Agency (Vendor)</w:t>
            </w:r>
          </w:p>
        </w:tc>
      </w:tr>
      <w:tr>
        <w:tc>
          <w:tcPr>
            <w:tcW w:type="dxa" w:w="2400"/>
            <w:tcBorders>
              <w:top w:val="none" w:color="FFFFFF" w:sz="0"/>
              <w:left w:val="none" w:color="FFFFFF" w:sz="0"/>
              <w:bottom w:val="none" w:color="FFFFFF" w:sz="0"/>
              <w:right w:val="none" w:color="FFFFFF" w:sz="0"/>
            </w:tcBorders>
            <w:shd w:fill="1E3A6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Project Type</w:t>
            </w:r>
          </w:p>
        </w:tc>
        <w:tc>
          <w:tcPr>
            <w:tcW w:type="dxa" w:w="4000"/>
            <w:tcBorders>
              <w:top w:val="none" w:color="FFFFFF" w:sz="0"/>
              <w:left w:val="none" w:color="FFFFFF" w:sz="0"/>
              <w:bottom w:val="none" w:color="FFFFFF" w:sz="0"/>
              <w:right w:val="none" w:color="FFFFFF" w:sz="0"/>
            </w:tcBorders>
            <w:shd w:fill="EFF5FF" w:val="clear"/>
            <w:tcMar>
              <w:top w:type="dxa" w:w="80"/>
              <w:left w:type="dxa" w:w="120"/>
              <w:bottom w:type="dxa" w:w="80"/>
              <w:right w:type="dxa" w:w="120"/>
            </w:tcMar>
          </w:tcPr>
          <w:p>
            <w:r>
              <w:rPr>
                <w:rFonts w:ascii="Arial" w:cs="Arial" w:eastAsia="Arial" w:hAnsi="Arial"/>
                <w:color w:val="374151"/>
                <w:sz w:val="20"/>
                <w:szCs w:val="20"/>
              </w:rPr>
              <w:t xml:space="preserve">SaaS — Multi-Tenant, Scale-Agnostic, On-Premise Deployable</w:t>
            </w:r>
          </w:p>
        </w:tc>
      </w:tr>
      <w:tr>
        <w:tc>
          <w:tcPr>
            <w:tcW w:type="dxa" w:w="2400"/>
            <w:tcBorders>
              <w:top w:val="none" w:color="FFFFFF" w:sz="0"/>
              <w:left w:val="none" w:color="FFFFFF" w:sz="0"/>
              <w:bottom w:val="none" w:color="FFFFFF" w:sz="0"/>
              <w:right w:val="none" w:color="FFFFFF" w:sz="0"/>
            </w:tcBorders>
            <w:shd w:fill="1E3A6E"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Confidentiality</w:t>
            </w:r>
          </w:p>
        </w:tc>
        <w:tc>
          <w:tcPr>
            <w:tcW w:type="dxa" w:w="4000"/>
            <w:tcBorders>
              <w:top w:val="none" w:color="FFFFFF" w:sz="0"/>
              <w:left w:val="none" w:color="FFFFFF" w:sz="0"/>
              <w:bottom w:val="none" w:color="FFFFFF" w:sz="0"/>
              <w:right w:val="none" w:color="FFFFFF" w:sz="0"/>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Confidential — Internal Use Only</w:t>
            </w:r>
          </w:p>
        </w:tc>
      </w:tr>
    </w:tbl>
    <w:p>
      <w:pPr>
        <w:spacing w:before="0" w:after="400"/>
      </w:pPr>
    </w:p>
    <w:p>
      <w:pPr>
        <w:pageBreakBefore/>
      </w:pPr>
      <w:r>
        <w:t xml:space="preserve"/>
      </w:r>
    </w:p>
    <w:p>
      <w:pPr>
        <w:pStyle w:val="Heading1"/>
        <w:spacing w:before="400" w:after="160"/>
      </w:pPr>
      <w:r>
        <w:rPr>
          <w:rFonts w:ascii="Arial" w:cs="Arial" w:eastAsia="Arial" w:hAnsi="Arial"/>
          <w:b/>
          <w:bCs/>
          <w:color w:val="1E3A6E"/>
          <w:sz w:val="40"/>
          <w:szCs w:val="40"/>
        </w:rPr>
        <w:t xml:space="preserve">1. Executive Summary</w:t>
      </w:r>
    </w:p>
    <w:p>
      <w:pPr>
        <w:spacing w:before="0" w:after="100"/>
        <w:jc w:val="left"/>
      </w:pPr>
      <w:r>
        <w:rPr>
          <w:rFonts w:ascii="Arial" w:cs="Arial" w:eastAsia="Arial" w:hAnsi="Arial"/>
          <w:b w:val="false"/>
          <w:bCs w:val="false"/>
          <w:i w:val="false"/>
          <w:iCs w:val="false"/>
          <w:color w:val="374151"/>
          <w:sz w:val="22"/>
          <w:szCs w:val="22"/>
        </w:rPr>
        <w:t xml:space="preserve">Edstellar is building a Skills Intelligence Platform — a multi-tenant SaaS application (with on-premise deployment option) that enables organisations to configure their strategic context, import workforce data, generate AI-powered skill and competency frameworks, conduct structured assessments, deliver targeted learning interventions, continuously track skill evolution, and plan strategically for workforce transformation.</w:t>
      </w:r>
    </w:p>
    <w:p>
      <w:pPr>
        <w:spacing w:before="0" w:after="80"/>
      </w:pPr>
    </w:p>
    <w:p>
      <w:pPr>
        <w:spacing w:before="0" w:after="100"/>
        <w:jc w:val="left"/>
      </w:pPr>
      <w:r>
        <w:rPr>
          <w:rFonts w:ascii="Arial" w:cs="Arial" w:eastAsia="Arial" w:hAnsi="Arial"/>
          <w:b w:val="false"/>
          <w:bCs w:val="false"/>
          <w:i w:val="false"/>
          <w:iCs w:val="false"/>
          <w:color w:val="374151"/>
          <w:sz w:val="22"/>
          <w:szCs w:val="22"/>
        </w:rPr>
        <w:t xml:space="preserve">The platform operates across 5 progressive, gated levels delivered through 14+ feature-based modules. Organisations begin at Level 1 by default and unlock each subsequent level only upon verified completion of the previous one. Data quality cascades upward — each level builds on validated outputs from the level below, ensuring that every analytical output and strategic decision rests on a verified, current foundation.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FF" w:sz="8"/>
              <w:left w:val="single" w:color="1E6FFF" w:sz="14"/>
              <w:bottom w:val="single" w:color="1E6FFF" w:sz="4"/>
              <w:right w:val="single" w:color="1E6FFF" w:sz="4"/>
            </w:tcBorders>
            <w:shd w:fill="EFF5FF" w:val="clear"/>
            <w:tcMar>
              <w:top w:type="dxa" w:w="120"/>
              <w:left w:type="dxa" w:w="180"/>
              <w:bottom w:type="dxa" w:w="120"/>
              <w:right w:type="dxa" w:w="160"/>
            </w:tcMar>
          </w:tcPr>
          <w:p>
            <w:pPr>
              <w:spacing w:before="0" w:after="60"/>
            </w:pPr>
            <w:r>
              <w:rPr>
                <w:rFonts w:ascii="Arial" w:cs="Arial" w:eastAsia="Arial" w:hAnsi="Arial"/>
                <w:b/>
                <w:bCs/>
                <w:color w:val="1E3A6E"/>
                <w:sz w:val="22"/>
                <w:szCs w:val="22"/>
              </w:rPr>
              <w:t xml:space="preserve">THE CORE DESIGN PRINCIPLE</w:t>
            </w:r>
          </w:p>
          <w:p>
            <w:pPr>
              <w:spacing w:before="0" w:after="0"/>
            </w:pPr>
            <w:r>
              <w:rPr>
                <w:rFonts w:ascii="Arial" w:cs="Arial" w:eastAsia="Arial" w:hAnsi="Arial"/>
                <w:color w:val="374151"/>
                <w:sz w:val="20"/>
                <w:szCs w:val="20"/>
              </w:rPr>
              <w:t xml:space="preserve">This is not a training management system. It is a workforce intelligence operating system. The platform converts two layers of organisational input — the OrgSetup strategic context layer and the DataPort people and operations layer — into a structured, verified, continuously improving intelligence framework that drives every learning, development, and workforce planning decision the organisation makes.</w:t>
            </w:r>
          </w:p>
        </w:tc>
      </w:tr>
    </w:tbl>
    <w:p>
      <w:pPr>
        <w:spacing w:before="0" w:after="120"/>
      </w:pPr>
    </w:p>
    <w:p>
      <w:pPr>
        <w:pStyle w:val="Heading3"/>
        <w:spacing w:before="220" w:after="80"/>
      </w:pPr>
      <w:r>
        <w:rPr>
          <w:rFonts w:ascii="Arial" w:cs="Arial" w:eastAsia="Arial" w:hAnsi="Arial"/>
          <w:b/>
          <w:bCs/>
          <w:color w:val="1E6FFF"/>
          <w:sz w:val="24"/>
          <w:szCs w:val="24"/>
        </w:rPr>
        <w:t xml:space="preserve">Core Platform Principles</w:t>
      </w:r>
    </w:p>
    <w:p>
      <w:pPr>
        <w:pStyle w:val="ListParagraph"/>
        <w:numPr>
          <w:ilvl w:val="0"/>
          <w:numId w:val="2"/>
        </w:numPr>
        <w:spacing w:before="0" w:after="60"/>
      </w:pPr>
      <w:r>
        <w:rPr>
          <w:rFonts w:ascii="Arial" w:cs="Arial" w:eastAsia="Arial" w:hAnsi="Arial"/>
          <w:color w:val="374151"/>
          <w:sz w:val="21"/>
          <w:szCs w:val="21"/>
        </w:rPr>
        <w:t xml:space="preserve">Two-Layer Input Architecture</w:t>
      </w:r>
      <w:r>
        <w:rPr>
          <w:rFonts w:ascii="Arial" w:cs="Arial" w:eastAsia="Arial" w:hAnsi="Arial"/>
          <w:i/>
          <w:iCs/>
          <w:color w:val="6B7280"/>
          <w:sz w:val="20"/>
          <w:szCs w:val="20"/>
        </w:rPr>
        <w:t xml:space="preserve"> — OrgSetup (strategic context, configured via UI) and DataPort (people and operations data, imported via Excel, HRIS sync, or manual entry) feed simultaneously into the 7-Prompt Claude AI pipeline. Both layers are required before AI generation can produce a meaningful output.</w:t>
      </w:r>
    </w:p>
    <w:p>
      <w:pPr>
        <w:pStyle w:val="ListParagraph"/>
        <w:numPr>
          <w:ilvl w:val="0"/>
          <w:numId w:val="2"/>
        </w:numPr>
        <w:spacing w:before="0" w:after="60"/>
      </w:pPr>
      <w:r>
        <w:rPr>
          <w:rFonts w:ascii="Arial" w:cs="Arial" w:eastAsia="Arial" w:hAnsi="Arial"/>
          <w:color w:val="374151"/>
          <w:sz w:val="21"/>
          <w:szCs w:val="21"/>
        </w:rPr>
        <w:t xml:space="preserve">Gated Level Progression</w:t>
      </w:r>
      <w:r>
        <w:rPr>
          <w:rFonts w:ascii="Arial" w:cs="Arial" w:eastAsia="Arial" w:hAnsi="Arial"/>
          <w:i/>
          <w:iCs/>
          <w:color w:val="6B7280"/>
          <w:sz w:val="20"/>
          <w:szCs w:val="20"/>
        </w:rPr>
        <w:t xml:space="preserve"> — Level 2 features are technically invisible until Level 1 is complete. The gate is enforced at the data layer, not merely in the UI. Each level builds on validated data from the previous.</w:t>
      </w:r>
    </w:p>
    <w:p>
      <w:pPr>
        <w:pStyle w:val="ListParagraph"/>
        <w:numPr>
          <w:ilvl w:val="0"/>
          <w:numId w:val="2"/>
        </w:numPr>
        <w:spacing w:before="0" w:after="60"/>
      </w:pPr>
      <w:r>
        <w:rPr>
          <w:rFonts w:ascii="Arial" w:cs="Arial" w:eastAsia="Arial" w:hAnsi="Arial"/>
          <w:color w:val="374151"/>
          <w:sz w:val="21"/>
          <w:szCs w:val="21"/>
        </w:rPr>
        <w:t xml:space="preserve">Skill Taxonomy Hierarchy</w:t>
      </w:r>
      <w:r>
        <w:rPr>
          <w:rFonts w:ascii="Arial" w:cs="Arial" w:eastAsia="Arial" w:hAnsi="Arial"/>
          <w:i/>
          <w:iCs/>
          <w:color w:val="6B7280"/>
          <w:sz w:val="20"/>
          <w:szCs w:val="20"/>
        </w:rPr>
        <w:t xml:space="preserve"> — All skills are organised across four levels: Domain → Knowledge Area → Skill Category → Skill. The AI generates and assigns every skill to its position in the taxonomy. Quantity is not fixed — it scales with the organisation's size, role diversity, and domain complexity.</w:t>
      </w:r>
    </w:p>
    <w:p>
      <w:pPr>
        <w:pStyle w:val="ListParagraph"/>
        <w:numPr>
          <w:ilvl w:val="0"/>
          <w:numId w:val="2"/>
        </w:numPr>
        <w:spacing w:before="0" w:after="60"/>
      </w:pPr>
      <w:r>
        <w:rPr>
          <w:rFonts w:ascii="Arial" w:cs="Arial" w:eastAsia="Arial" w:hAnsi="Arial"/>
          <w:color w:val="374151"/>
          <w:sz w:val="21"/>
          <w:szCs w:val="21"/>
        </w:rPr>
        <w:t xml:space="preserve">4-Level Proficiency Scale (CSU/CDBB)</w:t>
      </w:r>
      <w:r>
        <w:rPr>
          <w:rFonts w:ascii="Arial" w:cs="Arial" w:eastAsia="Arial" w:hAnsi="Arial"/>
          <w:i/>
          <w:iCs/>
          <w:color w:val="6B7280"/>
          <w:sz w:val="20"/>
          <w:szCs w:val="20"/>
        </w:rPr>
        <w:t xml:space="preserve"> — Awareness → Working → Practitioner → Expert. Observable behavioural descriptors at each level, AI-drafted and SME-approved. Applied consistently across skills, competencies, assessments, and development plans.</w:t>
      </w:r>
    </w:p>
    <w:p>
      <w:pPr>
        <w:pStyle w:val="ListParagraph"/>
        <w:numPr>
          <w:ilvl w:val="0"/>
          <w:numId w:val="2"/>
        </w:numPr>
        <w:spacing w:before="0" w:after="60"/>
      </w:pPr>
      <w:r>
        <w:rPr>
          <w:rFonts w:ascii="Arial" w:cs="Arial" w:eastAsia="Arial" w:hAnsi="Arial"/>
          <w:color w:val="374151"/>
          <w:sz w:val="21"/>
          <w:szCs w:val="21"/>
        </w:rPr>
        <w:t xml:space="preserve">7-Prompt AI Pipeline (SkillForge)</w:t>
      </w:r>
      <w:r>
        <w:rPr>
          <w:rFonts w:ascii="Arial" w:cs="Arial" w:eastAsia="Arial" w:hAnsi="Arial"/>
          <w:i/>
          <w:iCs/>
          <w:color w:val="6B7280"/>
          <w:sz w:val="20"/>
          <w:szCs w:val="20"/>
        </w:rPr>
        <w:t xml:space="preserve"> — Context Extraction → Deep Context Synthesis → Role Architecture Analysis → Skill Generation → Competency Generation → Role-Skill Mapping → Employee Baselines. All outputs are human-reviewable, human-editable, and protected by the is_modified flag.</w:t>
      </w:r>
    </w:p>
    <w:p>
      <w:pPr>
        <w:pStyle w:val="ListParagraph"/>
        <w:numPr>
          <w:ilvl w:val="0"/>
          <w:numId w:val="2"/>
        </w:numPr>
        <w:spacing w:before="0" w:after="60"/>
      </w:pPr>
      <w:r>
        <w:rPr>
          <w:rFonts w:ascii="Arial" w:cs="Arial" w:eastAsia="Arial" w:hAnsi="Arial"/>
          <w:color w:val="374151"/>
          <w:sz w:val="21"/>
          <w:szCs w:val="21"/>
        </w:rPr>
        <w:t xml:space="preserve">Weighted Gap Score Engine (LNA)</w:t>
      </w:r>
      <w:r>
        <w:rPr>
          <w:rFonts w:ascii="Arial" w:cs="Arial" w:eastAsia="Arial" w:hAnsi="Arial"/>
          <w:i/>
          <w:iCs/>
          <w:color w:val="6B7280"/>
          <w:sz w:val="20"/>
          <w:szCs w:val="20"/>
        </w:rPr>
        <w:t xml:space="preserve"> — Raw gap × five multipliers — Skill Criticality, Transformation Dial, Project Timeline Urgency, Performance Correlation, Employee Discovery Input. The result is a ranked, intervention-typed, capacity-adjusted learning needs brief per employee.</w:t>
      </w:r>
    </w:p>
    <w:p>
      <w:pPr>
        <w:pStyle w:val="ListParagraph"/>
        <w:numPr>
          <w:ilvl w:val="0"/>
          <w:numId w:val="2"/>
        </w:numPr>
        <w:spacing w:before="0" w:after="60"/>
      </w:pPr>
      <w:r>
        <w:rPr>
          <w:rFonts w:ascii="Arial" w:cs="Arial" w:eastAsia="Arial" w:hAnsi="Arial"/>
          <w:color w:val="374151"/>
          <w:sz w:val="21"/>
          <w:szCs w:val="21"/>
        </w:rPr>
        <w:t xml:space="preserve">Employee Skill Passport</w:t>
      </w:r>
      <w:r>
        <w:rPr>
          <w:rFonts w:ascii="Arial" w:cs="Arial" w:eastAsia="Arial" w:hAnsi="Arial"/>
          <w:i/>
          <w:iCs/>
          <w:color w:val="6B7280"/>
          <w:sz w:val="20"/>
          <w:szCs w:val="20"/>
        </w:rPr>
        <w:t xml:space="preserve"> — Every employee has a dedicated login and a living profile that accumulates all data across all levels and modules. Exportable as a verified document with QR authentication on employee exit.</w:t>
      </w:r>
    </w:p>
    <w:p>
      <w:pPr>
        <w:pStyle w:val="ListParagraph"/>
        <w:numPr>
          <w:ilvl w:val="0"/>
          <w:numId w:val="2"/>
        </w:numPr>
        <w:spacing w:before="0" w:after="60"/>
      </w:pPr>
      <w:r>
        <w:rPr>
          <w:rFonts w:ascii="Arial" w:cs="Arial" w:eastAsia="Arial" w:hAnsi="Arial"/>
          <w:color w:val="374151"/>
          <w:sz w:val="21"/>
          <w:szCs w:val="21"/>
        </w:rPr>
        <w:t xml:space="preserve">Marketplace Ecosystem</w:t>
      </w:r>
      <w:r>
        <w:rPr>
          <w:rFonts w:ascii="Arial" w:cs="Arial" w:eastAsia="Arial" w:hAnsi="Arial"/>
          <w:i/>
          <w:iCs/>
          <w:color w:val="6B7280"/>
          <w:sz w:val="20"/>
          <w:szCs w:val="20"/>
        </w:rPr>
        <w:t xml:space="preserve"> — Four interconnected platforms — Skills Intelligence Platform, Trainer and Coach Platform, Training Vendor Platform, and Edstellar Admin Console — forming a three-sided marketplace with six revenue streams.</w:t>
      </w:r>
    </w:p>
    <w:p>
      <w:pPr>
        <w:pStyle w:val="ListParagraph"/>
        <w:numPr>
          <w:ilvl w:val="0"/>
          <w:numId w:val="2"/>
        </w:numPr>
        <w:spacing w:before="0" w:after="60"/>
      </w:pPr>
      <w:r>
        <w:rPr>
          <w:rFonts w:ascii="Arial" w:cs="Arial" w:eastAsia="Arial" w:hAnsi="Arial"/>
          <w:color w:val="374151"/>
          <w:sz w:val="21"/>
          <w:szCs w:val="21"/>
        </w:rPr>
        <w:t xml:space="preserve">SaaS + On-Premise Deployment</w:t>
      </w:r>
      <w:r>
        <w:rPr>
          <w:rFonts w:ascii="Arial" w:cs="Arial" w:eastAsia="Arial" w:hAnsi="Arial"/>
          <w:i/>
          <w:iCs/>
          <w:color w:val="6B7280"/>
          <w:sz w:val="20"/>
          <w:szCs w:val="20"/>
        </w:rPr>
        <w:t xml:space="preserve"> — Multi-tenant cloud architecture by default with complete data isolation. Containerised on-premise deployment (Docker/Kubernetes) for enterprise clients with data sovereignty requirements.</w:t>
      </w:r>
    </w:p>
    <w:p>
      <w:pPr>
        <w:pStyle w:val="ListParagraph"/>
        <w:numPr>
          <w:ilvl w:val="0"/>
          <w:numId w:val="2"/>
        </w:numPr>
        <w:spacing w:before="0" w:after="60"/>
      </w:pPr>
      <w:r>
        <w:rPr>
          <w:rFonts w:ascii="Arial" w:cs="Arial" w:eastAsia="Arial" w:hAnsi="Arial"/>
          <w:color w:val="374151"/>
          <w:sz w:val="21"/>
          <w:szCs w:val="21"/>
        </w:rPr>
        <w:t xml:space="preserve">Scale-Agnostic Architecture</w:t>
      </w:r>
      <w:r>
        <w:rPr>
          <w:rFonts w:ascii="Arial" w:cs="Arial" w:eastAsia="Arial" w:hAnsi="Arial"/>
          <w:i/>
          <w:iCs/>
          <w:color w:val="6B7280"/>
          <w:sz w:val="20"/>
          <w:szCs w:val="20"/>
        </w:rPr>
        <w:t xml:space="preserve"> — Designed for organisations from 30 to 50,000+ employees. Horizontal scaling for compute, connection pooling for database, CDN for static assets.</w:t>
      </w:r>
    </w:p>
    <w:p>
      <w:pPr>
        <w:spacing w:before="0" w:after="80"/>
      </w:pPr>
    </w:p>
    <w:p>
      <w:pPr>
        <w:pBdr>
          <w:bottom w:val="single" w:color="BFDBFE" w:sz="6" w:space="1"/>
        </w:pBdr>
        <w:spacing w:before="240" w:after="240"/>
      </w:pPr>
    </w:p>
    <w:p>
      <w:pPr>
        <w:spacing w:before="0" w:after="80"/>
      </w:pPr>
    </w:p>
    <w:p>
      <w:pPr>
        <w:pStyle w:val="Heading3"/>
        <w:spacing w:before="220" w:after="80"/>
      </w:pPr>
      <w:r>
        <w:rPr>
          <w:rFonts w:ascii="Arial" w:cs="Arial" w:eastAsia="Arial" w:hAnsi="Arial"/>
          <w:b/>
          <w:bCs/>
          <w:color w:val="1E6FFF"/>
          <w:sz w:val="24"/>
          <w:szCs w:val="24"/>
        </w:rPr>
        <w:t xml:space="preserve">Document Scope</w:t>
      </w:r>
    </w:p>
    <w:p>
      <w:pPr>
        <w:spacing w:before="0" w:after="100"/>
        <w:jc w:val="left"/>
      </w:pPr>
      <w:r>
        <w:rPr>
          <w:rFonts w:ascii="Arial" w:cs="Arial" w:eastAsia="Arial" w:hAnsi="Arial"/>
          <w:b w:val="false"/>
          <w:bCs w:val="false"/>
          <w:i w:val="false"/>
          <w:iCs w:val="false"/>
          <w:color w:val="374151"/>
          <w:sz w:val="22"/>
          <w:szCs w:val="22"/>
        </w:rPr>
        <w:t xml:space="preserve">This BRD covers the complete platform specification across all 5 levels, 14+ modules, and the extended feature set added since BRD v2. It supersedes BRD v2 entirely. The product document v19 and SIP flowchart v8 are the primary source of truth. This document translates those into engineering requirements.</w:t>
      </w:r>
    </w:p>
    <w:p>
      <w:pPr>
        <w:pageBreakBefore/>
      </w:pPr>
      <w:r>
        <w:t xml:space="preserve"/>
      </w:r>
    </w:p>
    <w:p>
      <w:pPr>
        <w:pStyle w:val="Heading1"/>
        <w:spacing w:before="400" w:after="160"/>
      </w:pPr>
      <w:r>
        <w:rPr>
          <w:rFonts w:ascii="Arial" w:cs="Arial" w:eastAsia="Arial" w:hAnsi="Arial"/>
          <w:b/>
          <w:bCs/>
          <w:color w:val="1E3A6E"/>
          <w:sz w:val="40"/>
          <w:szCs w:val="40"/>
        </w:rPr>
        <w:t xml:space="preserve">2. Product Vision &amp; Architecture</w:t>
      </w:r>
    </w:p>
    <w:p>
      <w:pPr>
        <w:pStyle w:val="Heading2"/>
        <w:spacing w:before="300" w:after="120"/>
      </w:pPr>
      <w:r>
        <w:rPr>
          <w:rFonts w:ascii="Arial" w:cs="Arial" w:eastAsia="Arial" w:hAnsi="Arial"/>
          <w:b/>
          <w:bCs/>
          <w:color w:val="1E3A6E"/>
          <w:sz w:val="30"/>
          <w:szCs w:val="30"/>
        </w:rPr>
        <w:t xml:space="preserve">2.1 Five-Level Progressive Architecture</w:t>
      </w:r>
    </w:p>
    <w:p>
      <w:pPr>
        <w:spacing w:before="0" w:after="100"/>
        <w:jc w:val="left"/>
      </w:pPr>
      <w:r>
        <w:rPr>
          <w:rFonts w:ascii="Arial" w:cs="Arial" w:eastAsia="Arial" w:hAnsi="Arial"/>
          <w:b w:val="false"/>
          <w:bCs w:val="false"/>
          <w:i w:val="false"/>
          <w:iCs w:val="false"/>
          <w:color w:val="374151"/>
          <w:sz w:val="22"/>
          <w:szCs w:val="22"/>
        </w:rPr>
        <w:t xml:space="preserve">Each level must be fully completed before the next unlocks. This is enforced technically — Level 2 features do not appear in the interface until Level 1 is gate-complete.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2000"/>
        <w:gridCol w:w="3200"/>
        <w:gridCol w:w="1840"/>
      </w:tblGrid>
      <w:tr>
        <w:tc>
          <w:tcPr>
            <w:tcW w:type="dxa" w:w="72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6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184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Unlock Criteria</w:t>
            </w:r>
          </w:p>
        </w:tc>
      </w:tr>
      <w:tr>
        <w:tc>
          <w:tcPr>
            <w:tcW w:type="dxa" w:w="72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L1</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Import &amp; Intelligence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OrgSetup + DataPort + SkillForge + ApprovalHub + FrameworkBible + InsightBoard + ReportGen + SkillPassport + NotifyEngine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Two-layer input captured · 7-prompt AI framework generated · 3-tier approval complete · FrameworkBible published · Baselines live · L1 Completion Report generated</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Default — every org starts here</w:t>
            </w:r>
          </w:p>
        </w:tc>
      </w:tr>
      <w:tr>
        <w:tc>
          <w:tcPr>
            <w:tcW w:type="dxa" w:w="72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L2</w:t>
            </w:r>
          </w:p>
        </w:tc>
        <w:tc>
          <w:tcPr>
            <w:tcW w:type="dxa" w:w="16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val="false"/>
                <w:bCs w:val="false"/>
                <w:color w:val="374151"/>
                <w:sz w:val="20"/>
                <w:szCs w:val="20"/>
              </w:rPr>
              <w:t xml:space="preserve">Assessment, Analysis &amp; Learning</w:t>
            </w:r>
          </w:p>
        </w:tc>
        <w:tc>
          <w:tcPr>
            <w:tcW w:type="dxa" w:w="20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val="false"/>
                <w:bCs w:val="false"/>
                <w:color w:val="374151"/>
                <w:sz w:val="20"/>
                <w:szCs w:val="20"/>
              </w:rPr>
              <w:t xml:space="preserve">AssessEngine + Distribution Engine + AI Suggestion Engine + LNA/TNA + LNI/TNI + LearnPath + ReportGen L2 + Succession Planning</w:t>
            </w:r>
          </w:p>
        </w:tc>
        <w:tc>
          <w:tcPr>
            <w:tcW w:type="dxa" w:w="3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val="false"/>
                <w:bCs w:val="false"/>
                <w:color w:val="374151"/>
                <w:sz w:val="20"/>
                <w:szCs w:val="20"/>
              </w:rPr>
              <w:t xml:space="preserve">6-category assessments run · Skills Matrix validated · Weighted gap scores computed · LNI per employee · TNI per programme · Learning paths + IDPs generated · Succession pipeline active</w:t>
            </w:r>
          </w:p>
        </w:tc>
        <w:tc>
          <w:tcPr>
            <w:tcW w:type="dxa" w:w="184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val="false"/>
                <w:bCs w:val="false"/>
                <w:color w:val="374151"/>
                <w:sz w:val="20"/>
                <w:szCs w:val="20"/>
              </w:rPr>
              <w:t xml:space="preserve">L1 FrameworkBible published (Tier 3 approved)</w:t>
            </w:r>
          </w:p>
        </w:tc>
      </w:tr>
      <w:tr>
        <w:tc>
          <w:tcPr>
            <w:tcW w:type="dxa" w:w="72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L3</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Training Execution &amp; Delivery</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TrainConnect + Certificate Engine + Coaching &amp; Mentoring + AI Content Outline + L&amp;D/OD Project Engine + TMS + ReportGen L3</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Course marketplace live · LMS integrated · Delivery tracked · Certificates auto-issued · AI content outlines generated · Kirkpatrick L1–L4 measured</w:t>
            </w:r>
          </w:p>
        </w:tc>
        <w:tc>
          <w:tcPr>
            <w:tcW w:type="dxa" w:w="18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At least 1 full L2 assessment cycle completed · &gt;80% employees validated</w:t>
            </w:r>
          </w:p>
        </w:tc>
      </w:tr>
      <w:tr>
        <w:tc>
          <w:tcPr>
            <w:tcW w:type="dxa" w:w="72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r>
              <w:rPr>
                <w:rFonts w:ascii="Arial" w:cs="Arial" w:eastAsia="Arial" w:hAnsi="Arial"/>
                <w:b/>
                <w:bCs/>
                <w:color w:val="7C3AED"/>
                <w:sz w:val="20"/>
                <w:szCs w:val="20"/>
              </w:rPr>
              <w:t xml:space="preserve">L4</w:t>
            </w:r>
          </w:p>
        </w:tc>
        <w:tc>
          <w:tcPr>
            <w:tcW w:type="dxa" w:w="16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Continuous Intelligence</w:t>
            </w:r>
          </w:p>
        </w:tc>
        <w:tc>
          <w:tcPr>
            <w:tcW w:type="dxa" w:w="20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PulseStrategy Phase 1 + Real-time tracking + External signal integration + Predictive Engine + Transformation Meter</w:t>
            </w:r>
          </w:p>
        </w:tc>
        <w:tc>
          <w:tcPr>
            <w:tcW w:type="dxa" w:w="320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Real-time skill signals from project/tool/cert integrations · Predictive gap forecasting active · Proactive intervention triggers live · Transformation Dial driving LNI recalibration</w:t>
            </w:r>
          </w:p>
        </w:tc>
        <w:tc>
          <w:tcPr>
            <w:tcW w:type="dxa" w:w="1840"/>
            <w:tcBorders>
              <w:top w:val="single" w:color="E5E7EB" w:sz="4"/>
              <w:left w:val="single" w:color="E5E7EB" w:sz="4"/>
              <w:bottom w:val="single" w:color="E5E7EB" w:sz="4"/>
              <w:right w:val="single" w:color="E5E7EB" w:sz="4"/>
            </w:tcBorders>
            <w:shd w:fill="F5F3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Training delivery data exists · At least 1 post-training reassessment completed</w:t>
            </w:r>
          </w:p>
        </w:tc>
      </w:tr>
      <w:tr>
        <w:tc>
          <w:tcPr>
            <w:tcW w:type="dxa" w:w="720"/>
            <w:tcBorders>
              <w:top w:val="single" w:color="E5E7EB" w:sz="4"/>
              <w:left w:val="single" w:color="E5E7EB" w:sz="4"/>
              <w:bottom w:val="single" w:color="E5E7EB" w:sz="4"/>
              <w:right w:val="single" w:color="E5E7EB" w:sz="4"/>
            </w:tcBorders>
            <w:shd w:fill="ECFEFF" w:val="clear"/>
            <w:tcMar>
              <w:top w:type="dxa" w:w="80"/>
              <w:left w:type="dxa" w:w="120"/>
              <w:bottom w:type="dxa" w:w="80"/>
              <w:right w:type="dxa" w:w="120"/>
            </w:tcMar>
          </w:tcPr>
          <w:p>
            <w:r>
              <w:rPr>
                <w:rFonts w:ascii="Arial" w:cs="Arial" w:eastAsia="Arial" w:hAnsi="Arial"/>
                <w:b/>
                <w:bCs/>
                <w:color w:val="0891B2"/>
                <w:sz w:val="20"/>
                <w:szCs w:val="20"/>
              </w:rPr>
              <w:t xml:space="preserve">L5</w:t>
            </w:r>
          </w:p>
        </w:tc>
        <w:tc>
          <w:tcPr>
            <w:tcW w:type="dxa" w:w="1600"/>
            <w:tcBorders>
              <w:top w:val="single" w:color="E5E7EB" w:sz="4"/>
              <w:left w:val="single" w:color="E5E7EB" w:sz="4"/>
              <w:bottom w:val="single" w:color="E5E7EB" w:sz="4"/>
              <w:right w:val="single" w:color="E5E7EB" w:sz="4"/>
            </w:tcBorders>
            <w:shd w:fill="ECFE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Strategic Workforce Planning</w:t>
            </w:r>
          </w:p>
        </w:tc>
        <w:tc>
          <w:tcPr>
            <w:tcW w:type="dxa" w:w="2000"/>
            <w:tcBorders>
              <w:top w:val="single" w:color="E5E7EB" w:sz="4"/>
              <w:left w:val="single" w:color="E5E7EB" w:sz="4"/>
              <w:bottom w:val="single" w:color="E5E7EB" w:sz="4"/>
              <w:right w:val="single" w:color="E5E7EB" w:sz="4"/>
            </w:tcBorders>
            <w:shd w:fill="ECFE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PulseStrategy Phase 2 + Scenario modelling + M&amp;A due diligence + Board dashboards + Marketplace Ecosystem + Skill Passport Verification + Cross-Org Benchmarking</w:t>
            </w:r>
          </w:p>
        </w:tc>
        <w:tc>
          <w:tcPr>
            <w:tcW w:type="dxa" w:w="3200"/>
            <w:tcBorders>
              <w:top w:val="single" w:color="E5E7EB" w:sz="4"/>
              <w:left w:val="single" w:color="E5E7EB" w:sz="4"/>
              <w:bottom w:val="single" w:color="E5E7EB" w:sz="4"/>
              <w:right w:val="single" w:color="E5E7EB" w:sz="4"/>
            </w:tcBorders>
            <w:shd w:fill="ECFE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What-if scenario modelling · M&amp;A skill due diligence · Board-level dashboards · Full marketplace ecosystem · Passport verification for hiring companies · Industry benchmarking</w:t>
            </w:r>
          </w:p>
        </w:tc>
        <w:tc>
          <w:tcPr>
            <w:tcW w:type="dxa" w:w="1840"/>
            <w:tcBorders>
              <w:top w:val="single" w:color="E5E7EB" w:sz="4"/>
              <w:left w:val="single" w:color="E5E7EB" w:sz="4"/>
              <w:bottom w:val="single" w:color="E5E7EB" w:sz="4"/>
              <w:right w:val="single" w:color="E5E7EB" w:sz="4"/>
            </w:tcBorders>
            <w:shd w:fill="ECFE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Continuous tracking active for 90+ days with sufficient data density</w:t>
            </w:r>
          </w:p>
        </w:tc>
      </w:tr>
    </w:tbl>
    <w:p>
      <w:pPr>
        <w:spacing w:before="0" w:after="120"/>
      </w:pPr>
    </w:p>
    <w:p>
      <w:pPr>
        <w:pStyle w:val="Heading2"/>
        <w:spacing w:before="300" w:after="120"/>
      </w:pPr>
      <w:r>
        <w:rPr>
          <w:rFonts w:ascii="Arial" w:cs="Arial" w:eastAsia="Arial" w:hAnsi="Arial"/>
          <w:b/>
          <w:bCs/>
          <w:color w:val="1E3A6E"/>
          <w:sz w:val="30"/>
          <w:szCs w:val="30"/>
        </w:rPr>
        <w:t xml:space="preserve">2.2 Platform Module Map</w:t>
      </w:r>
    </w:p>
    <w:p>
      <w:pPr>
        <w:spacing w:before="0" w:after="100"/>
        <w:jc w:val="left"/>
      </w:pPr>
      <w:r>
        <w:rPr>
          <w:rFonts w:ascii="Arial" w:cs="Arial" w:eastAsia="Arial" w:hAnsi="Arial"/>
          <w:b w:val="false"/>
          <w:bCs w:val="false"/>
          <w:i w:val="false"/>
          <w:iCs w:val="false"/>
          <w:color w:val="374151"/>
          <w:sz w:val="22"/>
          <w:szCs w:val="22"/>
        </w:rPr>
        <w:t xml:space="preserve">The platform is decomposed into 14+ independent, composable modules. All modules within a level can be developed and tested independently. Cross-cutting modules (M6, M7, M8, M9) are active across all levels from L1.</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600"/>
        <w:gridCol w:w="4480"/>
        <w:gridCol w:w="2200"/>
      </w:tblGrid>
      <w:tr>
        <w:tc>
          <w:tcPr>
            <w:tcW w:type="dxa" w:w="48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48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Cross-Cutting?</w:t>
            </w:r>
          </w:p>
        </w:tc>
      </w:tr>
      <w:tr>
        <w:tc>
          <w:tcPr>
            <w:tcW w:type="dxa" w:w="48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M1</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OrgSetup</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L1</w:t>
            </w:r>
          </w:p>
        </w:tc>
        <w:tc>
          <w:tcPr>
            <w:tcW w:type="dxa" w:w="4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Org hierarchy · BUs · Departments · Job Titles + KRAs · Teams · Cohorts · Strategy &amp; Goals · Products &amp; Services · Client Registry · Governing Standards · Tools &amp; Technologies · Skill Criticality (C1–C4) · Proficiency Level Definitions · Skills Dictionary · Competency Framework · Role Profiles · Career Pathways · Transformation Dial</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 L1 context foundation</w:t>
            </w:r>
          </w:p>
        </w:tc>
      </w:tr>
      <w:tr>
        <w:tc>
          <w:tcPr>
            <w:tcW w:type="dxa" w:w="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M2</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DataPort</w:t>
            </w:r>
          </w:p>
        </w:tc>
        <w:tc>
          <w:tcPr>
            <w:tcW w:type="dxa" w:w="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L1</w:t>
            </w:r>
          </w:p>
        </w:tc>
        <w:tc>
          <w:tcPr>
            <w:tcW w:type="dxa" w:w="4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Three data entry methods: Excel import · HRIS sync · Manual entry form (add/edit individual records). Employee master records · Resume &amp; CV AI parsing · Teams &amp; cohorts · Certification history · Projects · Industry benchmarks · Validation wizard · Data Context Meter (Core 0–35% / Enrichment 36–70% / Advanced 71–100%) · Delta import · HRIS sync (Workday, BambooHR, SAP SuccessFactors)</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 — L1 data foundation</w:t>
            </w:r>
          </w:p>
        </w:tc>
      </w:tr>
      <w:tr>
        <w:tc>
          <w:tcPr>
            <w:tcW w:type="dxa" w:w="48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M3</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SkillForge</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L1</w:t>
            </w:r>
          </w:p>
        </w:tc>
        <w:tc>
          <w:tcPr>
            <w:tcW w:type="dxa" w:w="4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7-Prompt Claude AI Pipeline: Context Extraction → Deep Context Synthesis → Role Architecture Analysis → Skill Generation (Domain → Knowledge Area → Skill Category → Skill taxonomy) → Competency Generation (Core / Behavioural / Leadership / Technical) → Role-Skill Mapping → Employee Baselines (including resume signals) · AI-drafted proficiency level definitions · is_modified flag · Context refresh without full re-import</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 L1 generation engine</w:t>
            </w:r>
          </w:p>
        </w:tc>
      </w:tr>
      <w:tr>
        <w:tc>
          <w:tcPr>
            <w:tcW w:type="dxa" w:w="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M4</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ApprovalHub</w:t>
            </w:r>
          </w:p>
        </w:tc>
        <w:tc>
          <w:tcPr>
            <w:tcW w:type="dxa" w:w="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L1</w:t>
            </w:r>
          </w:p>
        </w:tc>
        <w:tc>
          <w:tcPr>
            <w:tcW w:type="dxa" w:w="4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3-tier governance: Tier 1 Admin → Tier 2 Dept Head → Tier 3 HR Head · Edit, flag, approve workflow · is_modified flag protects human edits · Framework re-approval on Super Admin edits · Full audit trail per approval action</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 — L1 governance gate</w:t>
            </w:r>
          </w:p>
        </w:tc>
      </w:tr>
      <w:tr>
        <w:tc>
          <w:tcPr>
            <w:tcW w:type="dxa" w:w="48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M5</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FrameworkBible</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L1</w:t>
            </w:r>
          </w:p>
        </w:tc>
        <w:tc>
          <w:tcPr>
            <w:tcW w:type="dxa" w:w="4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Locked org-wide Skills Dictionary + Competency Framework · Version control · Super Admin edits trigger re-approval · PDF export · Skill taxonomy hierarchy visible (Domain → Knowledge Area → Skill Category → Skill) · Competency groupings by Type visible</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 L1 output artifact</w:t>
            </w:r>
          </w:p>
        </w:tc>
      </w:tr>
      <w:tr>
        <w:tc>
          <w:tcPr>
            <w:tcW w:type="dxa" w:w="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M6</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InsightBoard</w:t>
            </w:r>
          </w:p>
        </w:tc>
        <w:tc>
          <w:tcPr>
            <w:tcW w:type="dxa" w:w="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L1–L5</w:t>
            </w:r>
          </w:p>
        </w:tc>
        <w:tc>
          <w:tcPr>
            <w:tcW w:type="dxa" w:w="4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8 dashboard sections · 56 charts · Global filters · Drill-down to employee level · 5 persona dashboards (CHRO, CLO, HR Manager, L&amp;D Manager, HRBP) · AI Conversational Interface on every widget · Transitions from AI-estimated (L1) to validated (L2) data automatically · Wellbeing dashboard (L2+) · Succession dashboard (L2+)</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YES — active across all levels</w:t>
            </w:r>
          </w:p>
        </w:tc>
      </w:tr>
      <w:tr>
        <w:tc>
          <w:tcPr>
            <w:tcW w:type="dxa" w:w="48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M7</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ReportGen</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L1–L5</w:t>
            </w:r>
          </w:p>
        </w:tc>
        <w:tc>
          <w:tcPr>
            <w:tcW w:type="dxa" w:w="4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16 reports progressively unlocked by level · Persona-adaptive rendering (same data, different view per role) · AI analysis narrative on every section · Scheduling · PDF and PowerPoint export · L1: Completion Report, Workforce Snapshot · L2: LNA/TNA Report, Skills Matrix Report, Wellbeing Report · L3: Training Effectiveness, Certificate Report · L4/L5: Predictive Gap, Transformation Progress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YES — reports unlock per level</w:t>
            </w:r>
          </w:p>
        </w:tc>
      </w:tr>
      <w:tr>
        <w:tc>
          <w:tcPr>
            <w:tcW w:type="dxa" w:w="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M8</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SkillPassport</w:t>
            </w:r>
          </w:p>
        </w:tc>
        <w:tc>
          <w:tcPr>
            <w:tcW w:type="dxa" w:w="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L1–L5</w:t>
            </w:r>
          </w:p>
        </w:tc>
        <w:tc>
          <w:tcPr>
            <w:tcW w:type="dxa" w:w="4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Living employee profile accumulating all data across all levels · QR/barcode verification · Export on employee exit (verified PDF) · Resume &amp; CV intelligence layer · Career history · Aspirations &amp; goals · Talent mobility profile · Project fitment score · Wellbeing capacity indicator · Employee self-service portal · Credentials held at L1, activated at L2</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YES — the employee's permanent record</w:t>
            </w:r>
          </w:p>
        </w:tc>
      </w:tr>
      <w:tr>
        <w:tc>
          <w:tcPr>
            <w:tcW w:type="dxa" w:w="48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M9</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NotifyEngine</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L1–L5</w:t>
            </w:r>
          </w:p>
        </w:tc>
        <w:tc>
          <w:tcPr>
            <w:tcW w:type="dxa" w:w="4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 notifications for all workflow triggers across all platform modules · 30+ notification types · Role-aware routing · Configurable frequency (immediate/digest/weekly) · Per-type unsubscribe · Smart batching · Delivery within 30 seconds · Org branding applied</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YES — system-wide infrastructure</w:t>
            </w:r>
          </w:p>
        </w:tc>
      </w:tr>
      <w:tr>
        <w:tc>
          <w:tcPr>
            <w:tcW w:type="dxa" w:w="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M10</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AssessEngine</w:t>
            </w:r>
          </w:p>
        </w:tc>
        <w:tc>
          <w:tcPr>
            <w:tcW w:type="dxa" w:w="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L2</w:t>
            </w:r>
          </w:p>
        </w:tc>
        <w:tc>
          <w:tcPr>
            <w:tcW w:type="dxa" w:w="4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6 assessment categories: skill/competency · psychometric/behavioural/leadership/personality · pre/post/retention knowledge tests · 360-degree feedback · org surveys (engagement, culture, change readiness, strategy alignment) · qualitative capture (L&amp;D 1:1 meeting notes, focus group observations) · Assessment Distribution Engine · AI Assessment Suggestion Engine · Assessment Governance Framework · Recurring scheduling · Skills Matrix (self + manager + task evaluation)</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 — L2 core engine</w:t>
            </w:r>
          </w:p>
        </w:tc>
      </w:tr>
      <w:tr>
        <w:tc>
          <w:tcPr>
            <w:tcW w:type="dxa" w:w="48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M11</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LearnPath</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L2</w:t>
            </w:r>
          </w:p>
        </w:tc>
        <w:tc>
          <w:tcPr>
            <w:tcW w:type="dxa" w:w="4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learning paths personalised per employee · IDPs (aspiration-weighted + role-required) · Wellbeing capacity-adjusted timeline · 30-60-90 day onboarding plan · Succession Development Plans · ROI projections · Perception gap analysis · Skill verification badges · Career pathing and role readiness scoring</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 L2 output engine</w:t>
            </w:r>
          </w:p>
        </w:tc>
      </w:tr>
      <w:tr>
        <w:tc>
          <w:tcPr>
            <w:tcW w:type="dxa" w:w="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M12</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TrainConnect</w:t>
            </w:r>
          </w:p>
        </w:tc>
        <w:tc>
          <w:tcPr>
            <w:tcW w:type="dxa" w:w="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L3</w:t>
            </w:r>
          </w:p>
        </w:tc>
        <w:tc>
          <w:tcPr>
            <w:tcW w:type="dxa" w:w="4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Course marketplace · LMS integration (SCORM/xAPI) · Delivery tracking · Kirkpatrick L1–L4 effectiveness measurement · Budget &amp; vendor management · Compliance automation · AI Content Outline Generation · L&amp;D/OD Project Management Engine · Training Management System integration · Coaching &amp; Mentoring Management</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 — L3 execution engine</w:t>
            </w:r>
          </w:p>
        </w:tc>
      </w:tr>
      <w:tr>
        <w:tc>
          <w:tcPr>
            <w:tcW w:type="dxa" w:w="48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M13</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PulseStrategy</w:t>
            </w:r>
          </w:p>
        </w:tc>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L4–L5</w:t>
            </w:r>
          </w:p>
        </w:tc>
        <w:tc>
          <w:tcPr>
            <w:tcW w:type="dxa" w:w="4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Real-time skill tracking via project/tool/cert signals · Automated proficiency micro-updates · Predictive demand forecasting · Early warning alerts · Scenario modelling &amp; what-if analysis · M&amp;A skill due diligence · Board-level dashboards · Multi-year investment planning · Workforce Transformation Control Layer · Cross-Org Benchmarking (L5)</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 L4/L5 intelligence engine</w:t>
            </w:r>
          </w:p>
        </w:tc>
      </w:tr>
      <w:tr>
        <w:tc>
          <w:tcPr>
            <w:tcW w:type="dxa" w:w="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M14</w:t>
            </w:r>
          </w:p>
        </w:tc>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L&amp;D/OD Project Engine</w:t>
            </w:r>
          </w:p>
        </w:tc>
        <w:tc>
          <w:tcPr>
            <w:tcW w:type="dxa" w:w="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L3</w:t>
            </w:r>
          </w:p>
        </w:tc>
        <w:tc>
          <w:tcPr>
            <w:tcW w:type="dxa" w:w="4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8 L&amp;D/OD project types: training programme, coaching programme, mentoring programme, communities of practice, digital learning, blended learning, OD initiative, leadership development · AI project suggestion from TNA output · Milestone tracking · Activity management · Budget tracking · AI-Suggested Org-Wide Execution Plan with sequencing and dependencies</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 — L3 programme management</w:t>
            </w:r>
          </w:p>
        </w:tc>
      </w:tr>
    </w:tbl>
    <w:p>
      <w:pPr>
        <w:spacing w:before="0" w:after="120"/>
      </w:pPr>
    </w:p>
    <w:p>
      <w:pPr>
        <w:pStyle w:val="Heading2"/>
        <w:spacing w:before="300" w:after="120"/>
      </w:pPr>
      <w:r>
        <w:rPr>
          <w:rFonts w:ascii="Arial" w:cs="Arial" w:eastAsia="Arial" w:hAnsi="Arial"/>
          <w:b/>
          <w:bCs/>
          <w:color w:val="1E3A6E"/>
          <w:sz w:val="30"/>
          <w:szCs w:val="30"/>
        </w:rPr>
        <w:t xml:space="preserve">2.3 Key Stakeholders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2160"/>
        <w:gridCol w:w="2200"/>
      </w:tblGrid>
      <w:tr>
        <w:tc>
          <w:tcPr>
            <w:tcW w:type="dxa" w:w="16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21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c>
          <w:tcPr>
            <w:tcW w:type="dxa" w:w="2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6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Super Admin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Edstellar team or client IT admin. Full configuration, user management, FrameworkBible edits.</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platform</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OrgSetup · DataPort import · Trigger AI pipeline · Manage approval tiers · Edit FrameworkBible · Level gates</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HR Head</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Tier 3 approver. Configures assessment cycles. Manages org-wide analytics. Controls level progression.</w:t>
            </w:r>
          </w:p>
        </w:tc>
        <w:tc>
          <w:tcPr>
            <w:tcW w:type="dxa" w:w="1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w:t>
            </w:r>
          </w:p>
        </w:tc>
        <w:tc>
          <w:tcPr>
            <w:tcW w:type="dxa" w:w="2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Org-wide</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Tier 3 approval · Assessment cycle config · LNA review · Level unlock · Board reporting</w:t>
            </w:r>
          </w:p>
        </w:tc>
      </w:tr>
      <w:tr>
        <w:tc>
          <w:tcPr>
            <w:tcW w:type="dxa" w:w="16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Department Head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Tier 2 reviewer. Validates department skills. Reviews team analytics. Initiates dept assessments.</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Manager</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Department scope</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Tier 2 review · Dept gap analysis · Succession · Budget allocation</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Manager</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Views team dashboards. Conducts manager assessments for direct reports. Reviews development plans.</w:t>
            </w:r>
          </w:p>
        </w:tc>
        <w:tc>
          <w:tcPr>
            <w:tcW w:type="dxa" w:w="1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Manager</w:t>
            </w:r>
          </w:p>
        </w:tc>
        <w:tc>
          <w:tcPr>
            <w:tcW w:type="dxa" w:w="2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Team scope</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Manager assessment · Team Skills Matrix · IDP review · Wellbeing prompt response</w:t>
            </w:r>
          </w:p>
        </w:tc>
      </w:tr>
      <w:tr>
        <w:tc>
          <w:tcPr>
            <w:tcW w:type="dxa" w:w="16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L&amp;D Manager / HRBP</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Designs L&amp;D programmes. Manages coaching/mentoring. Runs focus groups. Reviews ReportGen outputs.</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Org or dept scope</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Assessment design · Content outlines · Training calendar · Vendor management · LNA/TNA review</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Employee</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Views own Skill Passport. Completes self-assessments. Tracks learning paths. Exports profile on exit.</w:t>
            </w:r>
          </w:p>
        </w:tc>
        <w:tc>
          <w:tcPr>
            <w:tcW w:type="dxa" w:w="1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w:t>
            </w:r>
          </w:p>
        </w:tc>
        <w:tc>
          <w:tcPr>
            <w:tcW w:type="dxa" w:w="2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Individual (own data only)</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Self-assessment · IDP · Learning path · Wellbeing pulse · Skill Passport export</w:t>
            </w:r>
          </w:p>
        </w:tc>
      </w:tr>
      <w:tr>
        <w:tc>
          <w:tcPr>
            <w:tcW w:type="dxa" w:w="16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Auditor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Read-only access to compliance evidence, audit trail, and readiness dashboard. Cannot modify any data.</w:t>
            </w:r>
          </w:p>
        </w:tc>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Audit scope only</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View evidence packages · Export audit trail · Pre-audit preparation mode</w:t>
            </w:r>
          </w:p>
        </w:tc>
      </w:tr>
    </w:tbl>
    <w:p>
      <w:pPr>
        <w:spacing w:before="0" w:after="120"/>
      </w:pPr>
    </w:p>
    <w:p>
      <w:pPr>
        <w:pageBreakBefore/>
      </w:pPr>
      <w:r>
        <w:t xml:space="preserve"/>
      </w:r>
    </w:p>
    <w:p>
      <w:pPr>
        <w:pStyle w:val="Heading1"/>
        <w:spacing w:before="400" w:after="160"/>
      </w:pPr>
      <w:r>
        <w:rPr>
          <w:rFonts w:ascii="Arial" w:cs="Arial" w:eastAsia="Arial" w:hAnsi="Arial"/>
          <w:b/>
          <w:bCs/>
          <w:color w:val="1E3A6E"/>
          <w:sz w:val="40"/>
          <w:szCs w:val="40"/>
        </w:rPr>
        <w:t xml:space="preserve">3. SIP Process Flow (Based on Flowchart v8)</w:t>
      </w:r>
    </w:p>
    <w:p>
      <w:pPr>
        <w:spacing w:before="0" w:after="100"/>
        <w:jc w:val="left"/>
      </w:pPr>
      <w:r>
        <w:rPr>
          <w:rFonts w:ascii="Arial" w:cs="Arial" w:eastAsia="Arial" w:hAnsi="Arial"/>
          <w:b w:val="false"/>
          <w:bCs w:val="false"/>
          <w:i w:val="false"/>
          <w:iCs w:val="false"/>
          <w:color w:val="374151"/>
          <w:sz w:val="22"/>
          <w:szCs w:val="22"/>
        </w:rPr>
        <w:t xml:space="preserve">The SIP process flow describes the end-to-end journey an organisation takes through the platform — from initial context setting through strategic workforce intelligence. The flow has three master layers (L1 Context Setting, L2 Analysis, L3 Action), followed by Measurement, Strategic Output, Predictive/Proactive intelligence, and the Marketplace Ecosystem. This section maps the flowchart v8 to engineering requirements.</w:t>
      </w:r>
    </w:p>
    <w:p>
      <w:pPr>
        <w:spacing w:before="0" w:after="80"/>
      </w:pPr>
    </w:p>
    <w:p>
      <w:pPr>
        <w:pStyle w:val="Heading2"/>
        <w:spacing w:before="300" w:after="120"/>
      </w:pPr>
      <w:r>
        <w:rPr>
          <w:rFonts w:ascii="Arial" w:cs="Arial" w:eastAsia="Arial" w:hAnsi="Arial"/>
          <w:b/>
          <w:bCs/>
          <w:color w:val="1E3A6E"/>
          <w:sz w:val="30"/>
          <w:szCs w:val="30"/>
        </w:rPr>
        <w:t xml:space="preserve">3.1 Always-On Infrastructure (All Levels)</w:t>
      </w:r>
    </w:p>
    <w:p>
      <w:pPr>
        <w:spacing w:before="0" w:after="100"/>
        <w:jc w:val="left"/>
      </w:pPr>
      <w:r>
        <w:rPr>
          <w:rFonts w:ascii="Arial" w:cs="Arial" w:eastAsia="Arial" w:hAnsi="Arial"/>
          <w:b w:val="false"/>
          <w:bCs w:val="false"/>
          <w:i w:val="false"/>
          <w:iCs w:val="false"/>
          <w:color w:val="374151"/>
          <w:sz w:val="22"/>
          <w:szCs w:val="22"/>
        </w:rPr>
        <w:t xml:space="preserve">The following systems are active from Level 1 through Level 5 and run continuously beneath every workflow step.</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7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NotifyEngine</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 notification types · Role-aware routing · Configurable frequency · Org branding · Delivery within 30 seconds of trigger · Per-type unsubscribe · Smart batching · Covers all platform modules</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AI Conversational Interface</w:t>
            </w:r>
          </w:p>
        </w:tc>
        <w:tc>
          <w:tcPr>
            <w:tcW w:type="dxa" w:w="7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Widget-level AI analysis on every InsightBoard chart and ReportGen section · Natural language Q&amp;A on workforce data · Persona-aware framing of answers · Does not replace human decision-making — surfaces insight and evidence</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Mobile Application</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 portal on iOS and Android · Skill Passport view · Assessment completion · IDP and learning path tracking · Offline capability for assessment forms · Wellbeing pulse submission · Push notifications from NotifyEngine</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Audit Intelligence Layer</w:t>
            </w:r>
          </w:p>
        </w:tc>
        <w:tc>
          <w:tcPr>
            <w:tcW w:type="dxa" w:w="7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Immutable event trail on all data mutations (user, timestamp, before/after values, approval chain step) · Auditor access role (read-only) · Compliance Evidence Package Builder — 8 pre-built package types (L&amp;D Audit, ISO readiness, SEBI, IRDAI, RBI, Internal HR audit, Board governance, Custom) · Continuous Audit Readiness Dashboard · Pre-Audit Preparation Mode with gap list</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Certificate Engine</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Certificate template builder with org branding · Auto-issuance on programme completion trigger · Distribution via email and Employee Portal · LinkedIn share integration · QR verification endpoint · Expiry tracking and renewal alerts · Certificate Registry queryable by manager, HR, and auditor</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ReportGen</w:t>
            </w:r>
          </w:p>
        </w:tc>
        <w:tc>
          <w:tcPr>
            <w:tcW w:type="dxa" w:w="7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16 reports progressively unlocked by maturity level · Persona-adaptive rendering — same underlying data presented differently per role · AI analysis narrative on every section · Scheduled delivery · PDF and PowerPoint export · Shareable link with expiry · L1: Completion Report, Workforce Intelligence Snapshot · L2: LNA, TNA, Skills Matrix, Wellbeing, Perception Gap · L3: Training Effectiveness, Certificate Registry · L4/L5: Predictive Gap, Transformation Progress, Board Dashboard</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Gamification Layer</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Achievement badges on skill validation, assessment completion, IDP milestone · Progress visualisation (skill radar, level-up journey) · Team and department challenges during assessment cycles · Recognition and leaderboard visibility (manager-configurable) · Streak tracking for learning consistency · Does not gamify gap identification or negative outcomes</w:t>
            </w:r>
          </w:p>
        </w:tc>
      </w:tr>
    </w:tbl>
    <w:p>
      <w:pPr>
        <w:spacing w:before="0" w:after="120"/>
      </w:pPr>
    </w:p>
    <w:p>
      <w:pPr>
        <w:pStyle w:val="Heading2"/>
        <w:spacing w:before="300" w:after="120"/>
      </w:pPr>
      <w:r>
        <w:rPr>
          <w:rFonts w:ascii="Arial" w:cs="Arial" w:eastAsia="Arial" w:hAnsi="Arial"/>
          <w:b/>
          <w:bCs/>
          <w:color w:val="1E3A6E"/>
          <w:sz w:val="30"/>
          <w:szCs w:val="30"/>
        </w:rPr>
        <w:t xml:space="preserve">3.2 Master Layer 1 — Context Setting (L1)</w:t>
      </w:r>
    </w:p>
    <w:p>
      <w:pPr>
        <w:pStyle w:val="Heading3"/>
        <w:spacing w:before="220" w:after="80"/>
      </w:pPr>
      <w:r>
        <w:rPr>
          <w:rFonts w:ascii="Arial" w:cs="Arial" w:eastAsia="Arial" w:hAnsi="Arial"/>
          <w:b/>
          <w:bCs/>
          <w:color w:val="1E6FFF"/>
          <w:sz w:val="24"/>
          <w:szCs w:val="24"/>
        </w:rPr>
        <w:t xml:space="preserve">3.2.1 Step 1: Two-Layer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FF" w:sz="8"/>
              <w:left w:val="single" w:color="1E6FFF" w:sz="14"/>
              <w:bottom w:val="single" w:color="1E6FFF" w:sz="4"/>
              <w:right w:val="single" w:color="1E6FFF" w:sz="4"/>
            </w:tcBorders>
            <w:shd w:fill="EFF5FF" w:val="clear"/>
            <w:tcMar>
              <w:top w:type="dxa" w:w="120"/>
              <w:left w:type="dxa" w:w="180"/>
              <w:bottom w:type="dxa" w:w="120"/>
              <w:right w:type="dxa" w:w="160"/>
            </w:tcMar>
          </w:tcPr>
          <w:p>
            <w:pPr>
              <w:spacing w:before="0" w:after="60"/>
            </w:pPr>
            <w:r>
              <w:rPr>
                <w:rFonts w:ascii="Arial" w:cs="Arial" w:eastAsia="Arial" w:hAnsi="Arial"/>
                <w:b/>
                <w:bCs/>
                <w:color w:val="1E3A6E"/>
                <w:sz w:val="22"/>
                <w:szCs w:val="22"/>
              </w:rPr>
              <w:t xml:space="preserve">ARCHITECTURE PRINCIPLE — TWO LAYERS, ONE PIPELINE</w:t>
            </w:r>
          </w:p>
          <w:p>
            <w:pPr>
              <w:spacing w:before="0" w:after="0"/>
            </w:pPr>
            <w:r>
              <w:rPr>
                <w:rFonts w:ascii="Arial" w:cs="Arial" w:eastAsia="Arial" w:hAnsi="Arial"/>
                <w:color w:val="374151"/>
                <w:sz w:val="20"/>
                <w:szCs w:val="20"/>
              </w:rPr>
              <w:t xml:space="preserve">OrgSetup (Layer 1) captures the strategic and structural context through guided UI screens — who the organisation is, what it is trying to achieve, what standards it operates under, and how it defines its roles. DataPort (Layer 2) imports the people and operations data — employee records, certifications, training history, projects. Both layers feed simultaneously into the 7-Prompt AI pipeline. Neither is sufficient alone. The separation is deliberate: strategic context changes infrequently (UI configuration); workforce population data changes regularly (Excel/HRIS import).</w:t>
            </w:r>
          </w:p>
        </w:tc>
      </w:tr>
    </w:tbl>
    <w:p>
      <w:pPr>
        <w:spacing w:before="0" w:after="120"/>
      </w:pPr>
    </w:p>
    <w:p>
      <w:pPr>
        <w:spacing w:before="160" w:after="60"/>
      </w:pPr>
      <w:r>
        <w:rPr>
          <w:rFonts w:ascii="Arial" w:cs="Arial" w:eastAsia="Arial" w:hAnsi="Arial"/>
          <w:b/>
          <w:bCs/>
          <w:color w:val="374151"/>
          <w:sz w:val="22"/>
          <w:szCs w:val="22"/>
        </w:rPr>
        <w:t xml:space="preserve">Layer 1 — OrgSetup Context (UI-Configured)</w:t>
      </w:r>
    </w:p>
    <w:p>
      <w:pPr>
        <w:pStyle w:val="ListParagraph"/>
        <w:numPr>
          <w:ilvl w:val="0"/>
          <w:numId w:val="2"/>
        </w:numPr>
        <w:spacing w:before="0" w:after="60"/>
      </w:pPr>
      <w:r>
        <w:rPr>
          <w:rFonts w:ascii="Arial" w:cs="Arial" w:eastAsia="Arial" w:hAnsi="Arial"/>
          <w:color w:val="374151"/>
          <w:sz w:val="21"/>
          <w:szCs w:val="21"/>
        </w:rPr>
        <w:t xml:space="preserve">Organisation hierarchy: Org → Business Units → Sub-BUs → Departments → Job Titles (with KRAs) · Teams · Employee Cohorts</w:t>
      </w:r>
    </w:p>
    <w:p>
      <w:pPr>
        <w:pStyle w:val="ListParagraph"/>
        <w:numPr>
          <w:ilvl w:val="0"/>
          <w:numId w:val="2"/>
        </w:numPr>
        <w:spacing w:before="0" w:after="60"/>
      </w:pPr>
      <w:r>
        <w:rPr>
          <w:rFonts w:ascii="Arial" w:cs="Arial" w:eastAsia="Arial" w:hAnsi="Arial"/>
          <w:color w:val="374151"/>
          <w:sz w:val="21"/>
          <w:szCs w:val="21"/>
        </w:rPr>
        <w:t xml:space="preserve">Strategy &amp; Goals: 3-year strategic objectives · OKRs · annual targets · transformation priorities</w:t>
      </w:r>
    </w:p>
    <w:p>
      <w:pPr>
        <w:pStyle w:val="ListParagraph"/>
        <w:numPr>
          <w:ilvl w:val="0"/>
          <w:numId w:val="2"/>
        </w:numPr>
        <w:spacing w:before="0" w:after="60"/>
      </w:pPr>
      <w:r>
        <w:rPr>
          <w:rFonts w:ascii="Arial" w:cs="Arial" w:eastAsia="Arial" w:hAnsi="Arial"/>
          <w:color w:val="374151"/>
          <w:sz w:val="21"/>
          <w:szCs w:val="21"/>
        </w:rPr>
        <w:t xml:space="preserve">Products &amp; Services: product/service catalogue · roadmap upload · client-facing capability requirements</w:t>
      </w:r>
    </w:p>
    <w:p>
      <w:pPr>
        <w:pStyle w:val="ListParagraph"/>
        <w:numPr>
          <w:ilvl w:val="0"/>
          <w:numId w:val="2"/>
        </w:numPr>
        <w:spacing w:before="0" w:after="60"/>
      </w:pPr>
      <w:r>
        <w:rPr>
          <w:rFonts w:ascii="Arial" w:cs="Arial" w:eastAsia="Arial" w:hAnsi="Arial"/>
          <w:color w:val="374151"/>
          <w:sz w:val="21"/>
          <w:szCs w:val="21"/>
        </w:rPr>
        <w:t xml:space="preserve">Client Registry: client names · industry tags · geographic presence · skill signals from client type</w:t>
      </w:r>
    </w:p>
    <w:p>
      <w:pPr>
        <w:pStyle w:val="ListParagraph"/>
        <w:numPr>
          <w:ilvl w:val="0"/>
          <w:numId w:val="2"/>
        </w:numPr>
        <w:spacing w:before="0" w:after="60"/>
      </w:pPr>
      <w:r>
        <w:rPr>
          <w:rFonts w:ascii="Arial" w:cs="Arial" w:eastAsia="Arial" w:hAnsi="Arial"/>
          <w:color w:val="374151"/>
          <w:sz w:val="21"/>
          <w:szCs w:val="21"/>
        </w:rPr>
        <w:t xml:space="preserve">Governing Standards Registry: ISO, GDPR, SOX, SEBI, IRDAI, RBI, custom frameworks · applicable scope · mandatory training links · compliance deadlines</w:t>
      </w:r>
    </w:p>
    <w:p>
      <w:pPr>
        <w:pStyle w:val="ListParagraph"/>
        <w:numPr>
          <w:ilvl w:val="0"/>
          <w:numId w:val="2"/>
        </w:numPr>
        <w:spacing w:before="0" w:after="60"/>
      </w:pPr>
      <w:r>
        <w:rPr>
          <w:rFonts w:ascii="Arial" w:cs="Arial" w:eastAsia="Arial" w:hAnsi="Arial"/>
          <w:color w:val="374151"/>
          <w:sz w:val="21"/>
          <w:szCs w:val="21"/>
        </w:rPr>
        <w:t xml:space="preserve">Tools &amp; Technologies: full tech stack by category (Core Business Apps, Dev &amp; Engineering, Data &amp; Analytics, Collaboration, Security, Industry-Specific) · lifecycle flags (current/phased-out/evaluating) · depth of usage per team</w:t>
      </w:r>
    </w:p>
    <w:p>
      <w:pPr>
        <w:pStyle w:val="ListParagraph"/>
        <w:numPr>
          <w:ilvl w:val="0"/>
          <w:numId w:val="2"/>
        </w:numPr>
        <w:spacing w:before="0" w:after="60"/>
      </w:pPr>
      <w:r>
        <w:rPr>
          <w:rFonts w:ascii="Arial" w:cs="Arial" w:eastAsia="Arial" w:hAnsi="Arial"/>
          <w:color w:val="374151"/>
          <w:sz w:val="21"/>
          <w:szCs w:val="21"/>
        </w:rPr>
        <w:t xml:space="preserve">Skill Criticality: C1 Critical, C2 High, C3 Medium, C4 Low · per skill per role · platform behaviour per criticality tier</w:t>
      </w:r>
    </w:p>
    <w:p>
      <w:pPr>
        <w:pStyle w:val="ListParagraph"/>
        <w:numPr>
          <w:ilvl w:val="0"/>
          <w:numId w:val="2"/>
        </w:numPr>
        <w:spacing w:before="0" w:after="60"/>
      </w:pPr>
      <w:r>
        <w:rPr>
          <w:rFonts w:ascii="Arial" w:cs="Arial" w:eastAsia="Arial" w:hAnsi="Arial"/>
          <w:color w:val="374151"/>
          <w:sz w:val="21"/>
          <w:szCs w:val="21"/>
        </w:rPr>
        <w:t xml:space="preserve">Proficiency Level Definitions: L1 Awareness, L2 Working, L3 Practitioner, L4 Expert · observable behavioural descriptors per skill · AI-drafted, SME-approved · cross-role calibration checks</w:t>
      </w:r>
    </w:p>
    <w:p>
      <w:pPr>
        <w:pStyle w:val="ListParagraph"/>
        <w:numPr>
          <w:ilvl w:val="0"/>
          <w:numId w:val="2"/>
        </w:numPr>
        <w:spacing w:before="0" w:after="60"/>
      </w:pPr>
      <w:r>
        <w:rPr>
          <w:rFonts w:ascii="Arial" w:cs="Arial" w:eastAsia="Arial" w:hAnsi="Arial"/>
          <w:color w:val="374151"/>
          <w:sz w:val="21"/>
          <w:szCs w:val="21"/>
        </w:rPr>
        <w:t xml:space="preserve">Skills Dictionary builder: taxonomy hierarchy configuration (Domain → Knowledge Area → Skill Category → Skill) · skill type assignment · benchmark linkages</w:t>
      </w:r>
    </w:p>
    <w:p>
      <w:pPr>
        <w:pStyle w:val="ListParagraph"/>
        <w:numPr>
          <w:ilvl w:val="0"/>
          <w:numId w:val="2"/>
        </w:numPr>
        <w:spacing w:before="0" w:after="60"/>
      </w:pPr>
      <w:r>
        <w:rPr>
          <w:rFonts w:ascii="Arial" w:cs="Arial" w:eastAsia="Arial" w:hAnsi="Arial"/>
          <w:color w:val="374151"/>
          <w:sz w:val="21"/>
          <w:szCs w:val="21"/>
        </w:rPr>
        <w:t xml:space="preserve">Competency Framework builder: competency type (Core / Behavioural / Leadership / Technical) · org values linkage · assessment method guidance per competency</w:t>
      </w:r>
    </w:p>
    <w:p>
      <w:pPr>
        <w:pStyle w:val="ListParagraph"/>
        <w:numPr>
          <w:ilvl w:val="0"/>
          <w:numId w:val="2"/>
        </w:numPr>
        <w:spacing w:before="0" w:after="60"/>
      </w:pPr>
      <w:r>
        <w:rPr>
          <w:rFonts w:ascii="Arial" w:cs="Arial" w:eastAsia="Arial" w:hAnsi="Arial"/>
          <w:color w:val="374151"/>
          <w:sz w:val="21"/>
          <w:szCs w:val="21"/>
        </w:rPr>
        <w:t xml:space="preserve">Role Profiles: KRAs · career pathways · succession criticality · role criticality (single-point-of-failure flag) · minimum qualifications</w:t>
      </w:r>
    </w:p>
    <w:p>
      <w:pPr>
        <w:pStyle w:val="ListParagraph"/>
        <w:numPr>
          <w:ilvl w:val="0"/>
          <w:numId w:val="2"/>
        </w:numPr>
        <w:spacing w:before="0" w:after="60"/>
      </w:pPr>
      <w:r>
        <w:rPr>
          <w:rFonts w:ascii="Arial" w:cs="Arial" w:eastAsia="Arial" w:hAnsi="Arial"/>
          <w:color w:val="374151"/>
          <w:sz w:val="21"/>
          <w:szCs w:val="21"/>
        </w:rPr>
        <w:t xml:space="preserve">Transformation Dial: strategic emphasis setting per skill from −5 (deprioritise) to +5 (accelerate) · change governance workflow · staged rollout option</w:t>
      </w:r>
    </w:p>
    <w:p>
      <w:pPr>
        <w:spacing w:before="0" w:after="60"/>
      </w:pPr>
    </w:p>
    <w:p>
      <w:pPr>
        <w:spacing w:before="160" w:after="60"/>
      </w:pPr>
      <w:r>
        <w:rPr>
          <w:rFonts w:ascii="Arial" w:cs="Arial" w:eastAsia="Arial" w:hAnsi="Arial"/>
          <w:b/>
          <w:bCs/>
          <w:color w:val="374151"/>
          <w:sz w:val="22"/>
          <w:szCs w:val="22"/>
        </w:rPr>
        <w:t xml:space="preserve">Layer 2 — DataPort People &amp; Operations Data (Excel import · HRIS sync · Manual entry)</w:t>
      </w:r>
    </w:p>
    <w:p>
      <w:pPr>
        <w:pStyle w:val="ListParagraph"/>
        <w:numPr>
          <w:ilvl w:val="0"/>
          <w:numId w:val="2"/>
        </w:numPr>
        <w:spacing w:before="0" w:after="60"/>
      </w:pPr>
      <w:r>
        <w:rPr>
          <w:rFonts w:ascii="Arial" w:cs="Arial" w:eastAsia="Arial" w:hAnsi="Arial"/>
          <w:color w:val="374151"/>
          <w:sz w:val="21"/>
          <w:szCs w:val="21"/>
        </w:rPr>
        <w:t xml:space="preserve">Employee master records: name, ID, email, job title, department, manager, employment type, work arrangement, seniority band, start date, status. Enterable individually via the Manual Entry form — no file required. Inline editing of existing records with full audit trail.</w:t>
      </w:r>
    </w:p>
    <w:p>
      <w:pPr>
        <w:pStyle w:val="ListParagraph"/>
        <w:numPr>
          <w:ilvl w:val="0"/>
          <w:numId w:val="2"/>
        </w:numPr>
        <w:spacing w:before="0" w:after="60"/>
      </w:pPr>
      <w:r>
        <w:rPr>
          <w:rFonts w:ascii="Arial" w:cs="Arial" w:eastAsia="Arial" w:hAnsi="Arial"/>
          <w:color w:val="374151"/>
          <w:sz w:val="21"/>
          <w:szCs w:val="21"/>
        </w:rPr>
        <w:t xml:space="preserve">Resume &amp; CV intelligence: AI parsing engine extracts work history, project experience, industry exposure, qualifications, and competency signals from uploaded CVs</w:t>
      </w:r>
    </w:p>
    <w:p>
      <w:pPr>
        <w:pStyle w:val="ListParagraph"/>
        <w:numPr>
          <w:ilvl w:val="0"/>
          <w:numId w:val="2"/>
        </w:numPr>
        <w:spacing w:before="0" w:after="60"/>
      </w:pPr>
      <w:r>
        <w:rPr>
          <w:rFonts w:ascii="Arial" w:cs="Arial" w:eastAsia="Arial" w:hAnsi="Arial"/>
          <w:color w:val="374151"/>
          <w:sz w:val="21"/>
          <w:szCs w:val="21"/>
        </w:rPr>
        <w:t xml:space="preserve">Teams and cohorts: team membership, team lead, cross-department membership support, cohort groupings</w:t>
      </w:r>
    </w:p>
    <w:p>
      <w:pPr>
        <w:pStyle w:val="ListParagraph"/>
        <w:numPr>
          <w:ilvl w:val="0"/>
          <w:numId w:val="2"/>
        </w:numPr>
        <w:spacing w:before="0" w:after="60"/>
      </w:pPr>
      <w:r>
        <w:rPr>
          <w:rFonts w:ascii="Arial" w:cs="Arial" w:eastAsia="Arial" w:hAnsi="Arial"/>
          <w:color w:val="374151"/>
          <w:sz w:val="21"/>
          <w:szCs w:val="21"/>
        </w:rPr>
        <w:t xml:space="preserve">Certification history: certification name, issuing body, date obtained, expiry date, validation evidence reference</w:t>
      </w:r>
    </w:p>
    <w:p>
      <w:pPr>
        <w:pStyle w:val="ListParagraph"/>
        <w:numPr>
          <w:ilvl w:val="0"/>
          <w:numId w:val="2"/>
        </w:numPr>
        <w:spacing w:before="0" w:after="60"/>
      </w:pPr>
      <w:r>
        <w:rPr>
          <w:rFonts w:ascii="Arial" w:cs="Arial" w:eastAsia="Arial" w:hAnsi="Arial"/>
          <w:color w:val="374151"/>
          <w:sz w:val="21"/>
          <w:szCs w:val="21"/>
        </w:rPr>
        <w:t xml:space="preserve">Training history: programme name, provider, date, completion status, assessment score — prevents re-recommendation of completed programmes</w:t>
      </w:r>
    </w:p>
    <w:p>
      <w:pPr>
        <w:pStyle w:val="ListParagraph"/>
        <w:numPr>
          <w:ilvl w:val="0"/>
          <w:numId w:val="2"/>
        </w:numPr>
        <w:spacing w:before="0" w:after="60"/>
      </w:pPr>
      <w:r>
        <w:rPr>
          <w:rFonts w:ascii="Arial" w:cs="Arial" w:eastAsia="Arial" w:hAnsi="Arial"/>
          <w:color w:val="374151"/>
          <w:sz w:val="21"/>
          <w:szCs w:val="21"/>
        </w:rPr>
        <w:t xml:space="preserve">Projects: name, type, team members, client industry, skills required, status, outcomes — AI uses as skill demand signals</w:t>
      </w:r>
    </w:p>
    <w:p>
      <w:pPr>
        <w:pStyle w:val="ListParagraph"/>
        <w:numPr>
          <w:ilvl w:val="0"/>
          <w:numId w:val="2"/>
        </w:numPr>
        <w:spacing w:before="0" w:after="60"/>
      </w:pPr>
      <w:r>
        <w:rPr>
          <w:rFonts w:ascii="Arial" w:cs="Arial" w:eastAsia="Arial" w:hAnsi="Arial"/>
          <w:color w:val="374151"/>
          <w:sz w:val="21"/>
          <w:szCs w:val="21"/>
        </w:rPr>
        <w:t xml:space="preserve">Industry benchmarks: external benchmark data incorporated into AI pipeline context</w:t>
      </w:r>
    </w:p>
    <w:p>
      <w:pPr>
        <w:pStyle w:val="ListParagraph"/>
        <w:numPr>
          <w:ilvl w:val="0"/>
          <w:numId w:val="2"/>
        </w:numPr>
        <w:spacing w:before="0" w:after="60"/>
      </w:pPr>
      <w:r>
        <w:rPr>
          <w:rFonts w:ascii="Arial" w:cs="Arial" w:eastAsia="Arial" w:hAnsi="Arial"/>
          <w:color w:val="374151"/>
          <w:sz w:val="21"/>
          <w:szCs w:val="21"/>
        </w:rPr>
        <w:t xml:space="preserve">Data Context Meter: Core (0–35%), Enrichment (36–70%), Advanced (71–100%) — email to admin when below 70%</w:t>
      </w:r>
    </w:p>
    <w:p>
      <w:pPr>
        <w:pStyle w:val="ListParagraph"/>
        <w:numPr>
          <w:ilvl w:val="0"/>
          <w:numId w:val="2"/>
        </w:numPr>
        <w:spacing w:before="0" w:after="60"/>
      </w:pPr>
      <w:r>
        <w:rPr>
          <w:rFonts w:ascii="Arial" w:cs="Arial" w:eastAsia="Arial" w:hAnsi="Arial"/>
          <w:color w:val="374151"/>
          <w:sz w:val="21"/>
          <w:szCs w:val="21"/>
        </w:rPr>
        <w:t xml:space="preserve">HRIS sync: Workday, BambooHR, SAP SuccessFactors — Phase 1 at L1, full API connector at L4</w:t>
      </w:r>
    </w:p>
    <w:p>
      <w:pPr>
        <w:pStyle w:val="ListParagraph"/>
        <w:numPr>
          <w:ilvl w:val="0"/>
          <w:numId w:val="2"/>
        </w:numPr>
        <w:spacing w:before="0" w:after="60"/>
      </w:pPr>
      <w:r>
        <w:rPr>
          <w:rFonts w:ascii="Arial" w:cs="Arial" w:eastAsia="Arial" w:hAnsi="Arial"/>
          <w:color w:val="374151"/>
          <w:sz w:val="21"/>
          <w:szCs w:val="21"/>
        </w:rPr>
        <w:t xml:space="preserve">Manual entry form: add a single employee, edit an individual record, record a certification or training completion, or manage team membership — all without a file upload. Same validation rules as Excel import. Duplicate detection prevents duplicate employee IDs or emails. Data Context Meter updates in real time on every manual entry.</w:t>
      </w:r>
    </w:p>
    <w:p>
      <w:pPr>
        <w:pStyle w:val="ListParagraph"/>
        <w:numPr>
          <w:ilvl w:val="0"/>
          <w:numId w:val="2"/>
        </w:numPr>
        <w:spacing w:before="0" w:after="60"/>
      </w:pPr>
      <w:r>
        <w:rPr>
          <w:rFonts w:ascii="Arial" w:cs="Arial" w:eastAsia="Arial" w:hAnsi="Arial"/>
          <w:color w:val="374151"/>
          <w:sz w:val="21"/>
          <w:szCs w:val="21"/>
        </w:rPr>
        <w:t xml:space="preserve">Scope Status field on every employee record: Active Participant (full platform, billed seat) · Excluded (org structure only, invisible to all analytics) · View Only (self-service Skill Passport only, not in org analysis). Rules configurable by employment type or department. Individual overrides logged in audit trail.</w:t>
      </w:r>
    </w:p>
    <w:p>
      <w:pPr>
        <w:spacing w:before="0" w:after="80"/>
      </w:pPr>
    </w:p>
    <w:p>
      <w:pPr>
        <w:pStyle w:val="Heading3"/>
        <w:spacing w:before="220" w:after="80"/>
      </w:pPr>
      <w:r>
        <w:rPr>
          <w:rFonts w:ascii="Arial" w:cs="Arial" w:eastAsia="Arial" w:hAnsi="Arial"/>
          <w:b/>
          <w:bCs/>
          <w:color w:val="1E6FFF"/>
          <w:sz w:val="24"/>
          <w:szCs w:val="24"/>
        </w:rPr>
        <w:t xml:space="preserve">3.2.1a Manual Entry and Individual Record Management</w:t>
      </w:r>
    </w:p>
    <w:p>
      <w:pPr>
        <w:spacing w:before="0" w:after="100"/>
        <w:jc w:val="left"/>
      </w:pPr>
      <w:r>
        <w:rPr>
          <w:rFonts w:ascii="Arial" w:cs="Arial" w:eastAsia="Arial" w:hAnsi="Arial"/>
          <w:b w:val="false"/>
          <w:bCs w:val="false"/>
          <w:i w:val="false"/>
          <w:iCs w:val="false"/>
          <w:color w:val="374151"/>
          <w:sz w:val="22"/>
          <w:szCs w:val="22"/>
        </w:rPr>
        <w:t xml:space="preserve">Manual entry is a first-class data input method in DataPort — not a workaround. It is the correct tool for specific, high-frequency use cases where bulk import creates unnecessary friction.</w:t>
      </w:r>
    </w:p>
    <w:p>
      <w:pPr>
        <w:spacing w:before="0" w:after="60"/>
      </w:pPr>
    </w:p>
    <w:p>
      <w:pPr>
        <w:spacing w:before="160" w:after="60"/>
      </w:pPr>
      <w:r>
        <w:rPr>
          <w:rFonts w:ascii="Arial" w:cs="Arial" w:eastAsia="Arial" w:hAnsi="Arial"/>
          <w:b/>
          <w:bCs/>
          <w:color w:val="374151"/>
          <w:sz w:val="22"/>
          <w:szCs w:val="22"/>
        </w:rPr>
        <w:t xml:space="preserve">When to Use Manual Entry</w:t>
      </w:r>
    </w:p>
    <w:p>
      <w:pPr>
        <w:pStyle w:val="ListParagraph"/>
        <w:numPr>
          <w:ilvl w:val="0"/>
          <w:numId w:val="2"/>
        </w:numPr>
        <w:spacing w:before="0" w:after="60"/>
      </w:pPr>
      <w:r>
        <w:rPr>
          <w:rFonts w:ascii="Arial" w:cs="Arial" w:eastAsia="Arial" w:hAnsi="Arial"/>
          <w:color w:val="374151"/>
          <w:sz w:val="21"/>
          <w:szCs w:val="21"/>
        </w:rPr>
        <w:t xml:space="preserve">Adding a single new joiner mid-cycle without re-importing the entire employee dataset</w:t>
      </w:r>
    </w:p>
    <w:p>
      <w:pPr>
        <w:pStyle w:val="ListParagraph"/>
        <w:numPr>
          <w:ilvl w:val="0"/>
          <w:numId w:val="2"/>
        </w:numPr>
        <w:spacing w:before="0" w:after="60"/>
      </w:pPr>
      <w:r>
        <w:rPr>
          <w:rFonts w:ascii="Arial" w:cs="Arial" w:eastAsia="Arial" w:hAnsi="Arial"/>
          <w:color w:val="374151"/>
          <w:sz w:val="21"/>
          <w:szCs w:val="21"/>
        </w:rPr>
        <w:t xml:space="preserve">Correcting an individual record — job title change, department transfer, manager update — without triggering a full delta import</w:t>
      </w:r>
    </w:p>
    <w:p>
      <w:pPr>
        <w:pStyle w:val="ListParagraph"/>
        <w:numPr>
          <w:ilvl w:val="0"/>
          <w:numId w:val="2"/>
        </w:numPr>
        <w:spacing w:before="0" w:after="60"/>
      </w:pPr>
      <w:r>
        <w:rPr>
          <w:rFonts w:ascii="Arial" w:cs="Arial" w:eastAsia="Arial" w:hAnsi="Arial"/>
          <w:color w:val="374151"/>
          <w:sz w:val="21"/>
          <w:szCs w:val="21"/>
        </w:rPr>
        <w:t xml:space="preserve">Onboarding a small organisation (under 30 employees) where a spreadsheet is more friction than value</w:t>
      </w:r>
    </w:p>
    <w:p>
      <w:pPr>
        <w:pStyle w:val="ListParagraph"/>
        <w:numPr>
          <w:ilvl w:val="0"/>
          <w:numId w:val="2"/>
        </w:numPr>
        <w:spacing w:before="0" w:after="60"/>
      </w:pPr>
      <w:r>
        <w:rPr>
          <w:rFonts w:ascii="Arial" w:cs="Arial" w:eastAsia="Arial" w:hAnsi="Arial"/>
          <w:color w:val="374151"/>
          <w:sz w:val="21"/>
          <w:szCs w:val="21"/>
        </w:rPr>
        <w:t xml:space="preserve">Adding an employee missed in the original import who needs to enter an active assessment cycle immediately</w:t>
      </w:r>
    </w:p>
    <w:p>
      <w:pPr>
        <w:pStyle w:val="ListParagraph"/>
        <w:numPr>
          <w:ilvl w:val="0"/>
          <w:numId w:val="2"/>
        </w:numPr>
        <w:spacing w:before="0" w:after="60"/>
      </w:pPr>
      <w:r>
        <w:rPr>
          <w:rFonts w:ascii="Arial" w:cs="Arial" w:eastAsia="Arial" w:hAnsi="Arial"/>
          <w:color w:val="374151"/>
          <w:sz w:val="21"/>
          <w:szCs w:val="21"/>
        </w:rPr>
        <w:t xml:space="preserve">Recording a single certification or training completion outside a scheduled sync</w:t>
      </w:r>
    </w:p>
    <w:p>
      <w:pPr>
        <w:spacing w:before="0" w:after="60"/>
      </w:pPr>
    </w:p>
    <w:p>
      <w:pPr>
        <w:spacing w:before="160" w:after="60"/>
      </w:pPr>
      <w:r>
        <w:rPr>
          <w:rFonts w:ascii="Arial" w:cs="Arial" w:eastAsia="Arial" w:hAnsi="Arial"/>
          <w:b/>
          <w:bCs/>
          <w:color w:val="374151"/>
          <w:sz w:val="22"/>
          <w:szCs w:val="22"/>
        </w:rPr>
        <w:t xml:space="preserve">Manual Entry Form — Field Specification</w:t>
      </w:r>
    </w:p>
    <w:p>
      <w:pPr>
        <w:pStyle w:val="ListParagraph"/>
        <w:numPr>
          <w:ilvl w:val="0"/>
          <w:numId w:val="2"/>
        </w:numPr>
        <w:spacing w:before="0" w:after="60"/>
      </w:pPr>
      <w:r>
        <w:rPr>
          <w:rFonts w:ascii="Arial" w:cs="Arial" w:eastAsia="Arial" w:hAnsi="Arial"/>
          <w:color w:val="374151"/>
          <w:sz w:val="21"/>
          <w:szCs w:val="21"/>
        </w:rPr>
        <w:t xml:space="preserve">Employee record form: all Employee Master Data fields — name, employee ID, email, job title, department (dropdown from OrgSetup hierarchy), manager (dropdown from existing employees), employment type, work arrangement, seniority band, start date, employment status. All dropdowns pre-populated from OrgSetup so entry is structured, not free text.</w:t>
      </w:r>
    </w:p>
    <w:p>
      <w:pPr>
        <w:pStyle w:val="ListParagraph"/>
        <w:numPr>
          <w:ilvl w:val="0"/>
          <w:numId w:val="2"/>
        </w:numPr>
        <w:spacing w:before="0" w:after="60"/>
      </w:pPr>
      <w:r>
        <w:rPr>
          <w:rFonts w:ascii="Arial" w:cs="Arial" w:eastAsia="Arial" w:hAnsi="Arial"/>
          <w:color w:val="374151"/>
          <w:sz w:val="21"/>
          <w:szCs w:val="21"/>
        </w:rPr>
        <w:t xml:space="preserve">Inline field editing: every existing employee record is editable at field level from the SkillPassport or from the DataPort employee list view. Edit with save confirmation. Full audit trail per edit — user, timestamp, previous value, new value.</w:t>
      </w:r>
    </w:p>
    <w:p>
      <w:pPr>
        <w:pStyle w:val="ListParagraph"/>
        <w:numPr>
          <w:ilvl w:val="0"/>
          <w:numId w:val="2"/>
        </w:numPr>
        <w:spacing w:before="0" w:after="60"/>
      </w:pPr>
      <w:r>
        <w:rPr>
          <w:rFonts w:ascii="Arial" w:cs="Arial" w:eastAsia="Arial" w:hAnsi="Arial"/>
          <w:color w:val="374151"/>
          <w:sz w:val="21"/>
          <w:szCs w:val="21"/>
        </w:rPr>
        <w:t xml:space="preserve">Certification entry: add a certification to any employee — name (from Certification Registry or free text for new certs), issuing body, date obtained, expiry date, evidence upload. Immediately reflected in the employee's SkillPassport.</w:t>
      </w:r>
    </w:p>
    <w:p>
      <w:pPr>
        <w:pStyle w:val="ListParagraph"/>
        <w:numPr>
          <w:ilvl w:val="0"/>
          <w:numId w:val="2"/>
        </w:numPr>
        <w:spacing w:before="0" w:after="60"/>
      </w:pPr>
      <w:r>
        <w:rPr>
          <w:rFonts w:ascii="Arial" w:cs="Arial" w:eastAsia="Arial" w:hAnsi="Arial"/>
          <w:color w:val="374151"/>
          <w:sz w:val="21"/>
          <w:szCs w:val="21"/>
        </w:rPr>
        <w:t xml:space="preserve">Training history entry: record a completed programme — name, provider, date, completion status, score. Prevents AI pipeline from re-recommending completed programmes.</w:t>
      </w:r>
    </w:p>
    <w:p>
      <w:pPr>
        <w:pStyle w:val="ListParagraph"/>
        <w:numPr>
          <w:ilvl w:val="0"/>
          <w:numId w:val="2"/>
        </w:numPr>
        <w:spacing w:before="0" w:after="60"/>
      </w:pPr>
      <w:r>
        <w:rPr>
          <w:rFonts w:ascii="Arial" w:cs="Arial" w:eastAsia="Arial" w:hAnsi="Arial"/>
          <w:color w:val="374151"/>
          <w:sz w:val="21"/>
          <w:szCs w:val="21"/>
        </w:rPr>
        <w:t xml:space="preserve">Team and cohort management: add or remove employees from teams, update team lead, create cohort groupings — all manageable individually.</w:t>
      </w:r>
    </w:p>
    <w:p>
      <w:pPr>
        <w:spacing w:before="0" w:after="60"/>
      </w:pPr>
    </w:p>
    <w:p>
      <w:pPr>
        <w:spacing w:before="160" w:after="60"/>
      </w:pPr>
      <w:r>
        <w:rPr>
          <w:rFonts w:ascii="Arial" w:cs="Arial" w:eastAsia="Arial" w:hAnsi="Arial"/>
          <w:b/>
          <w:bCs/>
          <w:color w:val="374151"/>
          <w:sz w:val="22"/>
          <w:szCs w:val="22"/>
        </w:rPr>
        <w:t xml:space="preserve">Validation — Manual Entry</w:t>
      </w:r>
    </w:p>
    <w:p>
      <w:pPr>
        <w:pStyle w:val="ListParagraph"/>
        <w:numPr>
          <w:ilvl w:val="0"/>
          <w:numId w:val="2"/>
        </w:numPr>
        <w:spacing w:before="0" w:after="60"/>
      </w:pPr>
      <w:r>
        <w:rPr>
          <w:rFonts w:ascii="Arial" w:cs="Arial" w:eastAsia="Arial" w:hAnsi="Arial"/>
          <w:color w:val="374151"/>
          <w:sz w:val="21"/>
          <w:szCs w:val="21"/>
        </w:rPr>
        <w:t xml:space="preserve">All manual entries pass the same validation rules as Excel import: required fields enforced, data type checks, foreign key checks (department must exist in OrgSetup hierarchy, manager must be an existing employee). Inline validation errors shown before save is permitted.</w:t>
      </w:r>
    </w:p>
    <w:p>
      <w:pPr>
        <w:pStyle w:val="ListParagraph"/>
        <w:numPr>
          <w:ilvl w:val="0"/>
          <w:numId w:val="2"/>
        </w:numPr>
        <w:spacing w:before="0" w:after="60"/>
      </w:pPr>
      <w:r>
        <w:rPr>
          <w:rFonts w:ascii="Arial" w:cs="Arial" w:eastAsia="Arial" w:hAnsi="Arial"/>
          <w:color w:val="374151"/>
          <w:sz w:val="21"/>
          <w:szCs w:val="21"/>
        </w:rPr>
        <w:t xml:space="preserve">Duplicate detection: if an employee ID or email already exists, the form raises a conflict warning. User chooses to update the existing record or confirm the new entry is intentional.</w:t>
      </w:r>
    </w:p>
    <w:p>
      <w:pPr>
        <w:pStyle w:val="ListParagraph"/>
        <w:numPr>
          <w:ilvl w:val="0"/>
          <w:numId w:val="2"/>
        </w:numPr>
        <w:spacing w:before="0" w:after="60"/>
      </w:pPr>
      <w:r>
        <w:rPr>
          <w:rFonts w:ascii="Arial" w:cs="Arial" w:eastAsia="Arial" w:hAnsi="Arial"/>
          <w:color w:val="374151"/>
          <w:sz w:val="21"/>
          <w:szCs w:val="21"/>
        </w:rPr>
        <w:t xml:space="preserve">Data Context Meter recalculates in real time on every manual entry — score always reflects actual data completeness regardless of input method.</w:t>
      </w:r>
    </w:p>
    <w:p>
      <w:pPr>
        <w:spacing w:before="0" w:after="80"/>
      </w:pPr>
    </w:p>
    <w:p>
      <w:pPr>
        <w:pStyle w:val="Heading3"/>
        <w:spacing w:before="220" w:after="80"/>
      </w:pPr>
      <w:r>
        <w:rPr>
          <w:rFonts w:ascii="Arial" w:cs="Arial" w:eastAsia="Arial" w:hAnsi="Arial"/>
          <w:b/>
          <w:bCs/>
          <w:color w:val="1E6FFF"/>
          <w:sz w:val="24"/>
          <w:szCs w:val="24"/>
        </w:rPr>
        <w:t xml:space="preserve">3.2.1b Employee Scope Management</w:t>
      </w:r>
    </w:p>
    <w:p>
      <w:pPr>
        <w:spacing w:before="0" w:after="100"/>
        <w:jc w:val="left"/>
      </w:pPr>
      <w:r>
        <w:rPr>
          <w:rFonts w:ascii="Arial" w:cs="Arial" w:eastAsia="Arial" w:hAnsi="Arial"/>
          <w:b w:val="false"/>
          <w:bCs w:val="false"/>
          <w:i w:val="false"/>
          <w:iCs w:val="false"/>
          <w:color w:val="374151"/>
          <w:sz w:val="22"/>
          <w:szCs w:val="22"/>
        </w:rPr>
        <w:t xml:space="preserve">Every employee imported into DataPort is assigned a Scope Status that governs their participation in the platform's analytical and assessment layers. This is the mechanism that allows organisations to onboard their full workforce structure into DataPort while limiting active platform participation to the subset they intend to manage.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Scope Status</w:t>
            </w:r>
          </w:p>
        </w:tc>
        <w:tc>
          <w:tcPr>
            <w:tcW w:type="dxa" w:w="35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Platform Behaviour</w:t>
            </w:r>
          </w:p>
        </w:tc>
      </w:tr>
      <w:tr>
        <w:tc>
          <w:tcPr>
            <w:tcW w:type="dxa" w:w="1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Active Participant</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participant. Default for all imported employees.</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Included in all assessments, LNA/TNA, InsightBoard counts, gap scoring, dashboards, and ReportGen. Receives credentials. Billed as an active seat.</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Excluded</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 DataPort for org structure only — not a platform participant.</w:t>
            </w:r>
          </w:p>
        </w:tc>
        <w:tc>
          <w:tcPr>
            <w:tcW w:type="dxa" w:w="4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Invisible to all analytical layers: no assessments, no LNA, no InsightBoard counts, no credentials. Can be promoted to Active Participant at any time. Not billed.</w:t>
            </w:r>
          </w:p>
        </w:tc>
      </w:tr>
      <w:tr>
        <w:tc>
          <w:tcPr>
            <w:tcW w:type="dxa" w:w="1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D97706"/>
                <w:sz w:val="20"/>
                <w:szCs w:val="20"/>
              </w:rPr>
              <w:t xml:space="preserve">View Only</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Has Employee Portal access to view their own Skill Passport only.</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Can log in, view AI-estimated baselines, export Skill Passport. Not included in org assessment cycles, LNA, or team analytics. Billed at reduced rate.</w:t>
            </w:r>
          </w:p>
        </w:tc>
      </w:tr>
    </w:tbl>
    <w:p>
      <w:pPr>
        <w:spacing w:before="0" w:after="60"/>
      </w:pPr>
    </w:p>
    <w:p>
      <w:pPr>
        <w:pStyle w:val="ListParagraph"/>
        <w:numPr>
          <w:ilvl w:val="0"/>
          <w:numId w:val="2"/>
        </w:numPr>
        <w:spacing w:before="0" w:after="60"/>
      </w:pPr>
      <w:r>
        <w:rPr>
          <w:rFonts w:ascii="Arial" w:cs="Arial" w:eastAsia="Arial" w:hAnsi="Arial"/>
          <w:color w:val="374151"/>
          <w:sz w:val="21"/>
          <w:szCs w:val="21"/>
        </w:rPr>
        <w:t xml:space="preserve">Scope rules: HR Admin can configure automatic Scope Status assignment by employment type (e.g. all contractors Excluded by default) or by department/BU (e.g. a regional subsidiary not yet covered by the L&amp;D budget). Individual overrides take precedence over rules.</w:t>
      </w:r>
    </w:p>
    <w:p>
      <w:pPr>
        <w:pStyle w:val="ListParagraph"/>
        <w:numPr>
          <w:ilvl w:val="0"/>
          <w:numId w:val="2"/>
        </w:numPr>
        <w:spacing w:before="0" w:after="60"/>
      </w:pPr>
      <w:r>
        <w:rPr>
          <w:rFonts w:ascii="Arial" w:cs="Arial" w:eastAsia="Arial" w:hAnsi="Arial"/>
          <w:color w:val="374151"/>
          <w:sz w:val="21"/>
          <w:szCs w:val="21"/>
        </w:rPr>
        <w:t xml:space="preserve">Platform-wide enforcement: InsightBoard, LNA/TNA, AssessEngine, SkillForge baselines, and all ReportGen outputs reflect Active Participants only. Reports show total imported count vs active participant count for transparency.</w:t>
      </w:r>
    </w:p>
    <w:p>
      <w:pPr>
        <w:pStyle w:val="ListParagraph"/>
        <w:numPr>
          <w:ilvl w:val="0"/>
          <w:numId w:val="2"/>
        </w:numPr>
        <w:spacing w:before="0" w:after="60"/>
      </w:pPr>
      <w:r>
        <w:rPr>
          <w:rFonts w:ascii="Arial" w:cs="Arial" w:eastAsia="Arial" w:hAnsi="Arial"/>
          <w:color w:val="374151"/>
          <w:sz w:val="21"/>
          <w:szCs w:val="21"/>
        </w:rPr>
        <w:t xml:space="preserve">Scope Status audit trail: every change logged immutably with user, timestamp, previous status, new status, and mandatory reason field.</w:t>
      </w:r>
    </w:p>
    <w:p>
      <w:pPr>
        <w:spacing w:before="0" w:after="80"/>
      </w:pPr>
    </w:p>
    <w:p>
      <w:pPr>
        <w:pStyle w:val="Heading3"/>
        <w:spacing w:before="220" w:after="80"/>
      </w:pPr>
      <w:r>
        <w:rPr>
          <w:rFonts w:ascii="Arial" w:cs="Arial" w:eastAsia="Arial" w:hAnsi="Arial"/>
          <w:b/>
          <w:bCs/>
          <w:color w:val="1E6FFF"/>
          <w:sz w:val="24"/>
          <w:szCs w:val="24"/>
        </w:rPr>
        <w:t xml:space="preserve">3.2.1c Employee Lifecycle Event Engine</w:t>
      </w:r>
    </w:p>
    <w:p>
      <w:pPr>
        <w:spacing w:before="0" w:after="100"/>
        <w:jc w:val="left"/>
      </w:pPr>
      <w:r>
        <w:rPr>
          <w:rFonts w:ascii="Arial" w:cs="Arial" w:eastAsia="Arial" w:hAnsi="Arial"/>
          <w:b w:val="false"/>
          <w:bCs w:val="false"/>
          <w:i w:val="false"/>
          <w:iCs w:val="false"/>
          <w:color w:val="374151"/>
          <w:sz w:val="22"/>
          <w:szCs w:val="22"/>
        </w:rPr>
        <w:t xml:space="preserve">Employment status changes during the relationship — resignations, leave, transfers, contract endings. The Lifecycle Event Engine responds to these changes immediately and accurately, updating every downstream system before the next analytical cycle runs.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60"/>
        <w:gridCol w:w="5200"/>
      </w:tblGrid>
      <w:tr>
        <w:tc>
          <w:tcPr>
            <w:tcW w:type="dxa" w:w="1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5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Platform Response (Summary)</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Serving Notice</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employment_type set to 'notice' with last_working_day date</w:t>
            </w:r>
          </w:p>
        </w:tc>
        <w:tc>
          <w:tcPr>
            <w:tcW w:type="dxa" w:w="5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Immediate notifications to manager, HR Head, L&amp;D. Succession Risk Engine fires. Knowledge capture triggered if critical skills held. Assessment cycle decision prompt. Skill Passport export notification to employee.</w:t>
            </w:r>
          </w:p>
        </w:tc>
      </w:tr>
      <w:tr>
        <w:tc>
          <w:tcPr>
            <w:tcW w:type="dxa" w:w="1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Exit</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Last working day reached or 'alumni' status set</w:t>
            </w:r>
          </w:p>
        </w:tc>
        <w:tc>
          <w:tcPr>
            <w:tcW w:type="dxa" w:w="5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Scope → Excluded. LNA recalculated. Concentration risk check on all skills. Succession pipeline updated. All active assessment participations closed. GDPR erasure workflow available.</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Long-Term Leave</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employment_status set to 'on_leave' with return date</w:t>
            </w:r>
          </w:p>
        </w:tc>
        <w:tc>
          <w:tcPr>
            <w:tcW w:type="dxa" w:w="5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Scope → Excluded for duration. Removed from all active/scheduled assessment cycles. LNI paused. Succession status marked unavailable. Auto-reinstated on return date.</w:t>
            </w:r>
          </w:p>
        </w:tc>
      </w:tr>
      <w:tr>
        <w:tc>
          <w:tcPr>
            <w:tcW w:type="dxa" w:w="1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Internal Transfer</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Department, BU, or job title changed</w:t>
            </w:r>
          </w:p>
        </w:tc>
        <w:tc>
          <w:tcPr>
            <w:tcW w:type="dxa" w:w="5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Role-skill mapping updated. Gap score recalculated vs new role. IDP/LNI revised. New manager notified with skills profile summary.</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Secondment</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employment_type set to 'secondment' with host dept and return date</w:t>
            </w:r>
          </w:p>
        </w:tc>
        <w:tc>
          <w:tcPr>
            <w:tcW w:type="dxa" w:w="5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Home dept: Excluded for duration. Host dept: View Only. Auto-reinstated on secondment end date.</w:t>
            </w:r>
          </w:p>
        </w:tc>
      </w:tr>
      <w:tr>
        <w:tc>
          <w:tcPr>
            <w:tcW w:type="dxa" w:w="1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Contract End (Fixed-Term)</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contract_end_date reached</w:t>
            </w:r>
          </w:p>
        </w:tc>
        <w:tc>
          <w:tcPr>
            <w:tcW w:type="dxa" w:w="5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14-day advance notification to HR Admin and manager. On end date: same as Exit flow. If contract renewed, no action — employee remains Active Participant.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FF" w:sz="8"/>
              <w:left w:val="single" w:color="1E6FFF" w:sz="14"/>
              <w:bottom w:val="single" w:color="1E6FFF" w:sz="4"/>
              <w:right w:val="single" w:color="1E6FFF" w:sz="4"/>
            </w:tcBorders>
            <w:shd w:fill="EFF5FF" w:val="clear"/>
            <w:tcMar>
              <w:top w:type="dxa" w:w="120"/>
              <w:left w:type="dxa" w:w="180"/>
              <w:bottom w:type="dxa" w:w="120"/>
              <w:right w:type="dxa" w:w="160"/>
            </w:tcMar>
          </w:tcPr>
          <w:p>
            <w:pPr>
              <w:spacing w:before="0" w:after="60"/>
            </w:pPr>
            <w:r>
              <w:rPr>
                <w:rFonts w:ascii="Arial" w:cs="Arial" w:eastAsia="Arial" w:hAnsi="Arial"/>
                <w:b/>
                <w:bCs/>
                <w:color w:val="1E3A6E"/>
                <w:sz w:val="22"/>
                <w:szCs w:val="22"/>
              </w:rPr>
              <w:t xml:space="preserve">SERVING NOTICE — FULL RESPONSE SEQUENCE</w:t>
            </w:r>
          </w:p>
          <w:p>
            <w:pPr>
              <w:spacing w:before="0" w:after="0"/>
            </w:pPr>
            <w:r>
              <w:rPr>
                <w:rFonts w:ascii="Arial" w:cs="Arial" w:eastAsia="Arial" w:hAnsi="Arial"/>
                <w:color w:val="374151"/>
                <w:sz w:val="20"/>
                <w:szCs w:val="20"/>
              </w:rPr>
              <w:t xml:space="preserve">Trigger → Immediate: notify manager (name, last working day, active projects, critical skills held), HR Head (same + succession pipeline status), L&amp;D Manager (active IDPs, coaching, training enrolments). Succession Risk Engine fires within 30 seconds — incumbent alert if in a critical role, candidate alert if a succession candidate. Knowledge Capture workflow triggered if C1/C2 skills held. Employee notified to export Skill Passport. Assessment cycle decision prompt sent to HR Head (exclude or allow completion). Last working day: Scope → Excluded, LNA recalculated, concentration risk check, InsightBoard metrics updated.</w:t>
            </w:r>
          </w:p>
        </w:tc>
      </w:tr>
    </w:tbl>
    <w:p>
      <w:pPr>
        <w:spacing w:before="0" w:after="120"/>
      </w:pPr>
    </w:p>
    <w:p>
      <w:pPr>
        <w:pStyle w:val="Heading3"/>
        <w:spacing w:before="220" w:after="80"/>
      </w:pPr>
      <w:r>
        <w:rPr>
          <w:rFonts w:ascii="Arial" w:cs="Arial" w:eastAsia="Arial" w:hAnsi="Arial"/>
          <w:b/>
          <w:bCs/>
          <w:color w:val="1E6FFF"/>
          <w:sz w:val="24"/>
          <w:szCs w:val="24"/>
        </w:rPr>
        <w:t xml:space="preserve">3.2.2 Step 2: 7-Prompt AI Pipeline (SkillForge)</w:t>
      </w:r>
    </w:p>
    <w:p>
      <w:pPr>
        <w:spacing w:before="0" w:after="100"/>
        <w:jc w:val="left"/>
      </w:pPr>
      <w:r>
        <w:rPr>
          <w:rFonts w:ascii="Arial" w:cs="Arial" w:eastAsia="Arial" w:hAnsi="Arial"/>
          <w:b w:val="false"/>
          <w:bCs w:val="false"/>
          <w:i w:val="false"/>
          <w:iCs w:val="false"/>
          <w:color w:val="374151"/>
          <w:sz w:val="22"/>
          <w:szCs w:val="22"/>
        </w:rPr>
        <w:t xml:space="preserve">The pipeline runs asynchronously via BullMQ (Redis). Real-time progress is shown in the UI for each of the 7 prompts. Target completion time: under 3 minutes for any organisation. All outputs are human-reviewable and editable. The is_modified flag protects any human edit from being overwritten.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3000"/>
        <w:gridCol w:w="2400"/>
        <w:gridCol w:w="1800"/>
      </w:tblGrid>
      <w:tr>
        <w:tc>
          <w:tcPr>
            <w:tcW w:type="dxa" w:w="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3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Key Rule</w:t>
            </w:r>
          </w:p>
        </w:tc>
      </w:tr>
      <w:tr>
        <w:tc>
          <w:tcPr>
            <w:tcW w:type="dxa" w:w="36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1</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Context Extraction</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OrgSetup context layer + DataPort people and operations data</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Structured org intelligence profile: industry, hierarchy, strategy, tools, clients, compliance standards, existing taxonomy, team structure, project demands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Both input layers required</w:t>
            </w:r>
          </w:p>
        </w:tc>
      </w:tr>
      <w:tr>
        <w:tc>
          <w:tcPr>
            <w:tcW w:type="dxa" w:w="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2</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Deep Context Synthesis</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Strategy goals, products/services, client registry, governing standards, tool inventory, culture definition, Transformation Dial settings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Enriched org intelligence: strategic skill implications, compliance skill requirements, tool-derived technical skill needs, client-demand signals, forward-looking gaps from roadmap</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Re-runnable without full re-import</w:t>
            </w:r>
          </w:p>
        </w:tc>
      </w:tr>
      <w:tr>
        <w:tc>
          <w:tcPr>
            <w:tcW w:type="dxa" w:w="36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3</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 Architecture Analysis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Job titles, KRAs, career pathways, role criticality, succession requirements, minimum qualifications, role demand forecast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 family map, succession pathways, critical role skill dependencies, skills at risk from planned attrition or role phase-out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Informs prompts 4, 5, 6</w:t>
            </w:r>
          </w:p>
        </w:tc>
      </w:tr>
      <w:tr>
        <w:tc>
          <w:tcPr>
            <w:tcW w:type="dxa" w:w="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4</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Skill Generation</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prior context</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Skills with definitions, 4-level proficiency indicators, dept applicability map — assigned to Domain → Knowledge Area → Skill Category → Skill taxonomy. Quantity scales with org complexity.</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a fixed number</w:t>
            </w:r>
          </w:p>
        </w:tc>
      </w:tr>
      <w:tr>
        <w:tc>
          <w:tcPr>
            <w:tcW w:type="dxa" w:w="36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5</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Competency Generation</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prior context + org values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Competencies (Core / Behavioural / Leadership / Technical) anchored to org values, culture, and Transformation Dial direction. Quantity scales with org complexity.</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a fixed number</w:t>
            </w:r>
          </w:p>
        </w:tc>
      </w:tr>
      <w:tr>
        <w:tc>
          <w:tcPr>
            <w:tcW w:type="dxa" w:w="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6</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Role-Skill Mapping</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Skills + Job Titles + KRAs + standards + tool stack + career pathways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 × Skill matrix with required proficiency per role. Compliance certifications appended to relevant roles. Tool-specific skills mapped to tool-using roles.</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Includes mandatory vs developmental split</w:t>
            </w:r>
          </w:p>
        </w:tc>
      </w:tr>
      <w:tr>
        <w:tc>
          <w:tcPr>
            <w:tcW w:type="dxa" w:w="36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7</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 Baselines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 data + certs + training history + career history + resume intelligence + performance history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Estimated current proficiency per employee per skill. Accounts for prior role experience, education, and resume signals — not just current-employer data.</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Clearly badged as AI-estimated until validated</w:t>
            </w:r>
          </w:p>
        </w:tc>
      </w:tr>
    </w:tbl>
    <w:p>
      <w:pPr>
        <w:spacing w:before="0" w:after="80"/>
      </w:pPr>
    </w:p>
    <w:p>
      <w:pPr>
        <w:spacing w:before="0" w:after="100"/>
        <w:jc w:val="left"/>
      </w:pPr>
      <w:r>
        <w:rPr>
          <w:rFonts w:ascii="Arial" w:cs="Arial" w:eastAsia="Arial" w:hAnsi="Arial"/>
          <w:b w:val="false"/>
          <w:bCs w:val="false"/>
          <w:i w:val="false"/>
          <w:iCs w:val="false"/>
          <w:color w:val="374151"/>
          <w:sz w:val="22"/>
          <w:szCs w:val="22"/>
        </w:rPr>
        <w:t xml:space="preserve">ApprovalHub governs all pipeline outputs: Tier 1 (Admin review and edit) → Tier 2 (Dept Head review) → Tier 3 (HR Head publishes). Once Tier 3 approves, the FrameworkBible locks and Level 2 becomes available. Any subsequent Super Admin edit to the FrameworkBible triggers a re-approval workflow.</w:t>
      </w:r>
    </w:p>
    <w:p>
      <w:pPr>
        <w:spacing w:before="0" w:after="80"/>
      </w:pPr>
    </w:p>
    <w:p>
      <w:pPr>
        <w:pStyle w:val="Heading3"/>
        <w:spacing w:before="220" w:after="80"/>
      </w:pPr>
      <w:r>
        <w:rPr>
          <w:rFonts w:ascii="Arial" w:cs="Arial" w:eastAsia="Arial" w:hAnsi="Arial"/>
          <w:b/>
          <w:bCs/>
          <w:color w:val="1E6FFF"/>
          <w:sz w:val="24"/>
          <w:szCs w:val="24"/>
        </w:rPr>
        <w:t xml:space="preserve">3.2.3 Step 2 Continued: Four Framework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360"/>
        <w:gridCol w:w="3200"/>
      </w:tblGrid>
      <w:tr>
        <w:tc>
          <w:tcPr>
            <w:tcW w:type="dxa" w:w="1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c>
          <w:tcPr>
            <w:tcW w:type="dxa" w:w="2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Key Steps</w:t>
            </w:r>
          </w:p>
        </w:tc>
        <w:tc>
          <w:tcPr>
            <w:tcW w:type="dxa" w:w="3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Output Artifact</w:t>
            </w:r>
          </w:p>
        </w:tc>
      </w:tr>
      <w:tr>
        <w:tc>
          <w:tcPr>
            <w:tcW w:type="dxa" w:w="1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Skills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skill taxonomy with definitions, criticality, proficiency levels, job role mapping</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Taxonomy hierarchy assigned per skill (Domain → Knowledge Area → Skill Category → Skill) · Category assignment (Technical/Behavioural/Functional/Leadership/Digital/Domain/Tool-Specific) · Criticality per role · L1–L4 behavioural descriptors · Mandatory vs developmental flag per role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Skills Dictionary — full entry per skill: taxonomy position, type, definition, 4-level proficiency indicators, criticality, role applicability, related skills, assessment methods, learning pathways, industry benchmark</w:t>
            </w:r>
          </w:p>
        </w:tc>
      </w:tr>
      <w:tr>
        <w:tc>
          <w:tcPr>
            <w:tcW w:type="dxa" w:w="1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Competencies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Competency framework with types, behavioural indicators, assessment guidance, org values linkage</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Competency types defined (Core/Behavioural/Leadership/Technical) · Behavioural indicators per L1–L4 level · Assessment method guidance per competency · Org values linkage · Competency groups within each type</w:t>
            </w:r>
          </w:p>
        </w:tc>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Competency Framework — org, BU, department, and team level views</w:t>
            </w:r>
          </w:p>
        </w:tc>
      </w:tr>
      <w:tr>
        <w:tc>
          <w:tcPr>
            <w:tcW w:type="dxa" w:w="1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Job Roles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Deep job role card with KRAs, skills, competencies, tasks, career pathway, succession criticality</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 purpose and scope · KRAs linked to dept goals · Skills + Competencies + Tasks (mandatory vs developmental) · Task criticality and frequency expectations · Career pathway (skills delta per step) · Succession criticality · Min qualifications · Single-point-of-failure flag</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Deep Job Role Card — Skills + Competencies + Tasks + KRAs + Career path + Role criticality</w:t>
            </w:r>
          </w:p>
        </w:tc>
      </w:tr>
      <w:tr>
        <w:tc>
          <w:tcPr>
            <w:tcW w:type="dxa" w:w="1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Baseline Dashboard</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InsightBoard L1 view: AI-estimated data, coverage completeness, readiness score</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 persona dashboards live · AI Conversational Interface on every widget · Employee count and classification · Skills availability coverage % · Competency coverage · Job role completeness · Framework readiness</w:t>
            </w:r>
          </w:p>
        </w:tc>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L1 Readiness Score — % platform data completeness across both input layers</w:t>
            </w:r>
          </w:p>
        </w:tc>
      </w:tr>
    </w:tbl>
    <w:p>
      <w:pPr>
        <w:spacing w:before="0" w:after="120"/>
      </w:pPr>
    </w:p>
    <w:p>
      <w:pPr>
        <w:pageBreakBefore/>
      </w:pPr>
      <w:r>
        <w:t xml:space="preserve"/>
      </w:r>
    </w:p>
    <w:p>
      <w:pPr>
        <w:pStyle w:val="Heading2"/>
        <w:spacing w:before="300" w:after="120"/>
      </w:pPr>
      <w:r>
        <w:rPr>
          <w:rFonts w:ascii="Arial" w:cs="Arial" w:eastAsia="Arial" w:hAnsi="Arial"/>
          <w:b/>
          <w:bCs/>
          <w:color w:val="1E3A6E"/>
          <w:sz w:val="30"/>
          <w:szCs w:val="30"/>
        </w:rPr>
        <w:t xml:space="preserve">3.3 Master Layer 2 — Analysis Layer (L2)</w:t>
      </w:r>
    </w:p>
    <w:p>
      <w:pPr>
        <w:pStyle w:val="Heading3"/>
        <w:spacing w:before="220" w:after="80"/>
      </w:pPr>
      <w:r>
        <w:rPr>
          <w:rFonts w:ascii="Arial" w:cs="Arial" w:eastAsia="Arial" w:hAnsi="Arial"/>
          <w:b/>
          <w:bCs/>
          <w:color w:val="1E6FFF"/>
          <w:sz w:val="24"/>
          <w:szCs w:val="24"/>
        </w:rPr>
        <w:t xml:space="preserve">3.3.1 Assessment &amp; Survey Distribution Engine</w:t>
      </w:r>
    </w:p>
    <w:p>
      <w:pPr>
        <w:spacing w:before="0" w:after="100"/>
        <w:jc w:val="left"/>
      </w:pPr>
      <w:r>
        <w:rPr>
          <w:rFonts w:ascii="Arial" w:cs="Arial" w:eastAsia="Arial" w:hAnsi="Arial"/>
          <w:b w:val="false"/>
          <w:bCs w:val="false"/>
          <w:i w:val="false"/>
          <w:iCs w:val="false"/>
          <w:color w:val="374151"/>
          <w:sz w:val="22"/>
          <w:szCs w:val="22"/>
        </w:rPr>
        <w:t xml:space="preserve">The Distribution Engine is the operational layer that moves every assessment from 'created' to 'completed' across a defined population. It operates beneath every assessment type and is always running.</w:t>
      </w:r>
    </w:p>
    <w:p>
      <w:pPr>
        <w:spacing w:before="0" w:after="60"/>
      </w:pPr>
    </w:p>
    <w:p>
      <w:pPr>
        <w:pStyle w:val="ListParagraph"/>
        <w:numPr>
          <w:ilvl w:val="0"/>
          <w:numId w:val="2"/>
        </w:numPr>
        <w:spacing w:before="0" w:after="60"/>
      </w:pPr>
      <w:r>
        <w:rPr>
          <w:rFonts w:ascii="Arial" w:cs="Arial" w:eastAsia="Arial" w:hAnsi="Arial"/>
          <w:color w:val="374151"/>
          <w:sz w:val="21"/>
          <w:szCs w:val="21"/>
        </w:rPr>
        <w:t xml:space="preserve">Population targeting: filter by hierarchy (org / BU / department / team / individual), role, classification, cohort, or custom criteria</w:t>
      </w:r>
    </w:p>
    <w:p>
      <w:pPr>
        <w:pStyle w:val="ListParagraph"/>
        <w:numPr>
          <w:ilvl w:val="0"/>
          <w:numId w:val="2"/>
        </w:numPr>
        <w:spacing w:before="0" w:after="60"/>
      </w:pPr>
      <w:r>
        <w:rPr>
          <w:rFonts w:ascii="Arial" w:cs="Arial" w:eastAsia="Arial" w:hAnsi="Arial"/>
          <w:color w:val="374151"/>
          <w:sz w:val="21"/>
          <w:szCs w:val="21"/>
        </w:rPr>
        <w:t xml:space="preserve">Dispatch and delivery tracking: 8 respondent statuses — Assigned, Opened, In Progress, Partially Complete, Submitted, Expired, Skipped (admin), Not Applicable</w:t>
      </w:r>
    </w:p>
    <w:p>
      <w:pPr>
        <w:pStyle w:val="ListParagraph"/>
        <w:numPr>
          <w:ilvl w:val="0"/>
          <w:numId w:val="2"/>
        </w:numPr>
        <w:spacing w:before="0" w:after="60"/>
      </w:pPr>
      <w:r>
        <w:rPr>
          <w:rFonts w:ascii="Arial" w:cs="Arial" w:eastAsia="Arial" w:hAnsi="Arial"/>
          <w:color w:val="374151"/>
          <w:sz w:val="21"/>
          <w:szCs w:val="21"/>
        </w:rPr>
        <w:t xml:space="preserve">Partial save: auto-save every 60 seconds, resume exactly where left off — no data lost on session timeout</w:t>
      </w:r>
    </w:p>
    <w:p>
      <w:pPr>
        <w:pStyle w:val="ListParagraph"/>
        <w:numPr>
          <w:ilvl w:val="0"/>
          <w:numId w:val="2"/>
        </w:numPr>
        <w:spacing w:before="0" w:after="60"/>
      </w:pPr>
      <w:r>
        <w:rPr>
          <w:rFonts w:ascii="Arial" w:cs="Arial" w:eastAsia="Arial" w:hAnsi="Arial"/>
          <w:color w:val="374151"/>
          <w:sz w:val="21"/>
          <w:szCs w:val="21"/>
        </w:rPr>
        <w:t xml:space="preserve">Reminder and escalation engine: 6-stage schedule from initial dispatch to auto-close, configurable per cycle</w:t>
      </w:r>
    </w:p>
    <w:p>
      <w:pPr>
        <w:pStyle w:val="ListParagraph"/>
        <w:numPr>
          <w:ilvl w:val="0"/>
          <w:numId w:val="2"/>
        </w:numPr>
        <w:spacing w:before="0" w:after="60"/>
      </w:pPr>
      <w:r>
        <w:rPr>
          <w:rFonts w:ascii="Arial" w:cs="Arial" w:eastAsia="Arial" w:hAnsi="Arial"/>
          <w:color w:val="374151"/>
          <w:sz w:val="21"/>
          <w:szCs w:val="21"/>
        </w:rPr>
        <w:t xml:space="preserve">360-degree rater workflow: rater assignment per ratee, external rater access via unique tokenised link, replacement prompting when rater is unavailable</w:t>
      </w:r>
    </w:p>
    <w:p>
      <w:pPr>
        <w:pStyle w:val="ListParagraph"/>
        <w:numPr>
          <w:ilvl w:val="0"/>
          <w:numId w:val="2"/>
        </w:numPr>
        <w:spacing w:before="0" w:after="60"/>
      </w:pPr>
      <w:r>
        <w:rPr>
          <w:rFonts w:ascii="Arial" w:cs="Arial" w:eastAsia="Arial" w:hAnsi="Arial"/>
          <w:color w:val="374151"/>
          <w:sz w:val="21"/>
          <w:szCs w:val="21"/>
        </w:rPr>
        <w:t xml:space="preserve">AI Assessment Suggestion Engine: analyses gap patterns, assessment history, and LNA output to proactively recommend what to assess next, when, and for which population — with rationale</w:t>
      </w:r>
    </w:p>
    <w:p>
      <w:pPr>
        <w:pStyle w:val="ListParagraph"/>
        <w:numPr>
          <w:ilvl w:val="0"/>
          <w:numId w:val="2"/>
        </w:numPr>
        <w:spacing w:before="0" w:after="60"/>
      </w:pPr>
      <w:r>
        <w:rPr>
          <w:rFonts w:ascii="Arial" w:cs="Arial" w:eastAsia="Arial" w:hAnsi="Arial"/>
          <w:color w:val="374151"/>
          <w:sz w:val="21"/>
          <w:szCs w:val="21"/>
        </w:rPr>
        <w:t xml:space="preserve">Assessment Governance Framework: mandatory approval workflow for new assessment instruments, psychometric instrument inventory, re-use and expiry management</w:t>
      </w:r>
    </w:p>
    <w:p>
      <w:pPr>
        <w:spacing w:before="0" w:after="80"/>
      </w:pPr>
    </w:p>
    <w:p>
      <w:pPr>
        <w:pStyle w:val="Heading3"/>
        <w:spacing w:before="220" w:after="80"/>
      </w:pPr>
      <w:r>
        <w:rPr>
          <w:rFonts w:ascii="Arial" w:cs="Arial" w:eastAsia="Arial" w:hAnsi="Arial"/>
          <w:b/>
          <w:bCs/>
          <w:color w:val="1E6FFF"/>
          <w:sz w:val="24"/>
          <w:szCs w:val="24"/>
        </w:rPr>
        <w:t xml:space="preserve">3.3.2 Assessment Categories (AssessEngine — M10)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2400"/>
        <w:gridCol w:w="1800"/>
      </w:tblGrid>
      <w:tr>
        <w:tc>
          <w:tcPr>
            <w:tcW w:type="dxa" w:w="16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Assessment Types</w:t>
            </w:r>
          </w:p>
        </w:tc>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Output to Skills Matrix</w:t>
            </w:r>
          </w:p>
        </w:tc>
        <w:tc>
          <w:tcPr>
            <w:tcW w:type="dxa" w:w="1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Respondent</w:t>
            </w:r>
          </w:p>
        </w:tc>
      </w:tr>
      <w:tr>
        <w:tc>
          <w:tcPr>
            <w:tcW w:type="dxa" w:w="16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 — Skill &amp; Competency</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Manager assessment (manager rates direct report per skill and competency) · Self-assessment (employee self-rates) · Both run simultaneously in same cycle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Self-rated level, manager-rated level, perception gap flag, weighted validated level</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Manager + Employee</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 — Psychometric &amp; Behavioural</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Psychometric: cognitive ability, reasoning, aptitude · Behavioural: observable workplace behaviours · Leadership: leadership style, maturity, potential · Personality: Big 5, MBTI, DISC · Third-party instruments via API integration</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Psychometric profile added to SkillPassport · Leadership readiness score · Personality type</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 only</w:t>
            </w:r>
          </w:p>
        </w:tc>
      </w:tr>
      <w:tr>
        <w:tc>
          <w:tcPr>
            <w:tcW w:type="dxa" w:w="16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C — Knowledge Tests</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Pre-training baseline · Post-training validation · Retention test (30/60/90 days post-training) · AI-built or manually authored · Scored automatically · Multiple choice, scenario-based, practical simulation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Knowledge gain % · Retention score · Pre/post delta feeds Kirkpatrick L2 measurement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 — 360° Feedback</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Upward feedback (from direct reports) · Peer feedback (cross-functional) · Downward feedback (from manager) · Self vs others perception gap analysis · Anonymous aggregation by rater category (min 3 raters per category for anonymity)</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360° summary added to SkillPassport · Perception gap vs self-assessment flagged</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Multiple raters + Employee</w:t>
            </w:r>
          </w:p>
        </w:tc>
      </w:tr>
      <w:tr>
        <w:tc>
          <w:tcPr>
            <w:tcW w:type="dxa" w:w="16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E — Org Surveys</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Engagement survey: motivation, belonging, advocacy · Change readiness survey: org adaptability · Culture pulse: values alignment, psychological safety · Strategy alignment: business goals awareness · Custom survey builder · Anonymous — only aggregated results visible at org level</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Survey aggregates feed InsightBoard Wellbeing Dashboard and Predictive Engine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employees</w:t>
            </w:r>
          </w:p>
        </w:tc>
      </w:tr>
      <w:tr>
        <w:tc>
          <w:tcPr>
            <w:tcW w:type="dxa" w:w="1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 — Qualitative Capture</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L&amp;D 1:1 discovery sessions: structured meeting notes between L&amp;D and employee · Focus group observations: cohort-level insights from workshops · AI theme extraction: AI tags patterns and common themes across sessions · All captured in structured fields, not free text</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Employee-declared learning needs feed LNA Discovery Input multiplier</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L&amp;D Manager + Employee</w:t>
            </w:r>
          </w:p>
        </w:tc>
      </w:tr>
    </w:tbl>
    <w:p>
      <w:pPr>
        <w:spacing w:before="0" w:after="80"/>
      </w:pPr>
    </w:p>
    <w:p>
      <w:pPr>
        <w:pStyle w:val="Heading3"/>
        <w:spacing w:before="220" w:after="80"/>
      </w:pPr>
      <w:r>
        <w:rPr>
          <w:rFonts w:ascii="Arial" w:cs="Arial" w:eastAsia="Arial" w:hAnsi="Arial"/>
          <w:b/>
          <w:bCs/>
          <w:color w:val="1E6FFF"/>
          <w:sz w:val="24"/>
          <w:szCs w:val="24"/>
        </w:rPr>
        <w:t xml:space="preserve">3.3.3 Skills Matrix Assessment (Section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Matrix Type</w:t>
            </w:r>
          </w:p>
        </w:tc>
        <w:tc>
          <w:tcPr>
            <w:tcW w:type="dxa" w:w="368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68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Skills Matrix</w:t>
            </w:r>
          </w:p>
        </w:tc>
        <w:tc>
          <w:tcPr>
            <w:tcW w:type="dxa" w:w="3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Required proficiency vs current proficiency per employee per skill at individual, team, department, and org level. Gap severity heat map. Self and manager ratings shown separately.</w:t>
            </w:r>
          </w:p>
        </w:tc>
        <w:tc>
          <w:tcPr>
            <w:tcW w:type="dxa" w:w="3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 × Skill grid · Self-rated level · Manager-rated level · Required level (from Role-Skill Matrix) · Raw gap · Weighted gap score · Perception gap flag · Concentration risk flag (if &lt;2 employees at required level for a critical skill)</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Competency Matrix</w:t>
            </w:r>
          </w:p>
        </w:tc>
        <w:tc>
          <w:tcPr>
            <w:tcW w:type="dxa" w:w="36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Demonstrated behaviours vs expected behavioural indicators per employee per competency. Leadership readiness view for succession planning.</w:t>
            </w:r>
          </w:p>
        </w:tc>
        <w:tc>
          <w:tcPr>
            <w:tcW w:type="dxa" w:w="36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 × Competency grid · Behavioural evidence notes · Validated level · Expected level per role · Gap flag · Leadership readiness tier</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Task Evaluation Layer</w:t>
            </w:r>
          </w:p>
        </w:tc>
        <w:tc>
          <w:tcPr>
            <w:tcW w:type="dxa" w:w="3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Tasks from the Role Profile rated on a frequency + confidence scale. Task-to-skill linkage creates bi-directional traceability.</w:t>
            </w:r>
          </w:p>
        </w:tc>
        <w:tc>
          <w:tcPr>
            <w:tcW w:type="dxa" w:w="3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Task × Employee grid · Frequency: Daily/Weekly/Monthly/Rarely · Confidence: Never/Guided/Independent/Coaches Others · Task criticality flag · Linked skills for each task · PM tool signal cross-reference</w:t>
            </w:r>
          </w:p>
        </w:tc>
      </w:tr>
    </w:tbl>
    <w:p>
      <w:pPr>
        <w:spacing w:before="0" w:after="80"/>
      </w:pPr>
    </w:p>
    <w:p>
      <w:pPr>
        <w:pStyle w:val="Heading3"/>
        <w:spacing w:before="220" w:after="80"/>
      </w:pPr>
      <w:r>
        <w:rPr>
          <w:rFonts w:ascii="Arial" w:cs="Arial" w:eastAsia="Arial" w:hAnsi="Arial"/>
          <w:b/>
          <w:bCs/>
          <w:color w:val="1E6FFF"/>
          <w:sz w:val="24"/>
          <w:szCs w:val="24"/>
        </w:rPr>
        <w:t xml:space="preserve">3.3.4 Gap Analysis (Section C)</w:t>
      </w:r>
    </w:p>
    <w:p>
      <w:pPr>
        <w:pStyle w:val="ListParagraph"/>
        <w:numPr>
          <w:ilvl w:val="0"/>
          <w:numId w:val="2"/>
        </w:numPr>
        <w:spacing w:before="0" w:after="60"/>
      </w:pPr>
      <w:r>
        <w:rPr>
          <w:rFonts w:ascii="Arial" w:cs="Arial" w:eastAsia="Arial" w:hAnsi="Arial"/>
          <w:color w:val="374151"/>
          <w:sz w:val="21"/>
          <w:szCs w:val="21"/>
        </w:rPr>
        <w:t xml:space="preserve">Individual gap: per employee skill and competency shortfall vs role requirements — foundation of the LNI</w:t>
      </w:r>
    </w:p>
    <w:p>
      <w:pPr>
        <w:pStyle w:val="ListParagraph"/>
        <w:numPr>
          <w:ilvl w:val="0"/>
          <w:numId w:val="2"/>
        </w:numPr>
        <w:spacing w:before="0" w:after="60"/>
      </w:pPr>
      <w:r>
        <w:rPr>
          <w:rFonts w:ascii="Arial" w:cs="Arial" w:eastAsia="Arial" w:hAnsi="Arial"/>
          <w:color w:val="374151"/>
          <w:sz w:val="21"/>
          <w:szCs w:val="21"/>
        </w:rPr>
        <w:t xml:space="preserve">Role-based gap: all employees in a role aggregated — identifies whether a gap is individual or systemic</w:t>
      </w:r>
    </w:p>
    <w:p>
      <w:pPr>
        <w:pStyle w:val="ListParagraph"/>
        <w:numPr>
          <w:ilvl w:val="0"/>
          <w:numId w:val="2"/>
        </w:numPr>
        <w:spacing w:before="0" w:after="60"/>
      </w:pPr>
      <w:r>
        <w:rPr>
          <w:rFonts w:ascii="Arial" w:cs="Arial" w:eastAsia="Arial" w:hAnsi="Arial"/>
          <w:color w:val="374151"/>
          <w:sz w:val="21"/>
          <w:szCs w:val="21"/>
        </w:rPr>
        <w:t xml:space="preserve">Department gap: department-level shortfall heat map — critical skill coverage percentage and at-risk skills</w:t>
      </w:r>
    </w:p>
    <w:p>
      <w:pPr>
        <w:pStyle w:val="ListParagraph"/>
        <w:numPr>
          <w:ilvl w:val="0"/>
          <w:numId w:val="2"/>
        </w:numPr>
        <w:spacing w:before="0" w:after="60"/>
      </w:pPr>
      <w:r>
        <w:rPr>
          <w:rFonts w:ascii="Arial" w:cs="Arial" w:eastAsia="Arial" w:hAnsi="Arial"/>
          <w:color w:val="374151"/>
          <w:sz w:val="21"/>
          <w:szCs w:val="21"/>
        </w:rPr>
        <w:t xml:space="preserve">Org skill heat map: enterprise-wide view — strategic gap risk scoring, board-level visibility</w:t>
      </w:r>
    </w:p>
    <w:p>
      <w:pPr>
        <w:pStyle w:val="ListParagraph"/>
        <w:numPr>
          <w:ilvl w:val="0"/>
          <w:numId w:val="2"/>
        </w:numPr>
        <w:spacing w:before="0" w:after="60"/>
      </w:pPr>
      <w:r>
        <w:rPr>
          <w:rFonts w:ascii="Arial" w:cs="Arial" w:eastAsia="Arial" w:hAnsi="Arial"/>
          <w:color w:val="374151"/>
          <w:sz w:val="21"/>
          <w:szCs w:val="21"/>
        </w:rPr>
        <w:t xml:space="preserve">Talent mobility signal: surplus proficiency cells (employees exceeding required level) flagged as mobility candidates, with project fitment potential scoring</w:t>
      </w:r>
    </w:p>
    <w:p>
      <w:pPr>
        <w:spacing w:before="0" w:after="80"/>
      </w:pPr>
    </w:p>
    <w:p>
      <w:pPr>
        <w:pStyle w:val="Heading3"/>
        <w:spacing w:before="220" w:after="80"/>
      </w:pPr>
      <w:r>
        <w:rPr>
          <w:rFonts w:ascii="Arial" w:cs="Arial" w:eastAsia="Arial" w:hAnsi="Arial"/>
          <w:b/>
          <w:bCs/>
          <w:color w:val="1E6FFF"/>
          <w:sz w:val="24"/>
          <w:szCs w:val="24"/>
        </w:rPr>
        <w:t xml:space="preserve">3.3.5 Weighted LNA/TNA Engine (Section D)</w:t>
      </w:r>
    </w:p>
    <w:p>
      <w:pPr>
        <w:spacing w:before="0" w:after="100"/>
        <w:jc w:val="left"/>
      </w:pPr>
      <w:r>
        <w:rPr>
          <w:rFonts w:ascii="Arial" w:cs="Arial" w:eastAsia="Arial" w:hAnsi="Arial"/>
          <w:b w:val="false"/>
          <w:bCs w:val="false"/>
          <w:i w:val="false"/>
          <w:iCs w:val="false"/>
          <w:color w:val="374151"/>
          <w:sz w:val="22"/>
          <w:szCs w:val="22"/>
        </w:rPr>
        <w:t xml:space="preserve">The Weighted Gap Score Engine is the analytical core of the platform. It converts raw skill gaps into a prioritised, intervention-typed, capacity-adjusted learning needs brief.</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14"/>
              <w:bottom w:val="single" w:color="D97706" w:sz="4"/>
              <w:right w:val="single" w:color="D97706" w:sz="4"/>
            </w:tcBorders>
            <w:shd w:fill="FFFBEB" w:val="clear"/>
            <w:tcMar>
              <w:top w:type="dxa" w:w="120"/>
              <w:left w:type="dxa" w:w="180"/>
              <w:bottom w:type="dxa" w:w="120"/>
              <w:right w:type="dxa" w:w="160"/>
            </w:tcMar>
          </w:tcPr>
          <w:p>
            <w:pPr>
              <w:spacing w:before="0" w:after="60"/>
            </w:pPr>
            <w:r>
              <w:rPr>
                <w:rFonts w:ascii="Arial" w:cs="Arial" w:eastAsia="Arial" w:hAnsi="Arial"/>
                <w:b/>
                <w:bCs/>
                <w:color w:val="78350F"/>
                <w:sz w:val="22"/>
                <w:szCs w:val="22"/>
              </w:rPr>
              <w:t xml:space="preserve">WEIGHTED GAP SCORE FORMULA</w:t>
            </w:r>
          </w:p>
          <w:p>
            <w:pPr>
              <w:spacing w:before="0" w:after="0"/>
            </w:pPr>
            <w:r>
              <w:rPr>
                <w:rFonts w:ascii="Arial" w:cs="Arial" w:eastAsia="Arial" w:hAnsi="Arial"/>
                <w:color w:val="374151"/>
                <w:sz w:val="20"/>
                <w:szCs w:val="20"/>
              </w:rPr>
              <w:t xml:space="preserve">Weighted Gap Score = Raw Gap × Criticality Weight × Transformation Dial Weight × Project Timeline Urgency Weight × Performance Correlation Weight × Employee Discovery Input Weight. This composite score is the foundation of all LNA prioritisation at individual, team, department, and org level.</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Weight Factor</w:t>
            </w:r>
          </w:p>
        </w:tc>
        <w:tc>
          <w:tcPr>
            <w:tcW w:type="dxa" w:w="25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Multiplier Range</w:t>
            </w:r>
          </w:p>
        </w:tc>
        <w:tc>
          <w:tcPr>
            <w:tcW w:type="dxa" w:w="4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How Applied</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Skill Criticality</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C1: 2.0x · C2: 1.5x · C3: 1.0x · C4: 0.5x</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 skill gaps weighted twice as heavily as Medium gaps of the same raw size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Transformation Dial</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 2.0x · +3: 1.5x · 0: 1.0x · −3: 0.5x · −5: 0.1x</w:t>
            </w:r>
          </w:p>
        </w:tc>
        <w:tc>
          <w:tcPr>
            <w:tcW w:type="dxa" w:w="4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 positive dial amplifies the gap. High negative dial substantially reduces the gap's LNA priority</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Project Timeline Urgency</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&lt;4 weeks: 2.0x · 4–12 weeks: 1.5x · 3–6 months: 1.2x · 6+ months: 1.0x</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Applied where a project requiring this skill is in the active pipeline. Gaps needed imminently rank highest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Performance Correlation</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Active underperformance: 1.8x · Performance risk: 1.4x · No signal: 1.0x</w:t>
            </w:r>
          </w:p>
        </w:tc>
        <w:tc>
          <w:tcPr>
            <w:tcW w:type="dxa" w:w="4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Applied where data shows underperformance correlating with this gap — elevates from development need to performance intervention</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Employee Discovery Input</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 self-declared: 1.3x · Medium: 1.1x · Not declared: 1.0x</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Applied where the employee has declared this as a High or Critical learning need in a Category F discovery session</w:t>
            </w:r>
          </w:p>
        </w:tc>
      </w:tr>
    </w:tbl>
    <w:p>
      <w:pPr>
        <w:spacing w:before="0" w:after="80"/>
      </w:pPr>
    </w:p>
    <w:p>
      <w:pPr>
        <w:spacing w:before="160" w:after="60"/>
      </w:pPr>
      <w:r>
        <w:rPr>
          <w:rFonts w:ascii="Arial" w:cs="Arial" w:eastAsia="Arial" w:hAnsi="Arial"/>
          <w:b/>
          <w:bCs/>
          <w:color w:val="374151"/>
          <w:sz w:val="22"/>
          <w:szCs w:val="22"/>
        </w:rPr>
        <w:t xml:space="preserve">AI Intervention Type Classification</w:t>
      </w:r>
    </w:p>
    <w:p>
      <w:pPr>
        <w:spacing w:before="0" w:after="100"/>
        <w:jc w:val="left"/>
      </w:pPr>
      <w:r>
        <w:rPr>
          <w:rFonts w:ascii="Arial" w:cs="Arial" w:eastAsia="Arial" w:hAnsi="Arial"/>
          <w:b w:val="false"/>
          <w:bCs w:val="false"/>
          <w:i w:val="false"/>
          <w:iCs w:val="false"/>
          <w:color w:val="374151"/>
          <w:sz w:val="22"/>
          <w:szCs w:val="22"/>
        </w:rPr>
        <w:t xml:space="preserve">For each identified gap, the AI classifies the recommended intervention type based on gap characteristics: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c>
          <w:tcPr>
            <w:tcW w:type="dxa" w:w="3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Gap Characteristic</w:t>
            </w:r>
          </w:p>
        </w:tc>
        <w:tc>
          <w:tcPr>
            <w:tcW w:type="dxa" w:w="2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Intervention Type</w:t>
            </w:r>
          </w:p>
        </w:tc>
        <w:tc>
          <w:tcPr>
            <w:tcW w:type="dxa" w:w="3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AI Reasoning</w:t>
            </w:r>
          </w:p>
        </w:tc>
      </w:tr>
      <w:tr>
        <w:tc>
          <w:tcPr>
            <w:tcW w:type="dxa" w:w="32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Technical skill — knowledge deficit</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Formal Training</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Gap is primarily about knowledge or technique — content-based learning is the most direct path</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Behavioural or leadership competency gap</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Coaching or Action Learning</w:t>
            </w:r>
          </w:p>
        </w:tc>
        <w:tc>
          <w:tcPr>
            <w:tcW w:type="dxa" w:w="3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Behavioural competencies develop through practice and feedback, not content delivery</w:t>
            </w:r>
          </w:p>
        </w:tc>
      </w:tr>
      <w:tr>
        <w:tc>
          <w:tcPr>
            <w:tcW w:type="dxa" w:w="32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Gap persists despite prior training</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Coaching or On-the-job Assignment</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Training has been tried. Gap is in application or behaviour transfer — different intervention needed</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Never-performed experience gap</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Job Rotation, Secondment, or Stretch Project</w:t>
            </w:r>
          </w:p>
        </w:tc>
        <w:tc>
          <w:tcPr>
            <w:tcW w:type="dxa" w:w="3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Some gaps cannot be closed by classroom or coaching — they require lived experience</w:t>
            </w:r>
          </w:p>
        </w:tc>
      </w:tr>
      <w:tr>
        <w:tc>
          <w:tcPr>
            <w:tcW w:type="dxa" w:w="32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Team-wide gap — same skill (≥60% of team)</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Group Training or Community of Practice</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When ≥60% of a team has the same gap, group intervention is more efficient and cost-effective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Rapidly changing / emerging topic</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Community of Practice</w:t>
            </w:r>
          </w:p>
        </w:tc>
        <w:tc>
          <w:tcPr>
            <w:tcW w:type="dxa" w:w="3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Content becomes obsolete faster than formal courses can be produced — peer learning is more agile</w:t>
            </w:r>
          </w:p>
        </w:tc>
      </w:tr>
      <w:tr>
        <w:tc>
          <w:tcPr>
            <w:tcW w:type="dxa" w:w="32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Culture or mindset gap</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OD Programme</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Individual training or coaching rarely changes culture at scale — an OD-level programme is required</w:t>
            </w:r>
          </w:p>
        </w:tc>
      </w:tr>
    </w:tbl>
    <w:p>
      <w:pPr>
        <w:spacing w:before="0" w:after="80"/>
      </w:pPr>
    </w:p>
    <w:p>
      <w:pPr>
        <w:pStyle w:val="Heading3"/>
        <w:spacing w:before="220" w:after="80"/>
      </w:pPr>
      <w:r>
        <w:rPr>
          <w:rFonts w:ascii="Arial" w:cs="Arial" w:eastAsia="Arial" w:hAnsi="Arial"/>
          <w:b/>
          <w:bCs/>
          <w:color w:val="1E6FFF"/>
          <w:sz w:val="24"/>
          <w:szCs w:val="24"/>
        </w:rPr>
        <w:t xml:space="preserve">3.3.6 LNI and TNI (Section D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FFFFFF" w:sz="4"/>
              <w:left w:val="single" w:color="FFFFFF" w:sz="4"/>
              <w:bottom w:val="single" w:color="FFFFFF" w:sz="4"/>
              <w:right w:val="single" w:color="FFFFFF" w:sz="4"/>
            </w:tcBorders>
            <w:shd w:fill="F0FDF4" w:val="clear"/>
            <w:tcMar>
              <w:top w:type="dxa" w:w="80"/>
              <w:left w:type="dxa" w:w="120"/>
              <w:bottom w:type="dxa" w:w="80"/>
              <w:right w:type="dxa" w:w="120"/>
            </w:tcMar>
          </w:tcPr>
          <w:p>
            <w:r>
              <w:rPr>
                <w:rFonts w:ascii="Arial" w:cs="Arial" w:eastAsia="Arial" w:hAnsi="Arial"/>
                <w:b/>
                <w:bCs/>
                <w:color w:val="FFFFFF"/>
                <w:sz w:val="20"/>
                <w:szCs w:val="20"/>
              </w:rPr>
              <w:t xml:space="preserve">LNI — Learning Needs Identification</w:t>
            </w:r>
          </w:p>
        </w:tc>
      </w:tr>
      <w:tr>
        <w:tc>
          <w:tcPr>
            <w:tcW w:type="dxa" w:w="20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What it is</w:t>
            </w:r>
          </w:p>
        </w:tc>
        <w:tc>
          <w:tcPr>
            <w:tcW w:type="dxa" w:w="73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val="false"/>
                <w:bCs w:val="false"/>
                <w:color w:val="374151"/>
                <w:sz w:val="20"/>
                <w:szCs w:val="20"/>
              </w:rPr>
              <w:t xml:space="preserve">An 8-component personalised learning brief per employee. Two employees in the same role receive different LNIs because their assessment results, resume history, aspirations, wellbeing capacity, and development velocity differ.</w:t>
            </w:r>
          </w:p>
        </w:tc>
      </w:tr>
      <w:tr>
        <w:tc>
          <w:tcPr>
            <w:tcW w:type="dxa" w:w="20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bCs/>
                <w:color w:val="166534"/>
                <w:sz w:val="20"/>
                <w:szCs w:val="20"/>
              </w:rPr>
              <w:t xml:space="preserve">8 Components</w:t>
            </w:r>
          </w:p>
        </w:tc>
        <w:tc>
          <w:tcPr>
            <w:tcW w:type="dxa" w:w="73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val="false"/>
                <w:bCs w:val="false"/>
                <w:color w:val="374151"/>
                <w:sz w:val="20"/>
                <w:szCs w:val="20"/>
              </w:rPr>
              <w:t xml:space="preserve">1. WHO: employee identity and role context · 2. WHAT: prioritised gap list by weighted score · 3. INTERVENTION TYPE: AI-classified per gap · 4. SEQUENCE: development order considering dependencies · 5. ASPIRATION vs ROLE: development blend (role-required gaps vs career aspiration gaps) · 6. EXPERIENCE GAPS: from resume intelligence, gaps in lived experience vs what the role actually requires · 7. DEV TIMELINE: realistic timeline adjusted for wellbeing capacity score · 8. SUCCESS INDICATORS: what L3 or L4 validated re-assessment will confirm closure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FFFFFF" w:sz="4"/>
              <w:left w:val="single" w:color="FFFFFF" w:sz="4"/>
              <w:bottom w:val="single" w:color="FFFFFF" w:sz="4"/>
              <w:right w:val="single" w:color="FFFFFF" w:sz="4"/>
            </w:tcBorders>
            <w:shd w:fill="EFF5FF" w:val="clear"/>
            <w:tcMar>
              <w:top w:type="dxa" w:w="80"/>
              <w:left w:type="dxa" w:w="120"/>
              <w:bottom w:type="dxa" w:w="80"/>
              <w:right w:type="dxa" w:w="120"/>
            </w:tcMar>
          </w:tcPr>
          <w:p>
            <w:r>
              <w:rPr>
                <w:rFonts w:ascii="Arial" w:cs="Arial" w:eastAsia="Arial" w:hAnsi="Arial"/>
                <w:b/>
                <w:bCs/>
                <w:color w:val="FFFFFF"/>
                <w:sz w:val="20"/>
                <w:szCs w:val="20"/>
              </w:rPr>
              <w:t xml:space="preserve">TNI — Training Needs Identification (subset of LNA)</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What it is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training-specific subset of the LNA. Filters the LNA output to show only those gaps where formal training is the recommended intervention. Converts them into a training programme procurement and design brief.</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Outputs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Programme matching against Edstellar catalogue and client's own training history · Unmatched gaps flagged as content commissioning requirements → triggers AI Content Outline Generation · Cohort sizing recommendations · Dependency-sequenced delivery schedule · Budget summary by skill domain / department / quarter · Over-budget flags with prioritisation guidance</w:t>
            </w:r>
          </w:p>
        </w:tc>
      </w:tr>
    </w:tbl>
    <w:p>
      <w:pPr>
        <w:spacing w:before="0" w:after="80"/>
      </w:pPr>
    </w:p>
    <w:p>
      <w:pPr>
        <w:pStyle w:val="Heading3"/>
        <w:spacing w:before="220" w:after="80"/>
      </w:pPr>
      <w:r>
        <w:rPr>
          <w:rFonts w:ascii="Arial" w:cs="Arial" w:eastAsia="Arial" w:hAnsi="Arial"/>
          <w:b/>
          <w:bCs/>
          <w:color w:val="1E6FFF"/>
          <w:sz w:val="24"/>
          <w:szCs w:val="24"/>
        </w:rPr>
        <w:t xml:space="preserve">3.3.7 Wellbeing Intelligence Layer</w:t>
      </w:r>
    </w:p>
    <w:p>
      <w:pPr>
        <w:pStyle w:val="ListParagraph"/>
        <w:numPr>
          <w:ilvl w:val="0"/>
          <w:numId w:val="2"/>
        </w:numPr>
        <w:spacing w:before="0" w:after="60"/>
      </w:pPr>
      <w:r>
        <w:rPr>
          <w:rFonts w:ascii="Arial" w:cs="Arial" w:eastAsia="Arial" w:hAnsi="Arial"/>
          <w:color w:val="374151"/>
          <w:sz w:val="21"/>
          <w:szCs w:val="21"/>
        </w:rPr>
        <w:t xml:space="preserve">Wellbeing Pulse Survey: 3–5 questions, anonymous, weekly or fortnightly cadence, configurable per org</w:t>
      </w:r>
    </w:p>
    <w:p>
      <w:pPr>
        <w:pStyle w:val="ListParagraph"/>
        <w:numPr>
          <w:ilvl w:val="0"/>
          <w:numId w:val="2"/>
        </w:numPr>
        <w:spacing w:before="0" w:after="60"/>
      </w:pPr>
      <w:r>
        <w:rPr>
          <w:rFonts w:ascii="Arial" w:cs="Arial" w:eastAsia="Arial" w:hAnsi="Arial"/>
          <w:color w:val="374151"/>
          <w:sz w:val="21"/>
          <w:szCs w:val="21"/>
        </w:rPr>
        <w:t xml:space="preserve">External signals: meeting load from calendar integration (hours/week proxy), project overallocation from PM tool, engagement drop detected from assessment inactivity or learning path stall</w:t>
      </w:r>
    </w:p>
    <w:p>
      <w:pPr>
        <w:pStyle w:val="ListParagraph"/>
        <w:numPr>
          <w:ilvl w:val="0"/>
          <w:numId w:val="2"/>
        </w:numPr>
        <w:spacing w:before="0" w:after="60"/>
      </w:pPr>
      <w:r>
        <w:rPr>
          <w:rFonts w:ascii="Arial" w:cs="Arial" w:eastAsia="Arial" w:hAnsi="Arial"/>
          <w:color w:val="374151"/>
          <w:sz w:val="21"/>
          <w:szCs w:val="21"/>
        </w:rPr>
        <w:t xml:space="preserve">Burnout Risk Score: AI composite score (Low / Moderate / Elevated / High) — displayed to manager as conversation prompt, never as a raw score visible to the employee</w:t>
      </w:r>
    </w:p>
    <w:p>
      <w:pPr>
        <w:pStyle w:val="ListParagraph"/>
        <w:numPr>
          <w:ilvl w:val="0"/>
          <w:numId w:val="2"/>
        </w:numPr>
        <w:spacing w:before="0" w:after="60"/>
      </w:pPr>
      <w:r>
        <w:rPr>
          <w:rFonts w:ascii="Arial" w:cs="Arial" w:eastAsia="Arial" w:hAnsi="Arial"/>
          <w:color w:val="374151"/>
          <w:sz w:val="21"/>
          <w:szCs w:val="21"/>
        </w:rPr>
        <w:t xml:space="preserve">Team and Department Wellbeing Dashboard: aggregate anonymised wellbeing trends per team and department, visible to manager and HR</w:t>
      </w:r>
    </w:p>
    <w:p>
      <w:pPr>
        <w:pStyle w:val="ListParagraph"/>
        <w:numPr>
          <w:ilvl w:val="0"/>
          <w:numId w:val="2"/>
        </w:numPr>
        <w:spacing w:before="0" w:after="60"/>
      </w:pPr>
      <w:r>
        <w:rPr>
          <w:rFonts w:ascii="Arial" w:cs="Arial" w:eastAsia="Arial" w:hAnsi="Arial"/>
          <w:color w:val="374151"/>
          <w:sz w:val="21"/>
          <w:szCs w:val="21"/>
        </w:rPr>
        <w:t xml:space="preserve">Development capacity adjustment: high burnout risk → LNI development timeline extended automatically; manager prompted to reduce load before increasing learning commitments</w:t>
      </w:r>
    </w:p>
    <w:p>
      <w:pPr>
        <w:pStyle w:val="ListParagraph"/>
        <w:numPr>
          <w:ilvl w:val="0"/>
          <w:numId w:val="2"/>
        </w:numPr>
        <w:spacing w:before="0" w:after="60"/>
      </w:pPr>
      <w:r>
        <w:rPr>
          <w:rFonts w:ascii="Arial" w:cs="Arial" w:eastAsia="Arial" w:hAnsi="Arial"/>
          <w:color w:val="374151"/>
          <w:sz w:val="21"/>
          <w:szCs w:val="21"/>
        </w:rPr>
        <w:t xml:space="preserve">Manager prompt: when Elevated or High risk detected, manager receives a conversation starter — not raw data — via NotifyEngine</w:t>
      </w:r>
    </w:p>
    <w:p>
      <w:pPr>
        <w:spacing w:before="0" w:after="80"/>
      </w:pPr>
    </w:p>
    <w:p>
      <w:pPr>
        <w:pStyle w:val="Heading3"/>
        <w:spacing w:before="220" w:after="80"/>
      </w:pPr>
      <w:r>
        <w:rPr>
          <w:rFonts w:ascii="Arial" w:cs="Arial" w:eastAsia="Arial" w:hAnsi="Arial"/>
          <w:b/>
          <w:bCs/>
          <w:color w:val="1E6FFF"/>
          <w:sz w:val="24"/>
          <w:szCs w:val="24"/>
        </w:rPr>
        <w:t xml:space="preserve">3.3.8 Employee Profile Output (Section E)</w:t>
      </w:r>
    </w:p>
    <w:p>
      <w:pPr>
        <w:spacing w:before="0" w:after="100"/>
        <w:jc w:val="left"/>
      </w:pPr>
      <w:r>
        <w:rPr>
          <w:rFonts w:ascii="Arial" w:cs="Arial" w:eastAsia="Arial" w:hAnsi="Arial"/>
          <w:b w:val="false"/>
          <w:bCs w:val="false"/>
          <w:i w:val="false"/>
          <w:iCs w:val="false"/>
          <w:color w:val="374151"/>
          <w:sz w:val="22"/>
          <w:szCs w:val="22"/>
        </w:rPr>
        <w:t xml:space="preserve">The unified Employee Skills and Competency Profile synthesises all L2 data into a single view stored in the SkillPassport:</w:t>
      </w:r>
    </w:p>
    <w:p>
      <w:pPr>
        <w:spacing w:before="0" w:after="40"/>
      </w:pPr>
    </w:p>
    <w:p>
      <w:pPr>
        <w:pStyle w:val="ListParagraph"/>
        <w:numPr>
          <w:ilvl w:val="0"/>
          <w:numId w:val="2"/>
        </w:numPr>
        <w:spacing w:before="0" w:after="60"/>
      </w:pPr>
      <w:r>
        <w:rPr>
          <w:rFonts w:ascii="Arial" w:cs="Arial" w:eastAsia="Arial" w:hAnsi="Arial"/>
          <w:color w:val="374151"/>
          <w:sz w:val="21"/>
          <w:szCs w:val="21"/>
        </w:rPr>
        <w:t xml:space="preserve">Current validated skills and proficiency levels (replacing AI estimates from L1)</w:t>
      </w:r>
    </w:p>
    <w:p>
      <w:pPr>
        <w:pStyle w:val="ListParagraph"/>
        <w:numPr>
          <w:ilvl w:val="0"/>
          <w:numId w:val="2"/>
        </w:numPr>
        <w:spacing w:before="0" w:after="60"/>
      </w:pPr>
      <w:r>
        <w:rPr>
          <w:rFonts w:ascii="Arial" w:cs="Arial" w:eastAsia="Arial" w:hAnsi="Arial"/>
          <w:color w:val="374151"/>
          <w:sz w:val="21"/>
          <w:szCs w:val="21"/>
        </w:rPr>
        <w:t xml:space="preserve">Competency scores with behavioural evidence</w:t>
      </w:r>
    </w:p>
    <w:p>
      <w:pPr>
        <w:pStyle w:val="ListParagraph"/>
        <w:numPr>
          <w:ilvl w:val="0"/>
          <w:numId w:val="2"/>
        </w:numPr>
        <w:spacing w:before="0" w:after="60"/>
      </w:pPr>
      <w:r>
        <w:rPr>
          <w:rFonts w:ascii="Arial" w:cs="Arial" w:eastAsia="Arial" w:hAnsi="Arial"/>
          <w:color w:val="374151"/>
          <w:sz w:val="21"/>
          <w:szCs w:val="21"/>
        </w:rPr>
        <w:t xml:space="preserve">360° summary (perception gap analysis)</w:t>
      </w:r>
    </w:p>
    <w:p>
      <w:pPr>
        <w:pStyle w:val="ListParagraph"/>
        <w:numPr>
          <w:ilvl w:val="0"/>
          <w:numId w:val="2"/>
        </w:numPr>
        <w:spacing w:before="0" w:after="60"/>
      </w:pPr>
      <w:r>
        <w:rPr>
          <w:rFonts w:ascii="Arial" w:cs="Arial" w:eastAsia="Arial" w:hAnsi="Arial"/>
          <w:color w:val="374151"/>
          <w:sz w:val="21"/>
          <w:szCs w:val="21"/>
        </w:rPr>
        <w:t xml:space="preserve">Skill gaps vs role requirements</w:t>
      </w:r>
    </w:p>
    <w:p>
      <w:pPr>
        <w:pStyle w:val="ListParagraph"/>
        <w:numPr>
          <w:ilvl w:val="0"/>
          <w:numId w:val="2"/>
        </w:numPr>
        <w:spacing w:before="0" w:after="60"/>
      </w:pPr>
      <w:r>
        <w:rPr>
          <w:rFonts w:ascii="Arial" w:cs="Arial" w:eastAsia="Arial" w:hAnsi="Arial"/>
          <w:color w:val="374151"/>
          <w:sz w:val="21"/>
          <w:szCs w:val="21"/>
        </w:rPr>
        <w:t xml:space="preserve">LNI (8-component personalised learning brief)</w:t>
      </w:r>
    </w:p>
    <w:p>
      <w:pPr>
        <w:pStyle w:val="ListParagraph"/>
        <w:numPr>
          <w:ilvl w:val="0"/>
          <w:numId w:val="2"/>
        </w:numPr>
        <w:spacing w:before="0" w:after="60"/>
      </w:pPr>
      <w:r>
        <w:rPr>
          <w:rFonts w:ascii="Arial" w:cs="Arial" w:eastAsia="Arial" w:hAnsi="Arial"/>
          <w:color w:val="374151"/>
          <w:sz w:val="21"/>
          <w:szCs w:val="21"/>
        </w:rPr>
        <w:t xml:space="preserve">TNI (training enrolment plan)</w:t>
      </w:r>
    </w:p>
    <w:p>
      <w:pPr>
        <w:pStyle w:val="ListParagraph"/>
        <w:numPr>
          <w:ilvl w:val="0"/>
          <w:numId w:val="2"/>
        </w:numPr>
        <w:spacing w:before="0" w:after="60"/>
      </w:pPr>
      <w:r>
        <w:rPr>
          <w:rFonts w:ascii="Arial" w:cs="Arial" w:eastAsia="Arial" w:hAnsi="Arial"/>
          <w:color w:val="374151"/>
          <w:sz w:val="21"/>
          <w:szCs w:val="21"/>
        </w:rPr>
        <w:t xml:space="preserve">Personality and psychometric insights</w:t>
      </w:r>
    </w:p>
    <w:p>
      <w:pPr>
        <w:pStyle w:val="ListParagraph"/>
        <w:numPr>
          <w:ilvl w:val="0"/>
          <w:numId w:val="2"/>
        </w:numPr>
        <w:spacing w:before="0" w:after="60"/>
      </w:pPr>
      <w:r>
        <w:rPr>
          <w:rFonts w:ascii="Arial" w:cs="Arial" w:eastAsia="Arial" w:hAnsi="Arial"/>
          <w:color w:val="374151"/>
          <w:sz w:val="21"/>
          <w:szCs w:val="21"/>
        </w:rPr>
        <w:t xml:space="preserve">IDP readiness score</w:t>
      </w:r>
    </w:p>
    <w:p>
      <w:pPr>
        <w:pStyle w:val="ListParagraph"/>
        <w:numPr>
          <w:ilvl w:val="0"/>
          <w:numId w:val="2"/>
        </w:numPr>
        <w:spacing w:before="0" w:after="60"/>
      </w:pPr>
      <w:r>
        <w:rPr>
          <w:rFonts w:ascii="Arial" w:cs="Arial" w:eastAsia="Arial" w:hAnsi="Arial"/>
          <w:color w:val="374151"/>
          <w:sz w:val="21"/>
          <w:szCs w:val="21"/>
        </w:rPr>
        <w:t xml:space="preserve">Talent mobility profile: roles the employee could move to with current validated skills</w:t>
      </w:r>
    </w:p>
    <w:p>
      <w:pPr>
        <w:pStyle w:val="ListParagraph"/>
        <w:numPr>
          <w:ilvl w:val="0"/>
          <w:numId w:val="2"/>
        </w:numPr>
        <w:spacing w:before="0" w:after="60"/>
      </w:pPr>
      <w:r>
        <w:rPr>
          <w:rFonts w:ascii="Arial" w:cs="Arial" w:eastAsia="Arial" w:hAnsi="Arial"/>
          <w:color w:val="374151"/>
          <w:sz w:val="21"/>
          <w:szCs w:val="21"/>
        </w:rPr>
        <w:t xml:space="preserve">Project fitment score: suitability for open projects based on skills and availability</w:t>
      </w:r>
    </w:p>
    <w:p>
      <w:pPr>
        <w:pStyle w:val="ListParagraph"/>
        <w:numPr>
          <w:ilvl w:val="0"/>
          <w:numId w:val="2"/>
        </w:numPr>
        <w:spacing w:before="0" w:after="60"/>
      </w:pPr>
      <w:r>
        <w:rPr>
          <w:rFonts w:ascii="Arial" w:cs="Arial" w:eastAsia="Arial" w:hAnsi="Arial"/>
          <w:color w:val="374151"/>
          <w:sz w:val="21"/>
          <w:szCs w:val="21"/>
        </w:rPr>
        <w:t xml:space="preserve">Wellbeing capacity indicator: current development pace recommendation</w:t>
      </w:r>
    </w:p>
    <w:p>
      <w:pPr>
        <w:pStyle w:val="ListParagraph"/>
        <w:numPr>
          <w:ilvl w:val="0"/>
          <w:numId w:val="2"/>
        </w:numPr>
        <w:spacing w:before="0" w:after="60"/>
      </w:pPr>
      <w:r>
        <w:rPr>
          <w:rFonts w:ascii="Arial" w:cs="Arial" w:eastAsia="Arial" w:hAnsi="Arial"/>
          <w:color w:val="374151"/>
          <w:sz w:val="21"/>
          <w:szCs w:val="21"/>
        </w:rPr>
        <w:t xml:space="preserve">Resume experience profile: work history, industry exposure, and competency signals from CV</w:t>
      </w:r>
    </w:p>
    <w:p>
      <w:pPr>
        <w:spacing w:before="0" w:after="120"/>
      </w:pPr>
    </w:p>
    <w:p>
      <w:pPr>
        <w:pageBreakBefore/>
      </w:pPr>
      <w:r>
        <w:t xml:space="preserve"/>
      </w:r>
    </w:p>
    <w:p>
      <w:pPr>
        <w:pStyle w:val="Heading2"/>
        <w:spacing w:before="300" w:after="120"/>
      </w:pPr>
      <w:r>
        <w:rPr>
          <w:rFonts w:ascii="Arial" w:cs="Arial" w:eastAsia="Arial" w:hAnsi="Arial"/>
          <w:b/>
          <w:bCs/>
          <w:color w:val="1E3A6E"/>
          <w:sz w:val="30"/>
          <w:szCs w:val="30"/>
        </w:rPr>
        <w:t xml:space="preserve">3.4 Master Layer 3 — Action Layer (L3)</w:t>
      </w:r>
    </w:p>
    <w:p>
      <w:pPr>
        <w:pStyle w:val="Heading3"/>
        <w:spacing w:before="220" w:after="80"/>
      </w:pPr>
      <w:r>
        <w:rPr>
          <w:rFonts w:ascii="Arial" w:cs="Arial" w:eastAsia="Arial" w:hAnsi="Arial"/>
          <w:b/>
          <w:bCs/>
          <w:color w:val="1E6FFF"/>
          <w:sz w:val="24"/>
          <w:szCs w:val="24"/>
        </w:rPr>
        <w:t xml:space="preserve">3.4.1 Group A — Individual-Level Actions</w:t>
      </w:r>
    </w:p>
    <w:p>
      <w:pPr>
        <w:pStyle w:val="ListParagraph"/>
        <w:numPr>
          <w:ilvl w:val="0"/>
          <w:numId w:val="2"/>
        </w:numPr>
        <w:spacing w:before="0" w:after="60"/>
      </w:pPr>
      <w:r>
        <w:rPr>
          <w:rFonts w:ascii="Arial" w:cs="Arial" w:eastAsia="Arial" w:hAnsi="Arial"/>
          <w:color w:val="374151"/>
          <w:sz w:val="21"/>
          <w:szCs w:val="21"/>
        </w:rPr>
        <w:t xml:space="preserve">Individual Development Plan (IDP): aspirations vs role requirements clearly separated · Wellbeing capacity-adjusted timeline · Fast / Standard / Minimum viable development tracks · Manager co-approval</w:t>
      </w:r>
    </w:p>
    <w:p>
      <w:pPr>
        <w:pStyle w:val="ListParagraph"/>
        <w:numPr>
          <w:ilvl w:val="0"/>
          <w:numId w:val="2"/>
        </w:numPr>
        <w:spacing w:before="0" w:after="60"/>
      </w:pPr>
      <w:r>
        <w:rPr>
          <w:rFonts w:ascii="Arial" w:cs="Arial" w:eastAsia="Arial" w:hAnsi="Arial"/>
          <w:color w:val="374151"/>
          <w:sz w:val="21"/>
          <w:szCs w:val="21"/>
        </w:rPr>
        <w:t xml:space="preserve">Personalised learning path: curated sequence of interventions (training, coaching, self-directed, community) · Dependency-aware ordering · Linked to IDP milestones</w:t>
      </w:r>
    </w:p>
    <w:p>
      <w:pPr>
        <w:pStyle w:val="ListParagraph"/>
        <w:numPr>
          <w:ilvl w:val="0"/>
          <w:numId w:val="2"/>
        </w:numPr>
        <w:spacing w:before="0" w:after="60"/>
      </w:pPr>
      <w:r>
        <w:rPr>
          <w:rFonts w:ascii="Arial" w:cs="Arial" w:eastAsia="Arial" w:hAnsi="Arial"/>
          <w:color w:val="374151"/>
          <w:sz w:val="21"/>
          <w:szCs w:val="21"/>
        </w:rPr>
        <w:t xml:space="preserve">Coaching programme assignment: AI matching to internal or marketplace coach based on gap profile, methodology preference (GROW/Co-Active/Systemic), ICF/EMCC accreditation, and availability</w:t>
      </w:r>
    </w:p>
    <w:p>
      <w:pPr>
        <w:pStyle w:val="ListParagraph"/>
        <w:numPr>
          <w:ilvl w:val="0"/>
          <w:numId w:val="2"/>
        </w:numPr>
        <w:spacing w:before="0" w:after="60"/>
      </w:pPr>
      <w:r>
        <w:rPr>
          <w:rFonts w:ascii="Arial" w:cs="Arial" w:eastAsia="Arial" w:hAnsi="Arial"/>
          <w:color w:val="374151"/>
          <w:sz w:val="21"/>
          <w:szCs w:val="21"/>
        </w:rPr>
        <w:t xml:space="preserve">Mentoring programme assignment: AI mentor pairing, structured programme with milestone tracking, mentee progress visible to L&amp;D Manager</w:t>
      </w:r>
    </w:p>
    <w:p>
      <w:pPr>
        <w:pStyle w:val="ListParagraph"/>
        <w:numPr>
          <w:ilvl w:val="0"/>
          <w:numId w:val="2"/>
        </w:numPr>
        <w:spacing w:before="0" w:after="60"/>
      </w:pPr>
      <w:r>
        <w:rPr>
          <w:rFonts w:ascii="Arial" w:cs="Arial" w:eastAsia="Arial" w:hAnsi="Arial"/>
          <w:color w:val="374151"/>
          <w:sz w:val="21"/>
          <w:szCs w:val="21"/>
        </w:rPr>
        <w:t xml:space="preserve">Certification enrolment: role-critical certifications mapped from Governing Standards Registry, employee enrolled, Certificate Engine configured for auto-issuance on completion</w:t>
      </w:r>
    </w:p>
    <w:p>
      <w:pPr>
        <w:pStyle w:val="ListParagraph"/>
        <w:numPr>
          <w:ilvl w:val="0"/>
          <w:numId w:val="2"/>
        </w:numPr>
        <w:spacing w:before="0" w:after="60"/>
      </w:pPr>
      <w:r>
        <w:rPr>
          <w:rFonts w:ascii="Arial" w:cs="Arial" w:eastAsia="Arial" w:hAnsi="Arial"/>
          <w:color w:val="374151"/>
          <w:sz w:val="21"/>
          <w:szCs w:val="21"/>
        </w:rPr>
        <w:t xml:space="preserve">Career pathing and role readiness: skills delta to target role, mobility match score, gap-to-readiness timeline</w:t>
      </w:r>
    </w:p>
    <w:p>
      <w:pPr>
        <w:pStyle w:val="ListParagraph"/>
        <w:numPr>
          <w:ilvl w:val="0"/>
          <w:numId w:val="2"/>
        </w:numPr>
        <w:spacing w:before="0" w:after="60"/>
      </w:pPr>
      <w:r>
        <w:rPr>
          <w:rFonts w:ascii="Arial" w:cs="Arial" w:eastAsia="Arial" w:hAnsi="Arial"/>
          <w:color w:val="374151"/>
          <w:sz w:val="21"/>
          <w:szCs w:val="21"/>
        </w:rPr>
        <w:t xml:space="preserve">AI-generated 30-60-90 day onboarding plan: for new joiners and role changers, built from role requirements, team context, and Transformation Dial settings</w:t>
      </w:r>
    </w:p>
    <w:p>
      <w:pPr>
        <w:spacing w:before="0" w:after="80"/>
      </w:pPr>
    </w:p>
    <w:p>
      <w:pPr>
        <w:pStyle w:val="Heading3"/>
        <w:spacing w:before="220" w:after="80"/>
      </w:pPr>
      <w:r>
        <w:rPr>
          <w:rFonts w:ascii="Arial" w:cs="Arial" w:eastAsia="Arial" w:hAnsi="Arial"/>
          <w:b/>
          <w:bCs/>
          <w:color w:val="1E6FFF"/>
          <w:sz w:val="24"/>
          <w:szCs w:val="24"/>
        </w:rPr>
        <w:t xml:space="preserve">3.4.2 Group B — Programme-Level Actions</w:t>
      </w:r>
    </w:p>
    <w:p>
      <w:pPr>
        <w:pStyle w:val="ListParagraph"/>
        <w:numPr>
          <w:ilvl w:val="0"/>
          <w:numId w:val="2"/>
        </w:numPr>
        <w:spacing w:before="0" w:after="60"/>
      </w:pPr>
      <w:r>
        <w:rPr>
          <w:rFonts w:ascii="Arial" w:cs="Arial" w:eastAsia="Arial" w:hAnsi="Arial"/>
          <w:color w:val="374151"/>
          <w:sz w:val="21"/>
          <w:szCs w:val="21"/>
        </w:rPr>
        <w:t xml:space="preserve">Training programme design or selection: custom design or vendor programme matched to TNI objectives</w:t>
      </w:r>
    </w:p>
    <w:p>
      <w:pPr>
        <w:pStyle w:val="ListParagraph"/>
        <w:numPr>
          <w:ilvl w:val="0"/>
          <w:numId w:val="2"/>
        </w:numPr>
        <w:spacing w:before="0" w:after="60"/>
      </w:pPr>
      <w:r>
        <w:rPr>
          <w:rFonts w:ascii="Arial" w:cs="Arial" w:eastAsia="Arial" w:hAnsi="Arial"/>
          <w:color w:val="374151"/>
          <w:sz w:val="21"/>
          <w:szCs w:val="21"/>
        </w:rPr>
        <w:t xml:space="preserve">AI Content Outline Generation: AI drafts a structured programme brief — audience analysis, learning outcomes, module structure with sequencing rationale, delivery format recommendation, assessment checkpoints, reinforcement plan, Kirkpatrick L1–L4 measurement plan. Brief sent to trainer via Trainer Platform.</w:t>
      </w:r>
    </w:p>
    <w:p>
      <w:pPr>
        <w:pStyle w:val="ListParagraph"/>
        <w:numPr>
          <w:ilvl w:val="0"/>
          <w:numId w:val="2"/>
        </w:numPr>
        <w:spacing w:before="0" w:after="60"/>
      </w:pPr>
      <w:r>
        <w:rPr>
          <w:rFonts w:ascii="Arial" w:cs="Arial" w:eastAsia="Arial" w:hAnsi="Arial"/>
          <w:color w:val="374151"/>
          <w:sz w:val="21"/>
          <w:szCs w:val="21"/>
        </w:rPr>
        <w:t xml:space="preserve">Learning modality selection: ILT, e-Learning, Blended, On-the-job, Coaching, Community of Practice, OD Programme</w:t>
      </w:r>
    </w:p>
    <w:p>
      <w:pPr>
        <w:pStyle w:val="ListParagraph"/>
        <w:numPr>
          <w:ilvl w:val="0"/>
          <w:numId w:val="2"/>
        </w:numPr>
        <w:spacing w:before="0" w:after="60"/>
      </w:pPr>
      <w:r>
        <w:rPr>
          <w:rFonts w:ascii="Arial" w:cs="Arial" w:eastAsia="Arial" w:hAnsi="Arial"/>
          <w:color w:val="374151"/>
          <w:sz w:val="21"/>
          <w:szCs w:val="21"/>
        </w:rPr>
        <w:t xml:space="preserve">Cohort grouping: who attends what together, based on role, level, and gap similarity</w:t>
      </w:r>
    </w:p>
    <w:p>
      <w:pPr>
        <w:pStyle w:val="ListParagraph"/>
        <w:numPr>
          <w:ilvl w:val="0"/>
          <w:numId w:val="2"/>
        </w:numPr>
        <w:spacing w:before="0" w:after="60"/>
      </w:pPr>
      <w:r>
        <w:rPr>
          <w:rFonts w:ascii="Arial" w:cs="Arial" w:eastAsia="Arial" w:hAnsi="Arial"/>
          <w:color w:val="374151"/>
          <w:sz w:val="21"/>
          <w:szCs w:val="21"/>
        </w:rPr>
        <w:t xml:space="preserve">L&amp;D/OD Project Management Engine (M14): 8 project types, milestone tracking, activity management, budget tracking, AI project suggestions from TNA output</w:t>
      </w:r>
    </w:p>
    <w:p>
      <w:pPr>
        <w:pStyle w:val="ListParagraph"/>
        <w:numPr>
          <w:ilvl w:val="0"/>
          <w:numId w:val="2"/>
        </w:numPr>
        <w:spacing w:before="0" w:after="60"/>
      </w:pPr>
      <w:r>
        <w:rPr>
          <w:rFonts w:ascii="Arial" w:cs="Arial" w:eastAsia="Arial" w:hAnsi="Arial"/>
          <w:color w:val="374151"/>
          <w:sz w:val="21"/>
          <w:szCs w:val="21"/>
        </w:rPr>
        <w:t xml:space="preserve">AI-Suggested Org-Wide Execution Plan: sequences all interventions across the entire population, manages dependencies, allocates budget across departments, applies build vs buy vs train decision, integrates with TMS/LMS for auto-enrolment</w:t>
      </w:r>
    </w:p>
    <w:p>
      <w:pPr>
        <w:pStyle w:val="ListParagraph"/>
        <w:numPr>
          <w:ilvl w:val="0"/>
          <w:numId w:val="2"/>
        </w:numPr>
        <w:spacing w:before="0" w:after="60"/>
      </w:pPr>
      <w:r>
        <w:rPr>
          <w:rFonts w:ascii="Arial" w:cs="Arial" w:eastAsia="Arial" w:hAnsi="Arial"/>
          <w:color w:val="374151"/>
          <w:sz w:val="21"/>
          <w:szCs w:val="21"/>
        </w:rPr>
        <w:t xml:space="preserve">Vendor and trainer selection: linked to Trainer and Coach Platform, skills match + effectiveness score + availability check</w:t>
      </w:r>
    </w:p>
    <w:p>
      <w:pPr>
        <w:spacing w:before="0" w:after="80"/>
      </w:pPr>
    </w:p>
    <w:p>
      <w:pPr>
        <w:pStyle w:val="Heading3"/>
        <w:spacing w:before="220" w:after="80"/>
      </w:pPr>
      <w:r>
        <w:rPr>
          <w:rFonts w:ascii="Arial" w:cs="Arial" w:eastAsia="Arial" w:hAnsi="Arial"/>
          <w:b/>
          <w:bCs/>
          <w:color w:val="1E6FFF"/>
          <w:sz w:val="24"/>
          <w:szCs w:val="24"/>
        </w:rPr>
        <w:t xml:space="preserve">3.4.3 Group C — Organisational Actions</w:t>
      </w:r>
    </w:p>
    <w:p>
      <w:pPr>
        <w:pStyle w:val="ListParagraph"/>
        <w:numPr>
          <w:ilvl w:val="0"/>
          <w:numId w:val="2"/>
        </w:numPr>
        <w:spacing w:before="0" w:after="60"/>
      </w:pPr>
      <w:r>
        <w:rPr>
          <w:rFonts w:ascii="Arial" w:cs="Arial" w:eastAsia="Arial" w:hAnsi="Arial"/>
          <w:color w:val="374151"/>
          <w:sz w:val="21"/>
          <w:szCs w:val="21"/>
        </w:rPr>
        <w:t xml:space="preserve">Learning budget allocation: per department, per BU, per programme, tracked against L&amp;D investment target — over-budget flagged</w:t>
      </w:r>
    </w:p>
    <w:p>
      <w:pPr>
        <w:pStyle w:val="ListParagraph"/>
        <w:numPr>
          <w:ilvl w:val="0"/>
          <w:numId w:val="2"/>
        </w:numPr>
        <w:spacing w:before="0" w:after="60"/>
      </w:pPr>
      <w:r>
        <w:rPr>
          <w:rFonts w:ascii="Arial" w:cs="Arial" w:eastAsia="Arial" w:hAnsi="Arial"/>
          <w:color w:val="374151"/>
          <w:sz w:val="21"/>
          <w:szCs w:val="21"/>
        </w:rPr>
        <w:t xml:space="preserve">Transformation Dial management: strategic emphasis adjustment per skill from −5 to +5, change governance workflow, staged rollout option, impact preview showing which LNIs will be recalibrated before applying</w:t>
      </w:r>
    </w:p>
    <w:p>
      <w:pPr>
        <w:pStyle w:val="ListParagraph"/>
        <w:numPr>
          <w:ilvl w:val="0"/>
          <w:numId w:val="2"/>
        </w:numPr>
        <w:spacing w:before="0" w:after="60"/>
      </w:pPr>
      <w:r>
        <w:rPr>
          <w:rFonts w:ascii="Arial" w:cs="Arial" w:eastAsia="Arial" w:hAnsi="Arial"/>
          <w:color w:val="374151"/>
          <w:sz w:val="21"/>
          <w:szCs w:val="21"/>
        </w:rPr>
        <w:t xml:space="preserve">Internal mobility decisions: job mobility (permanent role moves) and project fitment matching (temporary assignment). Pre-sales capability check for new business opportunities.</w:t>
      </w:r>
    </w:p>
    <w:p>
      <w:pPr>
        <w:pStyle w:val="ListParagraph"/>
        <w:numPr>
          <w:ilvl w:val="0"/>
          <w:numId w:val="2"/>
        </w:numPr>
        <w:spacing w:before="0" w:after="60"/>
      </w:pPr>
      <w:r>
        <w:rPr>
          <w:rFonts w:ascii="Arial" w:cs="Arial" w:eastAsia="Arial" w:hAnsi="Arial"/>
          <w:color w:val="374151"/>
          <w:sz w:val="21"/>
          <w:szCs w:val="21"/>
        </w:rPr>
        <w:t xml:space="preserve">Succession planning: critical role pipeline, readiness bands (Ready Now / Ready in 12M / Ready in 24M / Development Required), AI risk alerts for attrition of incumbents and successors, what-if modelling</w:t>
      </w:r>
    </w:p>
    <w:p>
      <w:pPr>
        <w:pStyle w:val="ListParagraph"/>
        <w:numPr>
          <w:ilvl w:val="0"/>
          <w:numId w:val="2"/>
        </w:numPr>
        <w:spacing w:before="0" w:after="60"/>
      </w:pPr>
      <w:r>
        <w:rPr>
          <w:rFonts w:ascii="Arial" w:cs="Arial" w:eastAsia="Arial" w:hAnsi="Arial"/>
          <w:color w:val="374151"/>
          <w:sz w:val="21"/>
          <w:szCs w:val="21"/>
        </w:rPr>
        <w:t xml:space="preserve">Build vs buy vs train decision: framework based on urgency, cost, and gap-to-readiness timeline</w:t>
      </w:r>
    </w:p>
    <w:p>
      <w:pPr>
        <w:pStyle w:val="ListParagraph"/>
        <w:numPr>
          <w:ilvl w:val="0"/>
          <w:numId w:val="2"/>
        </w:numPr>
        <w:spacing w:before="0" w:after="60"/>
      </w:pPr>
      <w:r>
        <w:rPr>
          <w:rFonts w:ascii="Arial" w:cs="Arial" w:eastAsia="Arial" w:hAnsi="Arial"/>
          <w:color w:val="374151"/>
          <w:sz w:val="21"/>
          <w:szCs w:val="21"/>
        </w:rPr>
        <w:t xml:space="preserve">Job architecture updates: role redesign where skill gaps are structural — updates L1 Job Role Cards and triggers re-approval of affected role-skill mappings</w:t>
      </w:r>
    </w:p>
    <w:p>
      <w:pPr>
        <w:spacing w:before="0" w:after="80"/>
      </w:pPr>
    </w:p>
    <w:p>
      <w:pPr>
        <w:pStyle w:val="Heading3"/>
        <w:spacing w:before="220" w:after="80"/>
      </w:pPr>
      <w:r>
        <w:rPr>
          <w:rFonts w:ascii="Arial" w:cs="Arial" w:eastAsia="Arial" w:hAnsi="Arial"/>
          <w:b/>
          <w:bCs/>
          <w:color w:val="1E6FFF"/>
          <w:sz w:val="24"/>
          <w:szCs w:val="24"/>
        </w:rPr>
        <w:t xml:space="preserve">3.4.4 Group D — Delivery Setup</w:t>
      </w:r>
    </w:p>
    <w:p>
      <w:pPr>
        <w:pStyle w:val="ListParagraph"/>
        <w:numPr>
          <w:ilvl w:val="0"/>
          <w:numId w:val="2"/>
        </w:numPr>
        <w:spacing w:before="0" w:after="60"/>
      </w:pPr>
      <w:r>
        <w:rPr>
          <w:rFonts w:ascii="Arial" w:cs="Arial" w:eastAsia="Arial" w:hAnsi="Arial"/>
          <w:color w:val="374151"/>
          <w:sz w:val="21"/>
          <w:szCs w:val="21"/>
        </w:rPr>
        <w:t xml:space="preserve">LMS / TrainConnect publishing and enrolment: courses published, employees auto-enrolled per IDP, SCORM/xAPI integration</w:t>
      </w:r>
    </w:p>
    <w:p>
      <w:pPr>
        <w:pStyle w:val="ListParagraph"/>
        <w:numPr>
          <w:ilvl w:val="0"/>
          <w:numId w:val="2"/>
        </w:numPr>
        <w:spacing w:before="0" w:after="60"/>
      </w:pPr>
      <w:r>
        <w:rPr>
          <w:rFonts w:ascii="Arial" w:cs="Arial" w:eastAsia="Arial" w:hAnsi="Arial"/>
          <w:color w:val="374151"/>
          <w:sz w:val="21"/>
          <w:szCs w:val="21"/>
        </w:rPr>
        <w:t xml:space="preserve">External platform integration: Coursera, LinkedIn Learning, Udemy for Business, partner platforms activated</w:t>
      </w:r>
    </w:p>
    <w:p>
      <w:pPr>
        <w:pStyle w:val="ListParagraph"/>
        <w:numPr>
          <w:ilvl w:val="0"/>
          <w:numId w:val="2"/>
        </w:numPr>
        <w:spacing w:before="0" w:after="60"/>
      </w:pPr>
      <w:r>
        <w:rPr>
          <w:rFonts w:ascii="Arial" w:cs="Arial" w:eastAsia="Arial" w:hAnsi="Arial"/>
          <w:color w:val="374151"/>
          <w:sz w:val="21"/>
          <w:szCs w:val="21"/>
        </w:rPr>
        <w:t xml:space="preserve">Trainer briefing with AI Content Outline: trainer receives structured programme brief via Trainer Platform — replaces manual scoping call</w:t>
      </w:r>
    </w:p>
    <w:p>
      <w:pPr>
        <w:pStyle w:val="ListParagraph"/>
        <w:numPr>
          <w:ilvl w:val="0"/>
          <w:numId w:val="2"/>
        </w:numPr>
        <w:spacing w:before="0" w:after="60"/>
      </w:pPr>
      <w:r>
        <w:rPr>
          <w:rFonts w:ascii="Arial" w:cs="Arial" w:eastAsia="Arial" w:hAnsi="Arial"/>
          <w:color w:val="374151"/>
          <w:sz w:val="21"/>
          <w:szCs w:val="21"/>
        </w:rPr>
        <w:t xml:space="preserve">Learner communication and nudges: automated notifications to employees and managers via NotifyEngine throughout the delivery cycle</w:t>
      </w:r>
    </w:p>
    <w:p>
      <w:pPr>
        <w:pStyle w:val="ListParagraph"/>
        <w:numPr>
          <w:ilvl w:val="0"/>
          <w:numId w:val="2"/>
        </w:numPr>
        <w:spacing w:before="0" w:after="60"/>
      </w:pPr>
      <w:r>
        <w:rPr>
          <w:rFonts w:ascii="Arial" w:cs="Arial" w:eastAsia="Arial" w:hAnsi="Arial"/>
          <w:color w:val="374151"/>
          <w:sz w:val="21"/>
          <w:szCs w:val="21"/>
        </w:rPr>
        <w:t xml:space="preserve">Pre-training baseline measurement: captures current skill level before intervention to enable post-training delta calculation</w:t>
      </w:r>
    </w:p>
    <w:p>
      <w:pPr>
        <w:pStyle w:val="ListParagraph"/>
        <w:numPr>
          <w:ilvl w:val="0"/>
          <w:numId w:val="2"/>
        </w:numPr>
        <w:spacing w:before="0" w:after="60"/>
      </w:pPr>
      <w:r>
        <w:rPr>
          <w:rFonts w:ascii="Arial" w:cs="Arial" w:eastAsia="Arial" w:hAnsi="Arial"/>
          <w:color w:val="374151"/>
          <w:sz w:val="21"/>
          <w:szCs w:val="21"/>
        </w:rPr>
        <w:t xml:space="preserve">Certificate Engine configuration: template set up, auto-issuance trigger configured, LinkedIn share enabled</w:t>
      </w:r>
    </w:p>
    <w:p>
      <w:pPr>
        <w:spacing w:before="0" w:after="120"/>
      </w:pPr>
    </w:p>
    <w:p>
      <w:pPr>
        <w:pageBreakBefore/>
      </w:pPr>
      <w:r>
        <w:t xml:space="preserve"/>
      </w:r>
    </w:p>
    <w:p>
      <w:pPr>
        <w:pStyle w:val="Heading2"/>
        <w:spacing w:before="300" w:after="120"/>
      </w:pPr>
      <w:r>
        <w:rPr>
          <w:rFonts w:ascii="Arial" w:cs="Arial" w:eastAsia="Arial" w:hAnsi="Arial"/>
          <w:b/>
          <w:bCs/>
          <w:color w:val="1E3A6E"/>
          <w:sz w:val="30"/>
          <w:szCs w:val="30"/>
        </w:rPr>
        <w:t xml:space="preserve">3.5 Measurement Phase</w:t>
      </w:r>
    </w:p>
    <w:p>
      <w:pPr>
        <w:pStyle w:val="ListParagraph"/>
        <w:numPr>
          <w:ilvl w:val="0"/>
          <w:numId w:val="2"/>
        </w:numPr>
        <w:spacing w:before="0" w:after="60"/>
      </w:pPr>
      <w:r>
        <w:rPr>
          <w:rFonts w:ascii="Arial" w:cs="Arial" w:eastAsia="Arial" w:hAnsi="Arial"/>
          <w:color w:val="374151"/>
          <w:sz w:val="21"/>
          <w:szCs w:val="21"/>
        </w:rPr>
        <w:t xml:space="preserve">Post-training skill measurement: reassessment using the same instrument as pre-training baseline to produce a clean delta</w:t>
      </w:r>
    </w:p>
    <w:p>
      <w:pPr>
        <w:pStyle w:val="ListParagraph"/>
        <w:numPr>
          <w:ilvl w:val="0"/>
          <w:numId w:val="2"/>
        </w:numPr>
        <w:spacing w:before="0" w:after="60"/>
      </w:pPr>
      <w:r>
        <w:rPr>
          <w:rFonts w:ascii="Arial" w:cs="Arial" w:eastAsia="Arial" w:hAnsi="Arial"/>
          <w:color w:val="374151"/>
          <w:sz w:val="21"/>
          <w:szCs w:val="21"/>
        </w:rPr>
        <w:t xml:space="preserve">Kirkpatrick L1: learner satisfaction (reaction survey immediately post-training)</w:t>
      </w:r>
    </w:p>
    <w:p>
      <w:pPr>
        <w:pStyle w:val="ListParagraph"/>
        <w:numPr>
          <w:ilvl w:val="0"/>
          <w:numId w:val="2"/>
        </w:numPr>
        <w:spacing w:before="0" w:after="60"/>
      </w:pPr>
      <w:r>
        <w:rPr>
          <w:rFonts w:ascii="Arial" w:cs="Arial" w:eastAsia="Arial" w:hAnsi="Arial"/>
          <w:color w:val="374151"/>
          <w:sz w:val="21"/>
          <w:szCs w:val="21"/>
        </w:rPr>
        <w:t xml:space="preserve">Kirkpatrick L2: knowledge gain (pre/post knowledge test delta)</w:t>
      </w:r>
    </w:p>
    <w:p>
      <w:pPr>
        <w:pStyle w:val="ListParagraph"/>
        <w:numPr>
          <w:ilvl w:val="0"/>
          <w:numId w:val="2"/>
        </w:numPr>
        <w:spacing w:before="0" w:after="60"/>
      </w:pPr>
      <w:r>
        <w:rPr>
          <w:rFonts w:ascii="Arial" w:cs="Arial" w:eastAsia="Arial" w:hAnsi="Arial"/>
          <w:color w:val="374151"/>
          <w:sz w:val="21"/>
          <w:szCs w:val="21"/>
        </w:rPr>
        <w:t xml:space="preserve">Kirkpatrick L3: behaviour application (manager assessment 30–90 days post-training, observed behavioural change)</w:t>
      </w:r>
    </w:p>
    <w:p>
      <w:pPr>
        <w:pStyle w:val="ListParagraph"/>
        <w:numPr>
          <w:ilvl w:val="0"/>
          <w:numId w:val="2"/>
        </w:numPr>
        <w:spacing w:before="0" w:after="60"/>
      </w:pPr>
      <w:r>
        <w:rPr>
          <w:rFonts w:ascii="Arial" w:cs="Arial" w:eastAsia="Arial" w:hAnsi="Arial"/>
          <w:color w:val="374151"/>
          <w:sz w:val="21"/>
          <w:szCs w:val="21"/>
        </w:rPr>
        <w:t xml:space="preserve">Kirkpatrick L4: business impact (KPI correlation, performance data, CRM/PM tool signal analysis)</w:t>
      </w:r>
    </w:p>
    <w:p>
      <w:pPr>
        <w:pStyle w:val="ListParagraph"/>
        <w:numPr>
          <w:ilvl w:val="0"/>
          <w:numId w:val="2"/>
        </w:numPr>
        <w:spacing w:before="0" w:after="60"/>
      </w:pPr>
      <w:r>
        <w:rPr>
          <w:rFonts w:ascii="Arial" w:cs="Arial" w:eastAsia="Arial" w:hAnsi="Arial"/>
          <w:color w:val="374151"/>
          <w:sz w:val="21"/>
          <w:szCs w:val="21"/>
        </w:rPr>
        <w:t xml:space="preserve">Manager feedback: structured observation notes captured in SkillPassport</w:t>
      </w:r>
    </w:p>
    <w:p>
      <w:pPr>
        <w:pStyle w:val="ListParagraph"/>
        <w:numPr>
          <w:ilvl w:val="0"/>
          <w:numId w:val="2"/>
        </w:numPr>
        <w:spacing w:before="0" w:after="60"/>
      </w:pPr>
      <w:r>
        <w:rPr>
          <w:rFonts w:ascii="Arial" w:cs="Arial" w:eastAsia="Arial" w:hAnsi="Arial"/>
          <w:color w:val="374151"/>
          <w:sz w:val="21"/>
          <w:szCs w:val="21"/>
        </w:rPr>
        <w:t xml:space="preserve">AI model feedback loop: content outline acceptance rate and L3 behaviour change score per trainer feeds back into the AI Content Outline Generation model — improving future outlines automatically</w:t>
      </w:r>
    </w:p>
    <w:p>
      <w:pPr>
        <w:pStyle w:val="ListParagraph"/>
        <w:numPr>
          <w:ilvl w:val="0"/>
          <w:numId w:val="2"/>
        </w:numPr>
        <w:spacing w:before="0" w:after="60"/>
      </w:pPr>
      <w:r>
        <w:rPr>
          <w:rFonts w:ascii="Arial" w:cs="Arial" w:eastAsia="Arial" w:hAnsi="Arial"/>
          <w:color w:val="374151"/>
          <w:sz w:val="21"/>
          <w:szCs w:val="21"/>
        </w:rPr>
        <w:t xml:space="preserve">Certificate auto-issuance: triggered on validated completion, QR verification link embedded</w:t>
      </w:r>
    </w:p>
    <w:p>
      <w:pPr>
        <w:pStyle w:val="ListParagraph"/>
        <w:numPr>
          <w:ilvl w:val="0"/>
          <w:numId w:val="2"/>
        </w:numPr>
        <w:spacing w:before="0" w:after="60"/>
      </w:pPr>
      <w:r>
        <w:rPr>
          <w:rFonts w:ascii="Arial" w:cs="Arial" w:eastAsia="Arial" w:hAnsi="Arial"/>
          <w:color w:val="374151"/>
          <w:sz w:val="21"/>
          <w:szCs w:val="21"/>
        </w:rPr>
        <w:t xml:space="preserve">Skill progress tracking dashboard: real-time view of programme effectiveness across the population</w:t>
      </w:r>
    </w:p>
    <w:p>
      <w:pPr>
        <w:spacing w:before="0" w:after="80"/>
      </w:pPr>
    </w:p>
    <w:p>
      <w:pPr>
        <w:pStyle w:val="Heading2"/>
        <w:spacing w:before="300" w:after="120"/>
      </w:pPr>
      <w:r>
        <w:rPr>
          <w:rFonts w:ascii="Arial" w:cs="Arial" w:eastAsia="Arial" w:hAnsi="Arial"/>
          <w:b/>
          <w:bCs/>
          <w:color w:val="1E3A6E"/>
          <w:sz w:val="30"/>
          <w:szCs w:val="30"/>
        </w:rPr>
        <w:t xml:space="preserve">3.6 Strategic Output</w:t>
      </w:r>
    </w:p>
    <w:p>
      <w:pPr>
        <w:pStyle w:val="ListParagraph"/>
        <w:numPr>
          <w:ilvl w:val="0"/>
          <w:numId w:val="2"/>
        </w:numPr>
        <w:spacing w:before="0" w:after="60"/>
      </w:pPr>
      <w:r>
        <w:rPr>
          <w:rFonts w:ascii="Arial" w:cs="Arial" w:eastAsia="Arial" w:hAnsi="Arial"/>
          <w:color w:val="374151"/>
          <w:sz w:val="21"/>
          <w:szCs w:val="21"/>
        </w:rPr>
        <w:t xml:space="preserve">Strategic Workforce Intelligence: synthesis of all reactive (assessed), predictive (forecast), and proactive (triggered) signals into a board-level view</w:t>
      </w:r>
    </w:p>
    <w:p>
      <w:pPr>
        <w:pStyle w:val="ListParagraph"/>
        <w:numPr>
          <w:ilvl w:val="0"/>
          <w:numId w:val="2"/>
        </w:numPr>
        <w:spacing w:before="0" w:after="60"/>
      </w:pPr>
      <w:r>
        <w:rPr>
          <w:rFonts w:ascii="Arial" w:cs="Arial" w:eastAsia="Arial" w:hAnsi="Arial"/>
          <w:color w:val="374151"/>
          <w:sz w:val="21"/>
          <w:szCs w:val="21"/>
        </w:rPr>
        <w:t xml:space="preserve">Succession Planning (enhanced): full pipeline per critical role, readiness band heat map, AI risk alerts, what-if modelling for attrition scenarios</w:t>
      </w:r>
    </w:p>
    <w:p>
      <w:pPr>
        <w:pStyle w:val="ListParagraph"/>
        <w:numPr>
          <w:ilvl w:val="0"/>
          <w:numId w:val="2"/>
        </w:numPr>
        <w:spacing w:before="0" w:after="60"/>
      </w:pPr>
      <w:r>
        <w:rPr>
          <w:rFonts w:ascii="Arial" w:cs="Arial" w:eastAsia="Arial" w:hAnsi="Arial"/>
          <w:color w:val="374151"/>
          <w:sz w:val="21"/>
          <w:szCs w:val="21"/>
        </w:rPr>
        <w:t xml:space="preserve">Internal Mobility and Project Fitment: talent marketplace view, project-to-person matching engine</w:t>
      </w:r>
    </w:p>
    <w:p>
      <w:pPr>
        <w:pStyle w:val="ListParagraph"/>
        <w:numPr>
          <w:ilvl w:val="0"/>
          <w:numId w:val="2"/>
        </w:numPr>
        <w:spacing w:before="0" w:after="60"/>
      </w:pPr>
      <w:r>
        <w:rPr>
          <w:rFonts w:ascii="Arial" w:cs="Arial" w:eastAsia="Arial" w:hAnsi="Arial"/>
          <w:color w:val="374151"/>
          <w:sz w:val="21"/>
          <w:szCs w:val="21"/>
        </w:rPr>
        <w:t xml:space="preserve">Future skill forecasting: 3–12 month horizon emerging gap predictions</w:t>
      </w:r>
    </w:p>
    <w:p>
      <w:pPr>
        <w:pStyle w:val="ListParagraph"/>
        <w:numPr>
          <w:ilvl w:val="0"/>
          <w:numId w:val="2"/>
        </w:numPr>
        <w:spacing w:before="0" w:after="60"/>
      </w:pPr>
      <w:r>
        <w:rPr>
          <w:rFonts w:ascii="Arial" w:cs="Arial" w:eastAsia="Arial" w:hAnsi="Arial"/>
          <w:color w:val="374151"/>
          <w:sz w:val="21"/>
          <w:szCs w:val="21"/>
        </w:rPr>
        <w:t xml:space="preserve">Workforce planning: headcount planning inputs, hiring pipeline recommendations, attrition risk</w:t>
      </w:r>
    </w:p>
    <w:p>
      <w:pPr>
        <w:pStyle w:val="ListParagraph"/>
        <w:numPr>
          <w:ilvl w:val="0"/>
          <w:numId w:val="2"/>
        </w:numPr>
        <w:spacing w:before="0" w:after="60"/>
      </w:pPr>
      <w:r>
        <w:rPr>
          <w:rFonts w:ascii="Arial" w:cs="Arial" w:eastAsia="Arial" w:hAnsi="Arial"/>
          <w:color w:val="374151"/>
          <w:sz w:val="21"/>
          <w:szCs w:val="21"/>
        </w:rPr>
        <w:t xml:space="preserve">Workforce Transformation Meter: progress vs declared Year 1, Year 2, Year 3 transformation targets — per skill domain, per department, per business unit</w:t>
      </w:r>
    </w:p>
    <w:p>
      <w:pPr>
        <w:pStyle w:val="ListParagraph"/>
        <w:numPr>
          <w:ilvl w:val="0"/>
          <w:numId w:val="2"/>
        </w:numPr>
        <w:spacing w:before="0" w:after="60"/>
      </w:pPr>
      <w:r>
        <w:rPr>
          <w:rFonts w:ascii="Arial" w:cs="Arial" w:eastAsia="Arial" w:hAnsi="Arial"/>
          <w:color w:val="374151"/>
          <w:sz w:val="21"/>
          <w:szCs w:val="21"/>
        </w:rPr>
        <w:t xml:space="preserve">Skill Passport Verification for hiring companies: external verification endpoint, 4 verification tiers (self-reported / platform-validated / externally certified / work-evidence backed)</w:t>
      </w:r>
    </w:p>
    <w:p>
      <w:pPr>
        <w:pStyle w:val="ListParagraph"/>
        <w:numPr>
          <w:ilvl w:val="0"/>
          <w:numId w:val="2"/>
        </w:numPr>
        <w:spacing w:before="0" w:after="60"/>
      </w:pPr>
      <w:r>
        <w:rPr>
          <w:rFonts w:ascii="Arial" w:cs="Arial" w:eastAsia="Arial" w:hAnsi="Arial"/>
          <w:color w:val="374151"/>
          <w:sz w:val="21"/>
          <w:szCs w:val="21"/>
        </w:rPr>
        <w:t xml:space="preserve">Executive Insights Dashboard: 5-persona views, AI conversational layer on every widget</w:t>
      </w:r>
    </w:p>
    <w:p>
      <w:pPr>
        <w:spacing w:before="0" w:after="80"/>
      </w:pPr>
    </w:p>
    <w:p>
      <w:pPr>
        <w:pStyle w:val="Heading2"/>
        <w:spacing w:before="300" w:after="120"/>
      </w:pPr>
      <w:r>
        <w:rPr>
          <w:rFonts w:ascii="Arial" w:cs="Arial" w:eastAsia="Arial" w:hAnsi="Arial"/>
          <w:b/>
          <w:bCs/>
          <w:color w:val="1E3A6E"/>
          <w:sz w:val="30"/>
          <w:szCs w:val="30"/>
        </w:rPr>
        <w:t xml:space="preserve">3.7 Predictive and Proactive Intelligence Layers</w:t>
      </w:r>
    </w:p>
    <w:p>
      <w:pPr>
        <w:pStyle w:val="Heading3"/>
        <w:spacing w:before="220" w:after="80"/>
      </w:pPr>
      <w:r>
        <w:rPr>
          <w:rFonts w:ascii="Arial" w:cs="Arial" w:eastAsia="Arial" w:hAnsi="Arial"/>
          <w:b/>
          <w:bCs/>
          <w:color w:val="1E6FFF"/>
          <w:sz w:val="24"/>
          <w:szCs w:val="24"/>
        </w:rPr>
        <w:t xml:space="preserve">Predictive Layer</w:t>
      </w:r>
    </w:p>
    <w:p>
      <w:pPr>
        <w:pStyle w:val="ListParagraph"/>
        <w:numPr>
          <w:ilvl w:val="0"/>
          <w:numId w:val="2"/>
        </w:numPr>
        <w:spacing w:before="0" w:after="60"/>
      </w:pPr>
      <w:r>
        <w:rPr>
          <w:rFonts w:ascii="Arial" w:cs="Arial" w:eastAsia="Arial" w:hAnsi="Arial"/>
          <w:color w:val="374151"/>
          <w:sz w:val="21"/>
          <w:szCs w:val="21"/>
        </w:rPr>
        <w:t xml:space="preserve">Predictive Analytics Engine: ML on historical trends, performance patterns, and market signals</w:t>
      </w:r>
    </w:p>
    <w:p>
      <w:pPr>
        <w:pStyle w:val="ListParagraph"/>
        <w:numPr>
          <w:ilvl w:val="0"/>
          <w:numId w:val="2"/>
        </w:numPr>
        <w:spacing w:before="0" w:after="60"/>
      </w:pPr>
      <w:r>
        <w:rPr>
          <w:rFonts w:ascii="Arial" w:cs="Arial" w:eastAsia="Arial" w:hAnsi="Arial"/>
          <w:color w:val="374151"/>
          <w:sz w:val="21"/>
          <w:szCs w:val="21"/>
        </w:rPr>
        <w:t xml:space="preserve">Emerging skill gap forecasting: 3–12 month horizon, based on industry trends and org trajectory</w:t>
      </w:r>
    </w:p>
    <w:p>
      <w:pPr>
        <w:pStyle w:val="ListParagraph"/>
        <w:numPr>
          <w:ilvl w:val="0"/>
          <w:numId w:val="2"/>
        </w:numPr>
        <w:spacing w:before="0" w:after="60"/>
      </w:pPr>
      <w:r>
        <w:rPr>
          <w:rFonts w:ascii="Arial" w:cs="Arial" w:eastAsia="Arial" w:hAnsi="Arial"/>
          <w:color w:val="374151"/>
          <w:sz w:val="21"/>
          <w:szCs w:val="21"/>
        </w:rPr>
        <w:t xml:space="preserve">Industry skill trend monitoring: cross-org benchmark signals (anonymised, aggregated)</w:t>
      </w:r>
    </w:p>
    <w:p>
      <w:pPr>
        <w:pStyle w:val="ListParagraph"/>
        <w:numPr>
          <w:ilvl w:val="0"/>
          <w:numId w:val="2"/>
        </w:numPr>
        <w:spacing w:before="0" w:after="60"/>
      </w:pPr>
      <w:r>
        <w:rPr>
          <w:rFonts w:ascii="Arial" w:cs="Arial" w:eastAsia="Arial" w:hAnsi="Arial"/>
          <w:color w:val="374151"/>
          <w:sz w:val="21"/>
          <w:szCs w:val="21"/>
        </w:rPr>
        <w:t xml:space="preserve">Talent risk and attrition prediction: role criticality + wellbeing signals + tenure data</w:t>
      </w:r>
    </w:p>
    <w:p>
      <w:pPr>
        <w:pStyle w:val="ListParagraph"/>
        <w:numPr>
          <w:ilvl w:val="0"/>
          <w:numId w:val="2"/>
        </w:numPr>
        <w:spacing w:before="0" w:after="60"/>
      </w:pPr>
      <w:r>
        <w:rPr>
          <w:rFonts w:ascii="Arial" w:cs="Arial" w:eastAsia="Arial" w:hAnsi="Arial"/>
          <w:color w:val="374151"/>
          <w:sz w:val="21"/>
          <w:szCs w:val="21"/>
        </w:rPr>
        <w:t xml:space="preserve">Future competency demand mapping: role evolution model based on strategy, technology, and market signals</w:t>
      </w:r>
    </w:p>
    <w:p>
      <w:pPr>
        <w:pStyle w:val="ListParagraph"/>
        <w:numPr>
          <w:ilvl w:val="0"/>
          <w:numId w:val="2"/>
        </w:numPr>
        <w:spacing w:before="0" w:after="60"/>
      </w:pPr>
      <w:r>
        <w:rPr>
          <w:rFonts w:ascii="Arial" w:cs="Arial" w:eastAsia="Arial" w:hAnsi="Arial"/>
          <w:color w:val="374151"/>
          <w:sz w:val="21"/>
          <w:szCs w:val="21"/>
        </w:rPr>
        <w:t xml:space="preserve">Succession risk alerts: incumbent + successor attrition detection, pipeline gap alerts</w:t>
      </w:r>
    </w:p>
    <w:p>
      <w:pPr>
        <w:spacing w:before="0" w:after="60"/>
      </w:pPr>
    </w:p>
    <w:p>
      <w:pPr>
        <w:pStyle w:val="Heading3"/>
        <w:spacing w:before="220" w:after="80"/>
      </w:pPr>
      <w:r>
        <w:rPr>
          <w:rFonts w:ascii="Arial" w:cs="Arial" w:eastAsia="Arial" w:hAnsi="Arial"/>
          <w:b/>
          <w:bCs/>
          <w:color w:val="1E6FFF"/>
          <w:sz w:val="24"/>
          <w:szCs w:val="24"/>
        </w:rPr>
        <w:t xml:space="preserve">Proactive Layer</w:t>
      </w:r>
    </w:p>
    <w:p>
      <w:pPr>
        <w:pStyle w:val="ListParagraph"/>
        <w:numPr>
          <w:ilvl w:val="0"/>
          <w:numId w:val="2"/>
        </w:numPr>
        <w:spacing w:before="0" w:after="60"/>
      </w:pPr>
      <w:r>
        <w:rPr>
          <w:rFonts w:ascii="Arial" w:cs="Arial" w:eastAsia="Arial" w:hAnsi="Arial"/>
          <w:color w:val="374151"/>
          <w:sz w:val="21"/>
          <w:szCs w:val="21"/>
        </w:rPr>
        <w:t xml:space="preserve">Early-warning alerts to managers and HR when gap thresholds are approaching</w:t>
      </w:r>
    </w:p>
    <w:p>
      <w:pPr>
        <w:pStyle w:val="ListParagraph"/>
        <w:numPr>
          <w:ilvl w:val="0"/>
          <w:numId w:val="2"/>
        </w:numPr>
        <w:spacing w:before="0" w:after="60"/>
      </w:pPr>
      <w:r>
        <w:rPr>
          <w:rFonts w:ascii="Arial" w:cs="Arial" w:eastAsia="Arial" w:hAnsi="Arial"/>
          <w:color w:val="374151"/>
          <w:sz w:val="21"/>
          <w:szCs w:val="21"/>
        </w:rPr>
        <w:t xml:space="preserve">Auto-scheduled learning nudges triggered by role-specific events</w:t>
      </w:r>
    </w:p>
    <w:p>
      <w:pPr>
        <w:pStyle w:val="ListParagraph"/>
        <w:numPr>
          <w:ilvl w:val="0"/>
          <w:numId w:val="2"/>
        </w:numPr>
        <w:spacing w:before="0" w:after="60"/>
      </w:pPr>
      <w:r>
        <w:rPr>
          <w:rFonts w:ascii="Arial" w:cs="Arial" w:eastAsia="Arial" w:hAnsi="Arial"/>
          <w:color w:val="374151"/>
          <w:sz w:val="21"/>
          <w:szCs w:val="21"/>
        </w:rPr>
        <w:t xml:space="preserve">Pre-emptive LNA cycle trigger: new data signal fires a new analysis cycle without waiting for the scheduled interval</w:t>
      </w:r>
    </w:p>
    <w:p>
      <w:pPr>
        <w:pStyle w:val="ListParagraph"/>
        <w:numPr>
          <w:ilvl w:val="0"/>
          <w:numId w:val="2"/>
        </w:numPr>
        <w:spacing w:before="0" w:after="60"/>
      </w:pPr>
      <w:r>
        <w:rPr>
          <w:rFonts w:ascii="Arial" w:cs="Arial" w:eastAsia="Arial" w:hAnsi="Arial"/>
          <w:color w:val="374151"/>
          <w:sz w:val="21"/>
          <w:szCs w:val="21"/>
        </w:rPr>
        <w:t xml:space="preserve">Predictive IDP updates: IDP development priorities updated automatically when the predictive engine detects an emerging role requirement</w:t>
      </w:r>
    </w:p>
    <w:p>
      <w:pPr>
        <w:pStyle w:val="ListParagraph"/>
        <w:numPr>
          <w:ilvl w:val="0"/>
          <w:numId w:val="2"/>
        </w:numPr>
        <w:spacing w:before="0" w:after="60"/>
      </w:pPr>
      <w:r>
        <w:rPr>
          <w:rFonts w:ascii="Arial" w:cs="Arial" w:eastAsia="Arial" w:hAnsi="Arial"/>
          <w:color w:val="374151"/>
          <w:sz w:val="21"/>
          <w:szCs w:val="21"/>
        </w:rPr>
        <w:t xml:space="preserve">Wellbeing manager prompt: conversation starter issued when Elevated/High burnout risk detected</w:t>
      </w:r>
    </w:p>
    <w:p>
      <w:pPr>
        <w:spacing w:before="0" w:after="60"/>
      </w:pPr>
    </w:p>
    <w:p>
      <w:pPr>
        <w:pStyle w:val="Heading3"/>
        <w:spacing w:before="220" w:after="80"/>
      </w:pPr>
      <w:r>
        <w:rPr>
          <w:rFonts w:ascii="Arial" w:cs="Arial" w:eastAsia="Arial" w:hAnsi="Arial"/>
          <w:b/>
          <w:bCs/>
          <w:color w:val="1E6FFF"/>
          <w:sz w:val="24"/>
          <w:szCs w:val="24"/>
        </w:rPr>
        <w:t xml:space="preserve">Recurring Triggers — Proactive Engine fires a new LNA cycle when:</w:t>
      </w:r>
    </w:p>
    <w:p>
      <w:pPr>
        <w:pStyle w:val="ListParagraph"/>
        <w:numPr>
          <w:ilvl w:val="0"/>
          <w:numId w:val="2"/>
        </w:numPr>
        <w:spacing w:before="0" w:after="60"/>
      </w:pPr>
      <w:r>
        <w:rPr>
          <w:rFonts w:ascii="Arial" w:cs="Arial" w:eastAsia="Arial" w:hAnsi="Arial"/>
          <w:color w:val="374151"/>
          <w:sz w:val="21"/>
          <w:szCs w:val="21"/>
        </w:rPr>
        <w:t xml:space="preserve">New critical skill gap detected by predictive model</w:t>
      </w:r>
    </w:p>
    <w:p>
      <w:pPr>
        <w:pStyle w:val="ListParagraph"/>
        <w:numPr>
          <w:ilvl w:val="0"/>
          <w:numId w:val="2"/>
        </w:numPr>
        <w:spacing w:before="0" w:after="60"/>
      </w:pPr>
      <w:r>
        <w:rPr>
          <w:rFonts w:ascii="Arial" w:cs="Arial" w:eastAsia="Arial" w:hAnsi="Arial"/>
          <w:color w:val="374151"/>
          <w:sz w:val="21"/>
          <w:szCs w:val="21"/>
        </w:rPr>
        <w:t xml:space="preserve">Attrition risk threshold crossed for a role-critical employee</w:t>
      </w:r>
    </w:p>
    <w:p>
      <w:pPr>
        <w:pStyle w:val="ListParagraph"/>
        <w:numPr>
          <w:ilvl w:val="0"/>
          <w:numId w:val="2"/>
        </w:numPr>
        <w:spacing w:before="0" w:after="60"/>
      </w:pPr>
      <w:r>
        <w:rPr>
          <w:rFonts w:ascii="Arial" w:cs="Arial" w:eastAsia="Arial" w:hAnsi="Arial"/>
          <w:color w:val="374151"/>
          <w:sz w:val="21"/>
          <w:szCs w:val="21"/>
        </w:rPr>
        <w:t xml:space="preserve">New tool or technology added to the org stack in OrgSetup</w:t>
      </w:r>
    </w:p>
    <w:p>
      <w:pPr>
        <w:pStyle w:val="ListParagraph"/>
        <w:numPr>
          <w:ilvl w:val="0"/>
          <w:numId w:val="2"/>
        </w:numPr>
        <w:spacing w:before="0" w:after="60"/>
      </w:pPr>
      <w:r>
        <w:rPr>
          <w:rFonts w:ascii="Arial" w:cs="Arial" w:eastAsia="Arial" w:hAnsi="Arial"/>
          <w:color w:val="374151"/>
          <w:sz w:val="21"/>
          <w:szCs w:val="21"/>
        </w:rPr>
        <w:t xml:space="preserve">Regulatory compliance change detected in the Governing Standards Registry</w:t>
      </w:r>
    </w:p>
    <w:p>
      <w:pPr>
        <w:pStyle w:val="ListParagraph"/>
        <w:numPr>
          <w:ilvl w:val="0"/>
          <w:numId w:val="2"/>
        </w:numPr>
        <w:spacing w:before="0" w:after="60"/>
      </w:pPr>
      <w:r>
        <w:rPr>
          <w:rFonts w:ascii="Arial" w:cs="Arial" w:eastAsia="Arial" w:hAnsi="Arial"/>
          <w:color w:val="374151"/>
          <w:sz w:val="21"/>
          <w:szCs w:val="21"/>
        </w:rPr>
        <w:t xml:space="preserve">Strategic initiative launched (new goal added in OrgSetup)</w:t>
      </w:r>
    </w:p>
    <w:p>
      <w:pPr>
        <w:pStyle w:val="ListParagraph"/>
        <w:numPr>
          <w:ilvl w:val="0"/>
          <w:numId w:val="2"/>
        </w:numPr>
        <w:spacing w:before="0" w:after="60"/>
      </w:pPr>
      <w:r>
        <w:rPr>
          <w:rFonts w:ascii="Arial" w:cs="Arial" w:eastAsia="Arial" w:hAnsi="Arial"/>
          <w:color w:val="374151"/>
          <w:sz w:val="21"/>
          <w:szCs w:val="21"/>
        </w:rPr>
        <w:t xml:space="preserve">Transformation Dial shifted — all affected LNIs recalibrated immediately</w:t>
      </w:r>
    </w:p>
    <w:p>
      <w:pPr>
        <w:pStyle w:val="ListParagraph"/>
        <w:numPr>
          <w:ilvl w:val="0"/>
          <w:numId w:val="2"/>
        </w:numPr>
        <w:spacing w:before="0" w:after="60"/>
      </w:pPr>
      <w:r>
        <w:rPr>
          <w:rFonts w:ascii="Arial" w:cs="Arial" w:eastAsia="Arial" w:hAnsi="Arial"/>
          <w:color w:val="374151"/>
          <w:sz w:val="21"/>
          <w:szCs w:val="21"/>
        </w:rPr>
        <w:t xml:space="preserve">Succession candidate exits — pipeline gap alert triggered</w:t>
      </w:r>
    </w:p>
    <w:p>
      <w:pPr>
        <w:pStyle w:val="ListParagraph"/>
        <w:numPr>
          <w:ilvl w:val="0"/>
          <w:numId w:val="2"/>
        </w:numPr>
        <w:spacing w:before="0" w:after="60"/>
      </w:pPr>
      <w:r>
        <w:rPr>
          <w:rFonts w:ascii="Arial" w:cs="Arial" w:eastAsia="Arial" w:hAnsi="Arial"/>
          <w:color w:val="374151"/>
          <w:sz w:val="21"/>
          <w:szCs w:val="21"/>
        </w:rPr>
        <w:t xml:space="preserve">New business won — pre-sales capability check requested</w:t>
      </w:r>
    </w:p>
    <w:p>
      <w:pPr>
        <w:spacing w:before="0" w:after="120"/>
      </w:pPr>
    </w:p>
    <w:p>
      <w:pPr>
        <w:pageBreakBefore/>
      </w:pPr>
      <w:r>
        <w:t xml:space="preserve"/>
      </w:r>
    </w:p>
    <w:p>
      <w:pPr>
        <w:pStyle w:val="Heading1"/>
        <w:spacing w:before="400" w:after="160"/>
      </w:pPr>
      <w:r>
        <w:rPr>
          <w:rFonts w:ascii="Arial" w:cs="Arial" w:eastAsia="Arial" w:hAnsi="Arial"/>
          <w:b/>
          <w:bCs/>
          <w:color w:val="1E3A6E"/>
          <w:sz w:val="40"/>
          <w:szCs w:val="40"/>
        </w:rPr>
        <w:t xml:space="preserve">4. Extended Feature Modules</w:t>
      </w:r>
    </w:p>
    <w:p>
      <w:pPr>
        <w:spacing w:before="0" w:after="100"/>
        <w:jc w:val="left"/>
      </w:pPr>
      <w:r>
        <w:rPr>
          <w:rFonts w:ascii="Arial" w:cs="Arial" w:eastAsia="Arial" w:hAnsi="Arial"/>
          <w:b w:val="false"/>
          <w:bCs w:val="false"/>
          <w:i w:val="false"/>
          <w:iCs w:val="false"/>
          <w:color w:val="374151"/>
          <w:sz w:val="22"/>
          <w:szCs w:val="22"/>
        </w:rPr>
        <w:t xml:space="preserve">The following modules extend the core SIP platform. All were added after BRD v2. Each is a first-class product feature with its own data model, user interface, and engineering scope.</w:t>
      </w:r>
    </w:p>
    <w:p>
      <w:pPr>
        <w:spacing w:before="0" w:after="80"/>
      </w:pPr>
    </w:p>
    <w:p>
      <w:pPr>
        <w:pStyle w:val="Heading2"/>
        <w:spacing w:before="300" w:after="120"/>
      </w:pPr>
      <w:r>
        <w:rPr>
          <w:rFonts w:ascii="Arial" w:cs="Arial" w:eastAsia="Arial" w:hAnsi="Arial"/>
          <w:b/>
          <w:bCs/>
          <w:color w:val="1E3A6E"/>
          <w:sz w:val="30"/>
          <w:szCs w:val="30"/>
        </w:rPr>
        <w:t xml:space="preserve">4.1 Succession Planning Module (Section 16)</w:t>
      </w:r>
    </w:p>
    <w:p>
      <w:pPr>
        <w:pStyle w:val="ListParagraph"/>
        <w:numPr>
          <w:ilvl w:val="0"/>
          <w:numId w:val="2"/>
        </w:numPr>
        <w:spacing w:before="0" w:after="60"/>
      </w:pPr>
      <w:r>
        <w:rPr>
          <w:rFonts w:ascii="Arial" w:cs="Arial" w:eastAsia="Arial" w:hAnsi="Arial"/>
          <w:color w:val="374151"/>
          <w:sz w:val="21"/>
          <w:szCs w:val="21"/>
        </w:rPr>
        <w:t xml:space="preserve">Critical Role Definition: HR Head designates which roles are critical (C1/C2) based on impact if vacant, scarcity of replacement, and strategic dependency</w:t>
      </w:r>
    </w:p>
    <w:p>
      <w:pPr>
        <w:pStyle w:val="ListParagraph"/>
        <w:numPr>
          <w:ilvl w:val="0"/>
          <w:numId w:val="2"/>
        </w:numPr>
        <w:spacing w:before="0" w:after="60"/>
      </w:pPr>
      <w:r>
        <w:rPr>
          <w:rFonts w:ascii="Arial" w:cs="Arial" w:eastAsia="Arial" w:hAnsi="Arial"/>
          <w:color w:val="374151"/>
          <w:sz w:val="21"/>
          <w:szCs w:val="21"/>
        </w:rPr>
        <w:t xml:space="preserve">Succession Pipeline: 3–5 candidates per critical role, readiness banding (Ready Now / 12M / 24M / Development Required), bench strength score per role</w:t>
      </w:r>
    </w:p>
    <w:p>
      <w:pPr>
        <w:pStyle w:val="ListParagraph"/>
        <w:numPr>
          <w:ilvl w:val="0"/>
          <w:numId w:val="2"/>
        </w:numPr>
        <w:spacing w:before="0" w:after="60"/>
      </w:pPr>
      <w:r>
        <w:rPr>
          <w:rFonts w:ascii="Arial" w:cs="Arial" w:eastAsia="Arial" w:hAnsi="Arial"/>
          <w:color w:val="374151"/>
          <w:sz w:val="21"/>
          <w:szCs w:val="21"/>
        </w:rPr>
        <w:t xml:space="preserve">AI Succession Risk Engine: attrition risk prediction per incumbent, simultaneous attrition risk (if both incumbent and Ready Now successor leave), pipeline thinness alert (no Ready Now candidate), single-point-of-failure flag</w:t>
      </w:r>
    </w:p>
    <w:p>
      <w:pPr>
        <w:pStyle w:val="ListParagraph"/>
        <w:numPr>
          <w:ilvl w:val="0"/>
          <w:numId w:val="2"/>
        </w:numPr>
        <w:spacing w:before="0" w:after="60"/>
      </w:pPr>
      <w:r>
        <w:rPr>
          <w:rFonts w:ascii="Arial" w:cs="Arial" w:eastAsia="Arial" w:hAnsi="Arial"/>
          <w:color w:val="374151"/>
          <w:sz w:val="21"/>
          <w:szCs w:val="21"/>
        </w:rPr>
        <w:t xml:space="preserve">Succession Development Plans: distinct from standard IDPs — focus on closing the skills delta to the target critical role, linked to succession timeline</w:t>
      </w:r>
    </w:p>
    <w:p>
      <w:pPr>
        <w:pStyle w:val="ListParagraph"/>
        <w:numPr>
          <w:ilvl w:val="0"/>
          <w:numId w:val="2"/>
        </w:numPr>
        <w:spacing w:before="0" w:after="60"/>
      </w:pPr>
      <w:r>
        <w:rPr>
          <w:rFonts w:ascii="Arial" w:cs="Arial" w:eastAsia="Arial" w:hAnsi="Arial"/>
          <w:color w:val="374151"/>
          <w:sz w:val="21"/>
          <w:szCs w:val="21"/>
        </w:rPr>
        <w:t xml:space="preserve">What-if modelling: simulate departure of a named individual and see the downstream impact on succession pipeline depth across the org</w:t>
      </w:r>
    </w:p>
    <w:p>
      <w:pPr>
        <w:spacing w:before="0" w:after="80"/>
      </w:pPr>
    </w:p>
    <w:p>
      <w:pPr>
        <w:pStyle w:val="Heading2"/>
        <w:spacing w:before="300" w:after="120"/>
      </w:pPr>
      <w:r>
        <w:rPr>
          <w:rFonts w:ascii="Arial" w:cs="Arial" w:eastAsia="Arial" w:hAnsi="Arial"/>
          <w:b/>
          <w:bCs/>
          <w:color w:val="1E3A6E"/>
          <w:sz w:val="30"/>
          <w:szCs w:val="30"/>
        </w:rPr>
        <w:t xml:space="preserve">4.2 Peer and Social Learning Infrastructure (Section 17)</w:t>
      </w:r>
    </w:p>
    <w:p>
      <w:pPr>
        <w:pStyle w:val="ListParagraph"/>
        <w:numPr>
          <w:ilvl w:val="0"/>
          <w:numId w:val="2"/>
        </w:numPr>
        <w:spacing w:before="0" w:after="60"/>
      </w:pPr>
      <w:r>
        <w:rPr>
          <w:rFonts w:ascii="Arial" w:cs="Arial" w:eastAsia="Arial" w:hAnsi="Arial"/>
          <w:color w:val="374151"/>
          <w:sz w:val="21"/>
          <w:szCs w:val="21"/>
        </w:rPr>
        <w:t xml:space="preserve">Internal Knowledge Network: expert directory where employees can be designated as internal subject matter experts for specific skills, searchable by all employees</w:t>
      </w:r>
    </w:p>
    <w:p>
      <w:pPr>
        <w:pStyle w:val="ListParagraph"/>
        <w:numPr>
          <w:ilvl w:val="0"/>
          <w:numId w:val="2"/>
        </w:numPr>
        <w:spacing w:before="0" w:after="60"/>
      </w:pPr>
      <w:r>
        <w:rPr>
          <w:rFonts w:ascii="Arial" w:cs="Arial" w:eastAsia="Arial" w:hAnsi="Arial"/>
          <w:color w:val="374151"/>
          <w:sz w:val="21"/>
          <w:szCs w:val="21"/>
        </w:rPr>
        <w:t xml:space="preserve">Learning Communities: Communities of Practice by skill domain or function, managed membership, discussion threads, resource libraries, event scheduling</w:t>
      </w:r>
    </w:p>
    <w:p>
      <w:pPr>
        <w:pStyle w:val="ListParagraph"/>
        <w:numPr>
          <w:ilvl w:val="0"/>
          <w:numId w:val="2"/>
        </w:numPr>
        <w:spacing w:before="0" w:after="60"/>
      </w:pPr>
      <w:r>
        <w:rPr>
          <w:rFonts w:ascii="Arial" w:cs="Arial" w:eastAsia="Arial" w:hAnsi="Arial"/>
          <w:color w:val="374151"/>
          <w:sz w:val="21"/>
          <w:szCs w:val="21"/>
        </w:rPr>
        <w:t xml:space="preserve">Cohort Learning: L&amp;D can create structured cohort programmes where a defined group progresses through content together with shared milestones</w:t>
      </w:r>
    </w:p>
    <w:p>
      <w:pPr>
        <w:pStyle w:val="ListParagraph"/>
        <w:numPr>
          <w:ilvl w:val="0"/>
          <w:numId w:val="2"/>
        </w:numPr>
        <w:spacing w:before="0" w:after="60"/>
      </w:pPr>
      <w:r>
        <w:rPr>
          <w:rFonts w:ascii="Arial" w:cs="Arial" w:eastAsia="Arial" w:hAnsi="Arial"/>
          <w:color w:val="374151"/>
          <w:sz w:val="21"/>
          <w:szCs w:val="21"/>
        </w:rPr>
        <w:t xml:space="preserve">Knowledge Capture from Experts: structured Q&amp;A sessions with internal experts recorded and indexed in the knowledge network</w:t>
      </w:r>
    </w:p>
    <w:p>
      <w:pPr>
        <w:spacing w:before="0" w:after="80"/>
      </w:pPr>
    </w:p>
    <w:p>
      <w:pPr>
        <w:pStyle w:val="Heading2"/>
        <w:spacing w:before="300" w:after="120"/>
      </w:pPr>
      <w:r>
        <w:rPr>
          <w:rFonts w:ascii="Arial" w:cs="Arial" w:eastAsia="Arial" w:hAnsi="Arial"/>
          <w:b/>
          <w:bCs/>
          <w:color w:val="1E3A6E"/>
          <w:sz w:val="30"/>
          <w:szCs w:val="30"/>
        </w:rPr>
        <w:t xml:space="preserve">4.3 Employee Wellbeing Intelligence Layer (Section 20)</w:t>
      </w:r>
    </w:p>
    <w:p>
      <w:pPr>
        <w:pStyle w:val="ListParagraph"/>
        <w:numPr>
          <w:ilvl w:val="0"/>
          <w:numId w:val="2"/>
        </w:numPr>
        <w:spacing w:before="0" w:after="60"/>
      </w:pPr>
      <w:r>
        <w:rPr>
          <w:rFonts w:ascii="Arial" w:cs="Arial" w:eastAsia="Arial" w:hAnsi="Arial"/>
          <w:color w:val="374151"/>
          <w:sz w:val="21"/>
          <w:szCs w:val="21"/>
        </w:rPr>
        <w:t xml:space="preserve">Wellbeing Signal Sources: Pulse Survey (3–5 Qs, anonymous, weekly/fortnightly) + Calendar integration (meeting load proxy) + PM tool overallocation signal + Assessment inactivity signal</w:t>
      </w:r>
    </w:p>
    <w:p>
      <w:pPr>
        <w:pStyle w:val="ListParagraph"/>
        <w:numPr>
          <w:ilvl w:val="0"/>
          <w:numId w:val="2"/>
        </w:numPr>
        <w:spacing w:before="0" w:after="60"/>
      </w:pPr>
      <w:r>
        <w:rPr>
          <w:rFonts w:ascii="Arial" w:cs="Arial" w:eastAsia="Arial" w:hAnsi="Arial"/>
          <w:color w:val="374151"/>
          <w:sz w:val="21"/>
          <w:szCs w:val="21"/>
        </w:rPr>
        <w:t xml:space="preserve">AI Wellbeing Analysis: composite Burnout Risk Score (Low/Moderate/Elevated/High) per employee · Team-level aggregation (anonymised — minimum 5 employees for team aggregate display)</w:t>
      </w:r>
    </w:p>
    <w:p>
      <w:pPr>
        <w:pStyle w:val="ListParagraph"/>
        <w:numPr>
          <w:ilvl w:val="0"/>
          <w:numId w:val="2"/>
        </w:numPr>
        <w:spacing w:before="0" w:after="60"/>
      </w:pPr>
      <w:r>
        <w:rPr>
          <w:rFonts w:ascii="Arial" w:cs="Arial" w:eastAsia="Arial" w:hAnsi="Arial"/>
          <w:color w:val="374151"/>
          <w:sz w:val="21"/>
          <w:szCs w:val="21"/>
        </w:rPr>
        <w:t xml:space="preserve">Team and Department Wellbeing Dashboard: trend view by team and department · eNPS trend · Recognition participation · Psychological safety index</w:t>
      </w:r>
    </w:p>
    <w:p>
      <w:pPr>
        <w:pStyle w:val="ListParagraph"/>
        <w:numPr>
          <w:ilvl w:val="0"/>
          <w:numId w:val="2"/>
        </w:numPr>
        <w:spacing w:before="0" w:after="60"/>
      </w:pPr>
      <w:r>
        <w:rPr>
          <w:rFonts w:ascii="Arial" w:cs="Arial" w:eastAsia="Arial" w:hAnsi="Arial"/>
          <w:color w:val="374151"/>
          <w:sz w:val="21"/>
          <w:szCs w:val="21"/>
        </w:rPr>
        <w:t xml:space="preserve">Development Capacity Adjustment: wellbeing score automatically adjusts LNI development timeline — High burnout risk triggers Conservative pace and manager notification</w:t>
      </w:r>
    </w:p>
    <w:p>
      <w:pPr>
        <w:spacing w:before="0" w:after="80"/>
      </w:pPr>
    </w:p>
    <w:p>
      <w:pPr>
        <w:pStyle w:val="Heading2"/>
        <w:spacing w:before="300" w:after="120"/>
      </w:pPr>
      <w:r>
        <w:rPr>
          <w:rFonts w:ascii="Arial" w:cs="Arial" w:eastAsia="Arial" w:hAnsi="Arial"/>
          <w:b/>
          <w:bCs/>
          <w:color w:val="1E3A6E"/>
          <w:sz w:val="30"/>
          <w:szCs w:val="30"/>
        </w:rPr>
        <w:t xml:space="preserve">4.4 Workforce Transformation Control Layer (Section 3.10)</w:t>
      </w:r>
    </w:p>
    <w:p>
      <w:pPr>
        <w:pStyle w:val="ListParagraph"/>
        <w:numPr>
          <w:ilvl w:val="0"/>
          <w:numId w:val="2"/>
        </w:numPr>
        <w:spacing w:before="0" w:after="60"/>
      </w:pPr>
      <w:r>
        <w:rPr>
          <w:rFonts w:ascii="Arial" w:cs="Arial" w:eastAsia="Arial" w:hAnsi="Arial"/>
          <w:color w:val="374151"/>
          <w:sz w:val="21"/>
          <w:szCs w:val="21"/>
        </w:rPr>
        <w:t xml:space="preserve">Transformation Dial: per-skill strategic emphasis setting from −5 (actively deprioritising) to +5 (accelerating at maximum speed) — configured in OrgSetup by HR Head</w:t>
      </w:r>
    </w:p>
    <w:p>
      <w:pPr>
        <w:pStyle w:val="ListParagraph"/>
        <w:numPr>
          <w:ilvl w:val="0"/>
          <w:numId w:val="2"/>
        </w:numPr>
        <w:spacing w:before="0" w:after="60"/>
      </w:pPr>
      <w:r>
        <w:rPr>
          <w:rFonts w:ascii="Arial" w:cs="Arial" w:eastAsia="Arial" w:hAnsi="Arial"/>
          <w:color w:val="374151"/>
          <w:sz w:val="21"/>
          <w:szCs w:val="21"/>
        </w:rPr>
        <w:t xml:space="preserve">Change governance: Transformation Dial changes require HR Head approval · Impact preview shows exactly which LNIs will be recalibrated before confirming · Staged rollout option available</w:t>
      </w:r>
    </w:p>
    <w:p>
      <w:pPr>
        <w:pStyle w:val="ListParagraph"/>
        <w:numPr>
          <w:ilvl w:val="0"/>
          <w:numId w:val="2"/>
        </w:numPr>
        <w:spacing w:before="0" w:after="60"/>
      </w:pPr>
      <w:r>
        <w:rPr>
          <w:rFonts w:ascii="Arial" w:cs="Arial" w:eastAsia="Arial" w:hAnsi="Arial"/>
          <w:color w:val="374151"/>
          <w:sz w:val="21"/>
          <w:szCs w:val="21"/>
        </w:rPr>
        <w:t xml:space="preserve">Transformation Meter: real-time progress tracking against declared Year 1, Year 2, and Year 3 transformation targets — per skill domain, per department, per business unit · Displayed in Executive Dashboard</w:t>
      </w:r>
    </w:p>
    <w:p>
      <w:pPr>
        <w:spacing w:before="0" w:after="80"/>
      </w:pPr>
    </w:p>
    <w:p>
      <w:pPr>
        <w:pStyle w:val="Heading2"/>
        <w:spacing w:before="300" w:after="120"/>
      </w:pPr>
      <w:r>
        <w:rPr>
          <w:rFonts w:ascii="Arial" w:cs="Arial" w:eastAsia="Arial" w:hAnsi="Arial"/>
          <w:b/>
          <w:bCs/>
          <w:color w:val="1E3A6E"/>
          <w:sz w:val="30"/>
          <w:szCs w:val="30"/>
        </w:rPr>
        <w:t xml:space="preserve">4.5 Skill Passport Verification for Hiring Companies (Section 23)</w:t>
      </w:r>
    </w:p>
    <w:p>
      <w:pPr>
        <w:pStyle w:val="ListParagraph"/>
        <w:numPr>
          <w:ilvl w:val="0"/>
          <w:numId w:val="2"/>
        </w:numPr>
        <w:spacing w:before="0" w:after="60"/>
      </w:pPr>
      <w:r>
        <w:rPr>
          <w:rFonts w:ascii="Arial" w:cs="Arial" w:eastAsia="Arial" w:hAnsi="Arial"/>
          <w:color w:val="374151"/>
          <w:sz w:val="21"/>
          <w:szCs w:val="21"/>
        </w:rPr>
        <w:t xml:space="preserve">4 verification tiers: T1 Self-Reported (employee declaration only) · T2 Platform-Validated (assessment-backed proficiency) · T3 Externally Certified (third-party certification on record) · T4 Work-Evidence Backed (manager-observed, work output validated)</w:t>
      </w:r>
    </w:p>
    <w:p>
      <w:pPr>
        <w:pStyle w:val="ListParagraph"/>
        <w:numPr>
          <w:ilvl w:val="0"/>
          <w:numId w:val="2"/>
        </w:numPr>
        <w:spacing w:before="0" w:after="60"/>
      </w:pPr>
      <w:r>
        <w:rPr>
          <w:rFonts w:ascii="Arial" w:cs="Arial" w:eastAsia="Arial" w:hAnsi="Arial"/>
          <w:color w:val="374151"/>
          <w:sz w:val="21"/>
          <w:szCs w:val="21"/>
        </w:rPr>
        <w:t xml:space="preserve">Employee consent and control: employees grant or revoke verification access per request · Employees see every organisation that has verified their passport</w:t>
      </w:r>
    </w:p>
    <w:p>
      <w:pPr>
        <w:pStyle w:val="ListParagraph"/>
        <w:numPr>
          <w:ilvl w:val="0"/>
          <w:numId w:val="2"/>
        </w:numPr>
        <w:spacing w:before="0" w:after="60"/>
      </w:pPr>
      <w:r>
        <w:rPr>
          <w:rFonts w:ascii="Arial" w:cs="Arial" w:eastAsia="Arial" w:hAnsi="Arial"/>
          <w:color w:val="374151"/>
          <w:sz w:val="21"/>
          <w:szCs w:val="21"/>
        </w:rPr>
        <w:t xml:space="preserve">Hiring Company Portal: search by skill, proficiency level, and certification · Pay-per-verify or subscription model · API integration with ATS systems (Workday Recruiting, Greenhouse, Lever)</w:t>
      </w:r>
    </w:p>
    <w:p>
      <w:pPr>
        <w:spacing w:before="0" w:after="80"/>
      </w:pPr>
    </w:p>
    <w:p>
      <w:pPr>
        <w:pStyle w:val="Heading2"/>
        <w:spacing w:before="300" w:after="120"/>
      </w:pPr>
      <w:r>
        <w:rPr>
          <w:rFonts w:ascii="Arial" w:cs="Arial" w:eastAsia="Arial" w:hAnsi="Arial"/>
          <w:b/>
          <w:bCs/>
          <w:color w:val="1E3A6E"/>
          <w:sz w:val="30"/>
          <w:szCs w:val="30"/>
        </w:rPr>
        <w:t xml:space="preserve">4.6 Public API and Developer Portal (Section 21)</w:t>
      </w:r>
    </w:p>
    <w:p>
      <w:pPr>
        <w:pStyle w:val="ListParagraph"/>
        <w:numPr>
          <w:ilvl w:val="0"/>
          <w:numId w:val="2"/>
        </w:numPr>
        <w:spacing w:before="0" w:after="60"/>
      </w:pPr>
      <w:r>
        <w:rPr>
          <w:rFonts w:ascii="Arial" w:cs="Arial" w:eastAsia="Arial" w:hAnsi="Arial"/>
          <w:color w:val="374151"/>
          <w:sz w:val="21"/>
          <w:szCs w:val="21"/>
        </w:rPr>
        <w:t xml:space="preserve">REST API: read/write access to skills data, assessment results, learning paths, and SkillPassport data (with employee consent) · Webhook support for real-time event notification</w:t>
      </w:r>
    </w:p>
    <w:p>
      <w:pPr>
        <w:pStyle w:val="ListParagraph"/>
        <w:numPr>
          <w:ilvl w:val="0"/>
          <w:numId w:val="2"/>
        </w:numPr>
        <w:spacing w:before="0" w:after="60"/>
      </w:pPr>
      <w:r>
        <w:rPr>
          <w:rFonts w:ascii="Arial" w:cs="Arial" w:eastAsia="Arial" w:hAnsi="Arial"/>
          <w:color w:val="374151"/>
          <w:sz w:val="21"/>
          <w:szCs w:val="21"/>
        </w:rPr>
        <w:t xml:space="preserve">Developer Portal: API documentation, authentication guide, SDK (Node.js, Python), sandbox environment with NovaTech test data, rate limits by tier</w:t>
      </w:r>
    </w:p>
    <w:p>
      <w:pPr>
        <w:pStyle w:val="ListParagraph"/>
        <w:numPr>
          <w:ilvl w:val="0"/>
          <w:numId w:val="2"/>
        </w:numPr>
        <w:spacing w:before="0" w:after="60"/>
      </w:pPr>
      <w:r>
        <w:rPr>
          <w:rFonts w:ascii="Arial" w:cs="Arial" w:eastAsia="Arial" w:hAnsi="Arial"/>
          <w:color w:val="374151"/>
          <w:sz w:val="21"/>
          <w:szCs w:val="21"/>
        </w:rPr>
        <w:t xml:space="preserve">API Revenue Tiers: Free (100 calls/day, read-only) · Professional (10,000 calls/day, read/write) · Enterprise (unlimited, custom SLA, dedicated support)</w:t>
      </w:r>
    </w:p>
    <w:p>
      <w:pPr>
        <w:spacing w:before="0" w:after="80"/>
      </w:pPr>
    </w:p>
    <w:p>
      <w:pPr>
        <w:pStyle w:val="Heading2"/>
        <w:spacing w:before="300" w:after="120"/>
      </w:pPr>
      <w:r>
        <w:rPr>
          <w:rFonts w:ascii="Arial" w:cs="Arial" w:eastAsia="Arial" w:hAnsi="Arial"/>
          <w:b/>
          <w:bCs/>
          <w:color w:val="1E3A6E"/>
          <w:sz w:val="30"/>
          <w:szCs w:val="30"/>
        </w:rPr>
        <w:t xml:space="preserve">4.7 Freemium and Conversion Engine (Section 22)</w:t>
      </w:r>
    </w:p>
    <w:p>
      <w:pPr>
        <w:pStyle w:val="ListParagraph"/>
        <w:numPr>
          <w:ilvl w:val="0"/>
          <w:numId w:val="2"/>
        </w:numPr>
        <w:spacing w:before="0" w:after="60"/>
      </w:pPr>
      <w:r>
        <w:rPr>
          <w:rFonts w:ascii="Arial" w:cs="Arial" w:eastAsia="Arial" w:hAnsi="Arial"/>
          <w:color w:val="374151"/>
          <w:sz w:val="21"/>
          <w:szCs w:val="21"/>
        </w:rPr>
        <w:t xml:space="preserve">Edstellar Lite (Free Tier): up to 30 employees, L1 only (OrgSetup + DataPort + SkillForge — 3-prompt pipeline, not 7), basic dashboard (no persona views), standard Skill Passports</w:t>
      </w:r>
    </w:p>
    <w:p>
      <w:pPr>
        <w:pStyle w:val="ListParagraph"/>
        <w:numPr>
          <w:ilvl w:val="0"/>
          <w:numId w:val="2"/>
        </w:numPr>
        <w:spacing w:before="0" w:after="60"/>
      </w:pPr>
      <w:r>
        <w:rPr>
          <w:rFonts w:ascii="Arial" w:cs="Arial" w:eastAsia="Arial" w:hAnsi="Arial"/>
          <w:color w:val="374151"/>
          <w:sz w:val="21"/>
          <w:szCs w:val="21"/>
        </w:rPr>
        <w:t xml:space="preserve">Conversion mechanics: L2 features visible but locked with 'Upgrade to unlock' messaging · ROI calculator showing potential impact · Time-limited trial of L2 with 10 employees</w:t>
      </w:r>
    </w:p>
    <w:p>
      <w:pPr>
        <w:pStyle w:val="ListParagraph"/>
        <w:numPr>
          <w:ilvl w:val="0"/>
          <w:numId w:val="2"/>
        </w:numPr>
        <w:spacing w:before="0" w:after="60"/>
      </w:pPr>
      <w:r>
        <w:rPr>
          <w:rFonts w:ascii="Arial" w:cs="Arial" w:eastAsia="Arial" w:hAnsi="Arial"/>
          <w:color w:val="374151"/>
          <w:sz w:val="21"/>
          <w:szCs w:val="21"/>
        </w:rPr>
        <w:t xml:space="preserve">Upgrade flow: in-product plan selection → payment integration → instant L2 gate unlock</w:t>
      </w:r>
    </w:p>
    <w:p>
      <w:pPr>
        <w:spacing w:before="0" w:after="80"/>
      </w:pPr>
    </w:p>
    <w:p>
      <w:pPr>
        <w:pStyle w:val="Heading2"/>
        <w:spacing w:before="300" w:after="120"/>
      </w:pPr>
      <w:r>
        <w:rPr>
          <w:rFonts w:ascii="Arial" w:cs="Arial" w:eastAsia="Arial" w:hAnsi="Arial"/>
          <w:b/>
          <w:bCs/>
          <w:color w:val="1E3A6E"/>
          <w:sz w:val="30"/>
          <w:szCs w:val="30"/>
        </w:rPr>
        <w:t xml:space="preserve">4.8 Anonymised Cross-Organisation Benchmarking (Section 25)</w:t>
      </w:r>
    </w:p>
    <w:p>
      <w:pPr>
        <w:pStyle w:val="ListParagraph"/>
        <w:numPr>
          <w:ilvl w:val="0"/>
          <w:numId w:val="2"/>
        </w:numPr>
        <w:spacing w:before="0" w:after="60"/>
      </w:pPr>
      <w:r>
        <w:rPr>
          <w:rFonts w:ascii="Arial" w:cs="Arial" w:eastAsia="Arial" w:hAnsi="Arial"/>
          <w:color w:val="374151"/>
          <w:sz w:val="21"/>
          <w:szCs w:val="21"/>
        </w:rPr>
        <w:t xml:space="preserve">Data principles: anonymised, aggregated, minimum 5 organisations per benchmark cell before data shown, organisations can opt out per skill domain</w:t>
      </w:r>
    </w:p>
    <w:p>
      <w:pPr>
        <w:pStyle w:val="ListParagraph"/>
        <w:numPr>
          <w:ilvl w:val="0"/>
          <w:numId w:val="2"/>
        </w:numPr>
        <w:spacing w:before="0" w:after="60"/>
      </w:pPr>
      <w:r>
        <w:rPr>
          <w:rFonts w:ascii="Arial" w:cs="Arial" w:eastAsia="Arial" w:hAnsi="Arial"/>
          <w:color w:val="374151"/>
          <w:sz w:val="21"/>
          <w:szCs w:val="21"/>
        </w:rPr>
        <w:t xml:space="preserve">6 benchmark dimensions: skill proficiency distribution by industry · gap prevalence by role family · learning intervention effectiveness by modality · time-to-proficiency by skill category · assessment participation rate · certification coverage by function</w:t>
      </w:r>
    </w:p>
    <w:p>
      <w:pPr>
        <w:pStyle w:val="ListParagraph"/>
        <w:numPr>
          <w:ilvl w:val="0"/>
          <w:numId w:val="2"/>
        </w:numPr>
        <w:spacing w:before="0" w:after="60"/>
      </w:pPr>
      <w:r>
        <w:rPr>
          <w:rFonts w:ascii="Arial" w:cs="Arial" w:eastAsia="Arial" w:hAnsi="Arial"/>
          <w:color w:val="374151"/>
          <w:sz w:val="21"/>
          <w:szCs w:val="21"/>
        </w:rPr>
        <w:t xml:space="preserve">Benchmarking revenue: premium subscription for access · standalone industry benchmark reports purchasable by non-SIP clients</w:t>
      </w:r>
    </w:p>
    <w:p>
      <w:pPr>
        <w:spacing w:before="0" w:after="80"/>
      </w:pPr>
    </w:p>
    <w:p>
      <w:pPr>
        <w:pStyle w:val="Heading2"/>
        <w:spacing w:before="300" w:after="120"/>
      </w:pPr>
      <w:r>
        <w:rPr>
          <w:rFonts w:ascii="Arial" w:cs="Arial" w:eastAsia="Arial" w:hAnsi="Arial"/>
          <w:b/>
          <w:bCs/>
          <w:color w:val="1E3A6E"/>
          <w:sz w:val="30"/>
          <w:szCs w:val="30"/>
        </w:rPr>
        <w:t xml:space="preserve">4.9 Audit Intelligence Layer (Section 11)</w:t>
      </w:r>
    </w:p>
    <w:p>
      <w:pPr>
        <w:pStyle w:val="ListParagraph"/>
        <w:numPr>
          <w:ilvl w:val="0"/>
          <w:numId w:val="2"/>
        </w:numPr>
        <w:spacing w:before="0" w:after="60"/>
      </w:pPr>
      <w:r>
        <w:rPr>
          <w:rFonts w:ascii="Arial" w:cs="Arial" w:eastAsia="Arial" w:hAnsi="Arial"/>
          <w:color w:val="374151"/>
          <w:sz w:val="21"/>
          <w:szCs w:val="21"/>
        </w:rPr>
        <w:t xml:space="preserve">Auditor access role: read-only, scoped to audit trail, evidence packages, and compliance dashboard — cannot view individual employee assessment responses or personal data</w:t>
      </w:r>
    </w:p>
    <w:p>
      <w:pPr>
        <w:pStyle w:val="ListParagraph"/>
        <w:numPr>
          <w:ilvl w:val="0"/>
          <w:numId w:val="2"/>
        </w:numPr>
        <w:spacing w:before="0" w:after="60"/>
      </w:pPr>
      <w:r>
        <w:rPr>
          <w:rFonts w:ascii="Arial" w:cs="Arial" w:eastAsia="Arial" w:hAnsi="Arial"/>
          <w:color w:val="374151"/>
          <w:sz w:val="21"/>
          <w:szCs w:val="21"/>
        </w:rPr>
        <w:t xml:space="preserve">Compliance Evidence Package Builder: 8 pre-built package types — L&amp;D Audit, ISO 9001/27001 readiness, SEBI, IRDAI, RBI, Internal HR audit, Board governance, Custom. Each package auto-populates with relevant data on demand.</w:t>
      </w:r>
    </w:p>
    <w:p>
      <w:pPr>
        <w:pStyle w:val="ListParagraph"/>
        <w:numPr>
          <w:ilvl w:val="0"/>
          <w:numId w:val="2"/>
        </w:numPr>
        <w:spacing w:before="0" w:after="60"/>
      </w:pPr>
      <w:r>
        <w:rPr>
          <w:rFonts w:ascii="Arial" w:cs="Arial" w:eastAsia="Arial" w:hAnsi="Arial"/>
          <w:color w:val="374151"/>
          <w:sz w:val="21"/>
          <w:szCs w:val="21"/>
        </w:rPr>
        <w:t xml:space="preserve">Continuous Audit Readiness Dashboard: real-time view of compliance coverage, expiry timeline, at-risk populations, and open action items</w:t>
      </w:r>
    </w:p>
    <w:p>
      <w:pPr>
        <w:pStyle w:val="ListParagraph"/>
        <w:numPr>
          <w:ilvl w:val="0"/>
          <w:numId w:val="2"/>
        </w:numPr>
        <w:spacing w:before="0" w:after="60"/>
      </w:pPr>
      <w:r>
        <w:rPr>
          <w:rFonts w:ascii="Arial" w:cs="Arial" w:eastAsia="Arial" w:hAnsi="Arial"/>
          <w:color w:val="374151"/>
          <w:sz w:val="21"/>
          <w:szCs w:val="21"/>
        </w:rPr>
        <w:t xml:space="preserve">Pre-Audit Preparation Mode: generates gap list of evidence not yet collected, assigns responsibility, tracks completion before audit date</w:t>
      </w:r>
    </w:p>
    <w:p>
      <w:pPr>
        <w:spacing w:before="0" w:after="80"/>
      </w:pPr>
    </w:p>
    <w:p>
      <w:pPr>
        <w:pStyle w:val="Heading2"/>
        <w:spacing w:before="300" w:after="120"/>
      </w:pPr>
      <w:r>
        <w:rPr>
          <w:rFonts w:ascii="Arial" w:cs="Arial" w:eastAsia="Arial" w:hAnsi="Arial"/>
          <w:b/>
          <w:bCs/>
          <w:color w:val="1E3A6E"/>
          <w:sz w:val="30"/>
          <w:szCs w:val="30"/>
        </w:rPr>
        <w:t xml:space="preserve">4.10 Assessment Content Marketplace (Section 24)</w:t>
      </w:r>
    </w:p>
    <w:p>
      <w:pPr>
        <w:pStyle w:val="ListParagraph"/>
        <w:numPr>
          <w:ilvl w:val="0"/>
          <w:numId w:val="2"/>
        </w:numPr>
        <w:spacing w:before="0" w:after="60"/>
      </w:pPr>
      <w:r>
        <w:rPr>
          <w:rFonts w:ascii="Arial" w:cs="Arial" w:eastAsia="Arial" w:hAnsi="Arial"/>
          <w:color w:val="374151"/>
          <w:sz w:val="21"/>
          <w:szCs w:val="21"/>
        </w:rPr>
        <w:t xml:space="preserve">Content types: assessment question banks, psychometric instruments (where licensing allows), skills test scenarios, knowledge test templates, survey templates</w:t>
      </w:r>
    </w:p>
    <w:p>
      <w:pPr>
        <w:pStyle w:val="ListParagraph"/>
        <w:numPr>
          <w:ilvl w:val="0"/>
          <w:numId w:val="2"/>
        </w:numPr>
        <w:spacing w:before="0" w:after="60"/>
      </w:pPr>
      <w:r>
        <w:rPr>
          <w:rFonts w:ascii="Arial" w:cs="Arial" w:eastAsia="Arial" w:hAnsi="Arial"/>
          <w:color w:val="374151"/>
          <w:sz w:val="21"/>
          <w:szCs w:val="21"/>
        </w:rPr>
        <w:t xml:space="preserve">Publishing: organisations can publish content they have created, with pricing, usage terms, and preview</w:t>
      </w:r>
    </w:p>
    <w:p>
      <w:pPr>
        <w:pStyle w:val="ListParagraph"/>
        <w:numPr>
          <w:ilvl w:val="0"/>
          <w:numId w:val="2"/>
        </w:numPr>
        <w:spacing w:before="0" w:after="60"/>
      </w:pPr>
      <w:r>
        <w:rPr>
          <w:rFonts w:ascii="Arial" w:cs="Arial" w:eastAsia="Arial" w:hAnsi="Arial"/>
          <w:color w:val="374151"/>
          <w:sz w:val="21"/>
          <w:szCs w:val="21"/>
        </w:rPr>
        <w:t xml:space="preserve">Buying: search by skill, assessment category, industry, and rating · one-click import into AssessEngine question bank</w:t>
      </w:r>
    </w:p>
    <w:p>
      <w:pPr>
        <w:spacing w:before="0" w:after="80"/>
      </w:pPr>
    </w:p>
    <w:p>
      <w:pPr>
        <w:pStyle w:val="Heading2"/>
        <w:spacing w:before="300" w:after="120"/>
      </w:pPr>
      <w:r>
        <w:rPr>
          <w:rFonts w:ascii="Arial" w:cs="Arial" w:eastAsia="Arial" w:hAnsi="Arial"/>
          <w:b/>
          <w:bCs/>
          <w:color w:val="1E3A6E"/>
          <w:sz w:val="30"/>
          <w:szCs w:val="30"/>
        </w:rPr>
        <w:t xml:space="preserve">4.11 Localisation and Market Entry (Section 26)</w:t>
      </w:r>
    </w:p>
    <w:p>
      <w:pPr>
        <w:pStyle w:val="ListParagraph"/>
        <w:numPr>
          <w:ilvl w:val="0"/>
          <w:numId w:val="2"/>
        </w:numPr>
        <w:spacing w:before="0" w:after="60"/>
      </w:pPr>
      <w:r>
        <w:rPr>
          <w:rFonts w:ascii="Arial" w:cs="Arial" w:eastAsia="Arial" w:hAnsi="Arial"/>
          <w:color w:val="374151"/>
          <w:sz w:val="21"/>
          <w:szCs w:val="21"/>
        </w:rPr>
        <w:t xml:space="preserve">8 priority markets: India, UAE, UK, USA, Singapore, Australia, Saudi Arabia, Germany</w:t>
      </w:r>
    </w:p>
    <w:p>
      <w:pPr>
        <w:pStyle w:val="ListParagraph"/>
        <w:numPr>
          <w:ilvl w:val="0"/>
          <w:numId w:val="2"/>
        </w:numPr>
        <w:spacing w:before="0" w:after="60"/>
      </w:pPr>
      <w:r>
        <w:rPr>
          <w:rFonts w:ascii="Arial" w:cs="Arial" w:eastAsia="Arial" w:hAnsi="Arial"/>
          <w:color w:val="374151"/>
          <w:sz w:val="21"/>
          <w:szCs w:val="21"/>
        </w:rPr>
        <w:t xml:space="preserve">Language and interface localisation: RTL support for Arabic, date/number format, timezone management</w:t>
      </w:r>
    </w:p>
    <w:p>
      <w:pPr>
        <w:pStyle w:val="ListParagraph"/>
        <w:numPr>
          <w:ilvl w:val="0"/>
          <w:numId w:val="2"/>
        </w:numPr>
        <w:spacing w:before="0" w:after="60"/>
      </w:pPr>
      <w:r>
        <w:rPr>
          <w:rFonts w:ascii="Arial" w:cs="Arial" w:eastAsia="Arial" w:hAnsi="Arial"/>
          <w:color w:val="374151"/>
          <w:sz w:val="21"/>
          <w:szCs w:val="21"/>
        </w:rPr>
        <w:t xml:space="preserve">Regulatory localisation: Works Council documentation (Germany), EEOC assessment review (USA), GDPR compliance (EU), DPDP compliance (India)</w:t>
      </w:r>
    </w:p>
    <w:p>
      <w:pPr>
        <w:pStyle w:val="ListParagraph"/>
        <w:numPr>
          <w:ilvl w:val="0"/>
          <w:numId w:val="2"/>
        </w:numPr>
        <w:spacing w:before="0" w:after="60"/>
      </w:pPr>
      <w:r>
        <w:rPr>
          <w:rFonts w:ascii="Arial" w:cs="Arial" w:eastAsia="Arial" w:hAnsi="Arial"/>
          <w:color w:val="374151"/>
          <w:sz w:val="21"/>
          <w:szCs w:val="21"/>
        </w:rPr>
        <w:t xml:space="preserve">Cultural calibration: behavioural competency indicators reviewed for cultural bias, assessment scenarios localised for market context</w:t>
      </w:r>
    </w:p>
    <w:p>
      <w:pPr>
        <w:spacing w:before="0" w:after="120"/>
      </w:pPr>
    </w:p>
    <w:p>
      <w:pPr>
        <w:pageBreakBefore/>
      </w:pPr>
      <w:r>
        <w:t xml:space="preserve"/>
      </w:r>
    </w:p>
    <w:p>
      <w:pPr>
        <w:pStyle w:val="Heading1"/>
        <w:spacing w:before="400" w:after="160"/>
      </w:pPr>
      <w:r>
        <w:rPr>
          <w:rFonts w:ascii="Arial" w:cs="Arial" w:eastAsia="Arial" w:hAnsi="Arial"/>
          <w:b/>
          <w:bCs/>
          <w:color w:val="1E3A6E"/>
          <w:sz w:val="40"/>
          <w:szCs w:val="40"/>
        </w:rPr>
        <w:t xml:space="preserve">5. Marketplace Ecosystem</w:t>
      </w:r>
    </w:p>
    <w:p>
      <w:pPr>
        <w:spacing w:before="0" w:after="100"/>
        <w:jc w:val="left"/>
      </w:pPr>
      <w:r>
        <w:rPr>
          <w:rFonts w:ascii="Arial" w:cs="Arial" w:eastAsia="Arial" w:hAnsi="Arial"/>
          <w:b w:val="false"/>
          <w:bCs w:val="false"/>
          <w:i w:val="false"/>
          <w:iCs w:val="false"/>
          <w:color w:val="374151"/>
          <w:sz w:val="22"/>
          <w:szCs w:val="22"/>
        </w:rPr>
        <w:t xml:space="preserve">The Marketplace Ecosystem is four interconnected platforms forming a three-sided marketplace — Edstellar's Skills Intelligence Platform generates gap intelligence that creates commercial demand, fulfilled by trainers, coaches, and training vendors through dedicated platforms. All transactions are intermediated by Edstellar.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16A34A" w:sz="14"/>
              <w:bottom w:val="single" w:color="16A34A" w:sz="4"/>
              <w:right w:val="single" w:color="16A34A" w:sz="4"/>
            </w:tcBorders>
            <w:shd w:fill="F0FDF4" w:val="clear"/>
            <w:tcMar>
              <w:top w:type="dxa" w:w="120"/>
              <w:left w:type="dxa" w:w="180"/>
              <w:bottom w:type="dxa" w:w="120"/>
              <w:right w:type="dxa" w:w="160"/>
            </w:tcMar>
          </w:tcPr>
          <w:p>
            <w:pPr>
              <w:spacing w:before="0" w:after="60"/>
            </w:pPr>
            <w:r>
              <w:rPr>
                <w:rFonts w:ascii="Arial" w:cs="Arial" w:eastAsia="Arial" w:hAnsi="Arial"/>
                <w:b/>
                <w:bCs/>
                <w:color w:val="052E16"/>
                <w:sz w:val="22"/>
                <w:szCs w:val="22"/>
              </w:rPr>
              <w:t xml:space="preserve">THE FLYWHEEL</w:t>
            </w:r>
          </w:p>
          <w:p>
            <w:pPr>
              <w:spacing w:before="0" w:after="0"/>
            </w:pPr>
            <w:r>
              <w:rPr>
                <w:rFonts w:ascii="Arial" w:cs="Arial" w:eastAsia="Arial" w:hAnsi="Arial"/>
                <w:color w:val="374151"/>
                <w:sz w:val="20"/>
                <w:szCs w:val="20"/>
              </w:rPr>
              <w:t xml:space="preserve">Gap brief from TNA → Trainer/Vendor matched and briefed → Training delivered → Kirkpatrick measurement data collected → Data improves AI Content Outline model → Better briefs → Better training → Better gap closure → Stronger skills intelligence → More commercial opportunities. The flywheel self-reinforces with every cycle.</w:t>
            </w:r>
          </w:p>
        </w:tc>
      </w:tr>
    </w:tbl>
    <w:p>
      <w:pPr>
        <w:spacing w:before="0" w:after="120"/>
      </w:pPr>
    </w:p>
    <w:p>
      <w:pPr>
        <w:pStyle w:val="Heading2"/>
        <w:spacing w:before="300" w:after="120"/>
      </w:pPr>
      <w:r>
        <w:rPr>
          <w:rFonts w:ascii="Arial" w:cs="Arial" w:eastAsia="Arial" w:hAnsi="Arial"/>
          <w:b/>
          <w:bCs/>
          <w:color w:val="1E3A6E"/>
          <w:sz w:val="30"/>
          <w:szCs w:val="30"/>
        </w:rPr>
        <w:t xml:space="preserve">5.1 Platform 1: Skills Intelligence Platform</w:t>
      </w:r>
    </w:p>
    <w:p>
      <w:pPr>
        <w:spacing w:before="0" w:after="100"/>
        <w:jc w:val="left"/>
      </w:pPr>
      <w:r>
        <w:rPr>
          <w:rFonts w:ascii="Arial" w:cs="Arial" w:eastAsia="Arial" w:hAnsi="Arial"/>
          <w:b w:val="false"/>
          <w:bCs w:val="false"/>
          <w:i w:val="false"/>
          <w:iCs w:val="false"/>
          <w:color w:val="374151"/>
          <w:sz w:val="22"/>
          <w:szCs w:val="22"/>
        </w:rPr>
        <w:t xml:space="preserve">The core platform described in this BRD. Generates all gap intelligence, LNA/TNA outputs, and AI Content Outlines that flow into the marketplace. Also serves as the client organisation's L&amp;D management layer for all vendor-delivered training.</w:t>
      </w:r>
    </w:p>
    <w:p>
      <w:pPr>
        <w:spacing w:before="0" w:after="80"/>
      </w:pPr>
    </w:p>
    <w:p>
      <w:pPr>
        <w:pStyle w:val="Heading2"/>
        <w:spacing w:before="300" w:after="120"/>
      </w:pPr>
      <w:r>
        <w:rPr>
          <w:rFonts w:ascii="Arial" w:cs="Arial" w:eastAsia="Arial" w:hAnsi="Arial"/>
          <w:b/>
          <w:bCs/>
          <w:color w:val="1E3A6E"/>
          <w:sz w:val="30"/>
          <w:szCs w:val="30"/>
        </w:rPr>
        <w:t xml:space="preserve">5.2 Platform 2: Trainer and Coach Platform</w:t>
      </w:r>
    </w:p>
    <w:p>
      <w:pPr>
        <w:pStyle w:val="ListParagraph"/>
        <w:numPr>
          <w:ilvl w:val="0"/>
          <w:numId w:val="2"/>
        </w:numPr>
        <w:spacing w:before="0" w:after="60"/>
      </w:pPr>
      <w:r>
        <w:rPr>
          <w:rFonts w:ascii="Arial" w:cs="Arial" w:eastAsia="Arial" w:hAnsi="Arial"/>
          <w:color w:val="374151"/>
          <w:sz w:val="21"/>
          <w:szCs w:val="21"/>
        </w:rPr>
        <w:t xml:space="preserve">Profile: display name, professional headline, topic areas (from SIP taxonomy), delivery formats, geographies, languages, rates, accreditations (ICF ACC/PCC/MCC, EMCC), coaching methodology, programme portfolio, client categories</w:t>
      </w:r>
    </w:p>
    <w:p>
      <w:pPr>
        <w:pStyle w:val="ListParagraph"/>
        <w:numPr>
          <w:ilvl w:val="0"/>
          <w:numId w:val="2"/>
        </w:numPr>
        <w:spacing w:before="0" w:after="60"/>
      </w:pPr>
      <w:r>
        <w:rPr>
          <w:rFonts w:ascii="Arial" w:cs="Arial" w:eastAsia="Arial" w:hAnsi="Arial"/>
          <w:color w:val="374151"/>
          <w:sz w:val="21"/>
          <w:szCs w:val="21"/>
        </w:rPr>
        <w:t xml:space="preserve">Discovery: public teaser visible without credits · Full profile unlocked with credits · Internal trainer registry surfaced first before external</w:t>
      </w:r>
    </w:p>
    <w:p>
      <w:pPr>
        <w:pStyle w:val="ListParagraph"/>
        <w:numPr>
          <w:ilvl w:val="0"/>
          <w:numId w:val="2"/>
        </w:numPr>
        <w:spacing w:before="0" w:after="60"/>
      </w:pPr>
      <w:r>
        <w:rPr>
          <w:rFonts w:ascii="Arial" w:cs="Arial" w:eastAsia="Arial" w:hAnsi="Arial"/>
          <w:color w:val="374151"/>
          <w:sz w:val="21"/>
          <w:szCs w:val="21"/>
        </w:rPr>
        <w:t xml:space="preserve">AI Matching: skill-gap-matched trainer/coach discovery — gap brief from TNA fed into matching algorithm alongside trainer topic expertise, effectiveness ratings, and availability</w:t>
      </w:r>
    </w:p>
    <w:p>
      <w:pPr>
        <w:pStyle w:val="ListParagraph"/>
        <w:numPr>
          <w:ilvl w:val="0"/>
          <w:numId w:val="2"/>
        </w:numPr>
        <w:spacing w:before="0" w:after="60"/>
      </w:pPr>
      <w:r>
        <w:rPr>
          <w:rFonts w:ascii="Arial" w:cs="Arial" w:eastAsia="Arial" w:hAnsi="Arial"/>
          <w:color w:val="374151"/>
          <w:sz w:val="21"/>
          <w:szCs w:val="21"/>
        </w:rPr>
        <w:t xml:space="preserve">Booking: platform-mediated booking workflow, escrow payment, contract generation, dispute resolution, 10% commission to Edstellar</w:t>
      </w:r>
    </w:p>
    <w:p>
      <w:pPr>
        <w:pStyle w:val="ListParagraph"/>
        <w:numPr>
          <w:ilvl w:val="0"/>
          <w:numId w:val="2"/>
        </w:numPr>
        <w:spacing w:before="0" w:after="60"/>
      </w:pPr>
      <w:r>
        <w:rPr>
          <w:rFonts w:ascii="Arial" w:cs="Arial" w:eastAsia="Arial" w:hAnsi="Arial"/>
          <w:color w:val="374151"/>
          <w:sz w:val="21"/>
          <w:szCs w:val="21"/>
        </w:rPr>
        <w:t xml:space="preserve">Content outline delivery: AI Content Outline sent to trainer as briefing document on booking confirmation — replaces manual scoping call</w:t>
      </w:r>
    </w:p>
    <w:p>
      <w:pPr>
        <w:pStyle w:val="ListParagraph"/>
        <w:numPr>
          <w:ilvl w:val="0"/>
          <w:numId w:val="2"/>
        </w:numPr>
        <w:spacing w:before="0" w:after="60"/>
      </w:pPr>
      <w:r>
        <w:rPr>
          <w:rFonts w:ascii="Arial" w:cs="Arial" w:eastAsia="Arial" w:hAnsi="Arial"/>
          <w:color w:val="374151"/>
          <w:sz w:val="21"/>
          <w:szCs w:val="21"/>
        </w:rPr>
        <w:t xml:space="preserve">Effectiveness loop: post-training Kirkpatrick L3 scores and learner ratings feed back into trainer matching model</w:t>
      </w:r>
    </w:p>
    <w:p>
      <w:pPr>
        <w:pStyle w:val="ListParagraph"/>
        <w:numPr>
          <w:ilvl w:val="0"/>
          <w:numId w:val="2"/>
        </w:numPr>
        <w:spacing w:before="0" w:after="60"/>
      </w:pPr>
      <w:r>
        <w:rPr>
          <w:rFonts w:ascii="Arial" w:cs="Arial" w:eastAsia="Arial" w:hAnsi="Arial"/>
          <w:color w:val="374151"/>
          <w:sz w:val="21"/>
          <w:szCs w:val="21"/>
        </w:rPr>
        <w:t xml:space="preserve">For coaches specifically: ICF/EMCC accreditation verification · Coaching methodology matching (GROW, Co-Active, Narrative, Systemic, Solutions-Focused) · Niche specialisation (leadership, career, performance, executive, team coaching)</w:t>
      </w:r>
    </w:p>
    <w:p>
      <w:pPr>
        <w:spacing w:before="0" w:after="80"/>
      </w:pPr>
    </w:p>
    <w:p>
      <w:pPr>
        <w:pStyle w:val="Heading2"/>
        <w:spacing w:before="300" w:after="120"/>
      </w:pPr>
      <w:r>
        <w:rPr>
          <w:rFonts w:ascii="Arial" w:cs="Arial" w:eastAsia="Arial" w:hAnsi="Arial"/>
          <w:b/>
          <w:bCs/>
          <w:color w:val="1E3A6E"/>
          <w:sz w:val="30"/>
          <w:szCs w:val="30"/>
        </w:rPr>
        <w:t xml:space="preserve">5.3 Platform 3: Training Vendor Platform</w:t>
      </w:r>
    </w:p>
    <w:p>
      <w:pPr>
        <w:pStyle w:val="ListParagraph"/>
        <w:numPr>
          <w:ilvl w:val="0"/>
          <w:numId w:val="2"/>
        </w:numPr>
        <w:spacing w:before="0" w:after="60"/>
      </w:pPr>
      <w:r>
        <w:rPr>
          <w:rFonts w:ascii="Arial" w:cs="Arial" w:eastAsia="Arial" w:hAnsi="Arial"/>
          <w:color w:val="374151"/>
          <w:sz w:val="21"/>
          <w:szCs w:val="21"/>
        </w:rPr>
        <w:t xml:space="preserve">Gap brief flow: TNA gap brief → structured RFP issued to matched training vendors · 3-proposal procurement compliance support with audit trail</w:t>
      </w:r>
    </w:p>
    <w:p>
      <w:pPr>
        <w:pStyle w:val="ListParagraph"/>
        <w:numPr>
          <w:ilvl w:val="0"/>
          <w:numId w:val="2"/>
        </w:numPr>
        <w:spacing w:before="0" w:after="60"/>
      </w:pPr>
      <w:r>
        <w:rPr>
          <w:rFonts w:ascii="Arial" w:cs="Arial" w:eastAsia="Arial" w:hAnsi="Arial"/>
          <w:color w:val="374151"/>
          <w:sz w:val="21"/>
          <w:szCs w:val="21"/>
        </w:rPr>
        <w:t xml:space="preserve">AI proposal comparison: best match, outcome commitment analysis, red flag detection, structured comparison report to L&amp;D Manager</w:t>
      </w:r>
    </w:p>
    <w:p>
      <w:pPr>
        <w:pStyle w:val="ListParagraph"/>
        <w:numPr>
          <w:ilvl w:val="0"/>
          <w:numId w:val="2"/>
        </w:numPr>
        <w:spacing w:before="0" w:after="60"/>
      </w:pPr>
      <w:r>
        <w:rPr>
          <w:rFonts w:ascii="Arial" w:cs="Arial" w:eastAsia="Arial" w:hAnsi="Arial"/>
          <w:color w:val="374151"/>
          <w:sz w:val="21"/>
          <w:szCs w:val="21"/>
        </w:rPr>
        <w:t xml:space="preserve">Edstellar positioning: Edstellar is listed as a vendor alongside all others — wins on proposal quality alone, not preferential routing</w:t>
      </w:r>
    </w:p>
    <w:p>
      <w:pPr>
        <w:pStyle w:val="ListParagraph"/>
        <w:numPr>
          <w:ilvl w:val="0"/>
          <w:numId w:val="2"/>
        </w:numPr>
        <w:spacing w:before="0" w:after="60"/>
      </w:pPr>
      <w:r>
        <w:rPr>
          <w:rFonts w:ascii="Arial" w:cs="Arial" w:eastAsia="Arial" w:hAnsi="Arial"/>
          <w:color w:val="374151"/>
          <w:sz w:val="21"/>
          <w:szCs w:val="21"/>
        </w:rPr>
        <w:t xml:space="preserve">Vendor ecosystem: training companies use Trainer Platform to source delivery talent for client engagements</w:t>
      </w:r>
    </w:p>
    <w:p>
      <w:pPr>
        <w:pStyle w:val="ListParagraph"/>
        <w:numPr>
          <w:ilvl w:val="0"/>
          <w:numId w:val="2"/>
        </w:numPr>
        <w:spacing w:before="0" w:after="60"/>
      </w:pPr>
      <w:r>
        <w:rPr>
          <w:rFonts w:ascii="Arial" w:cs="Arial" w:eastAsia="Arial" w:hAnsi="Arial"/>
          <w:color w:val="374151"/>
          <w:sz w:val="21"/>
          <w:szCs w:val="21"/>
        </w:rPr>
        <w:t xml:space="preserve">Listing fees: vendors pay to be listed and to access gap briefs beyond their free quota</w:t>
      </w:r>
    </w:p>
    <w:p>
      <w:pPr>
        <w:spacing w:before="0" w:after="80"/>
      </w:pPr>
    </w:p>
    <w:p>
      <w:pPr>
        <w:pStyle w:val="Heading2"/>
        <w:spacing w:before="300" w:after="120"/>
      </w:pPr>
      <w:r>
        <w:rPr>
          <w:rFonts w:ascii="Arial" w:cs="Arial" w:eastAsia="Arial" w:hAnsi="Arial"/>
          <w:b/>
          <w:bCs/>
          <w:color w:val="1E3A6E"/>
          <w:sz w:val="30"/>
          <w:szCs w:val="30"/>
        </w:rPr>
        <w:t xml:space="preserve">5.4 Trainer and Coach Referral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Referral Types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 types: Training Requirement referral (client brings a gap brief) · SaaS Platform referral (new org signs up) · New Trainer referral (trainer joins the platform) · Training Company referral (vendor joins the vendor platform)</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Pipeline Statuses</w:t>
            </w:r>
          </w:p>
        </w:tc>
        <w:tc>
          <w:tcPr>
            <w:tcW w:type="dxa" w:w="7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9 statuses: Submitted → Reviewed → Qualified → Proposal Sent → Proposal Accepted → Negotiation → Won → Lost → Expired</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Partner Tiers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 tiers: Partner (entry) → Silver → Gold → Platinum · Each tier unlocks higher commission rates, priority matching, and Edstellar co-branding</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Commission Structure</w:t>
            </w:r>
          </w:p>
        </w:tc>
        <w:tc>
          <w:tcPr>
            <w:tcW w:type="dxa" w:w="7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Training Requirement: % of engagement revenue · SaaS Platform: % of Year 1 subscription fee + % of renewals · New Trainer: flat fee on first booking · Training Company: % of first engagement</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Tracking</w:t>
            </w:r>
          </w:p>
        </w:tc>
        <w:tc>
          <w:tcPr>
            <w:tcW w:type="dxa" w:w="7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Unique trackable referral URL per partner · Referral dashboard in Trainer Portal · Commission payout tracking · Automated milestone notifications via NotifyEngine</w:t>
            </w:r>
          </w:p>
        </w:tc>
      </w:tr>
    </w:tbl>
    <w:p>
      <w:pPr>
        <w:spacing w:before="0" w:after="80"/>
      </w:pPr>
    </w:p>
    <w:p>
      <w:pPr>
        <w:pStyle w:val="Heading2"/>
        <w:spacing w:before="300" w:after="120"/>
      </w:pPr>
      <w:r>
        <w:rPr>
          <w:rFonts w:ascii="Arial" w:cs="Arial" w:eastAsia="Arial" w:hAnsi="Arial"/>
          <w:b/>
          <w:bCs/>
          <w:color w:val="1E3A6E"/>
          <w:sz w:val="30"/>
          <w:szCs w:val="30"/>
        </w:rPr>
        <w:t xml:space="preserve">5.5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6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Model</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SaaS Subscription</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 organisations paying for platform access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 org per level (L1 free up to 30 employees → L2/L3/L4/L5 tiered pricing)</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Credits</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 orgs and training companies unlocking trainer/coach full profiles</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Credit bundles purchased, consumed per profile view</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Booking Commission</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Every platform-mediated trainer, coach, or vendor engagement</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of total engagement value, held in escrow, released on completion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Vendor Listing + Brief Access</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Training vendors listed on the Vendor Platform</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Monthly/annual listing fee + per-brief access fee above free quota</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Skill Passport Verification</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Hiring companies verifying candidate Skill Passports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Pay-per-verify or annual subscription for volume hiring companies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Benchmarking Intelligence</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Enterprise orgs accessing cross-org benchmark data, and standalone report buyers</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Premium add-on subscription or standalone report purchase</w:t>
            </w:r>
          </w:p>
        </w:tc>
      </w:tr>
    </w:tbl>
    <w:p>
      <w:pPr>
        <w:spacing w:before="0" w:after="120"/>
      </w:pPr>
    </w:p>
    <w:p>
      <w:pPr>
        <w:pageBreakBefore/>
      </w:pPr>
      <w:r>
        <w:t xml:space="preserve"/>
      </w:r>
    </w:p>
    <w:p>
      <w:pPr>
        <w:pageBreakBefore/>
      </w:pPr>
      <w:r>
        <w:t xml:space="preserve"/>
      </w:r>
    </w:p>
    <w:p>
      <w:pPr>
        <w:pStyle w:val="Heading1"/>
        <w:spacing w:before="400" w:after="160"/>
      </w:pPr>
      <w:r>
        <w:rPr>
          <w:rFonts w:ascii="Arial" w:cs="Arial" w:eastAsia="Arial" w:hAnsi="Arial"/>
          <w:b/>
          <w:bCs/>
          <w:color w:val="1E3A6E"/>
          <w:sz w:val="40"/>
          <w:szCs w:val="40"/>
        </w:rPr>
        <w:t xml:space="preserve">6. Edstellar Internal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FF" w:sz="8"/>
              <w:left w:val="single" w:color="1E6FFF" w:sz="14"/>
              <w:bottom w:val="single" w:color="1E6FFF" w:sz="4"/>
              <w:right w:val="single" w:color="1E6FFF" w:sz="4"/>
            </w:tcBorders>
            <w:shd w:fill="EFF5FF" w:val="clear"/>
            <w:tcMar>
              <w:top w:type="dxa" w:w="120"/>
              <w:left w:type="dxa" w:w="180"/>
              <w:bottom w:type="dxa" w:w="120"/>
              <w:right w:type="dxa" w:w="160"/>
            </w:tcMar>
          </w:tcPr>
          <w:p>
            <w:pPr>
              <w:spacing w:before="0" w:after="60"/>
            </w:pPr>
            <w:r>
              <w:rPr>
                <w:rFonts w:ascii="Arial" w:cs="Arial" w:eastAsia="Arial" w:hAnsi="Arial"/>
                <w:b/>
                <w:bCs/>
                <w:color w:val="1E3A6E"/>
                <w:sz w:val="22"/>
                <w:szCs w:val="22"/>
              </w:rPr>
              <w:t xml:space="preserve">WHY THIS SECTION EXISTS — AND WHY IT GOVERNS EVERYTHING</w:t>
            </w:r>
          </w:p>
          <w:p>
            <w:pPr>
              <w:spacing w:before="0" w:after="0"/>
            </w:pPr>
            <w:r>
              <w:rPr>
                <w:rFonts w:ascii="Arial" w:cs="Arial" w:eastAsia="Arial" w:hAnsi="Arial"/>
                <w:color w:val="374151"/>
                <w:sz w:val="20"/>
                <w:szCs w:val="20"/>
              </w:rPr>
              <w:t xml:space="preserve">The client-facing SIP platform generates intelligence. The Edstellar Internal Systems convert that intelligence into commercial action, platform governance, and revenue. Without these systems, the platform is a product sold to clients. With them, the platform is the operating system for Edstellar's entire commercial business — every client relationship, every trainer engagement, every vendor transaction, every revenue stream, and every quality decision flows through here. This is not a support module. It is the command layer.</w:t>
            </w:r>
          </w:p>
        </w:tc>
      </w:tr>
    </w:tbl>
    <w:p>
      <w:pPr>
        <w:spacing w:before="0" w:after="120"/>
      </w:pPr>
    </w:p>
    <w:p>
      <w:pPr>
        <w:spacing w:before="0" w:after="100"/>
        <w:jc w:val="left"/>
      </w:pPr>
      <w:r>
        <w:rPr>
          <w:rFonts w:ascii="Arial" w:cs="Arial" w:eastAsia="Arial" w:hAnsi="Arial"/>
          <w:b w:val="false"/>
          <w:bCs w:val="false"/>
          <w:i w:val="false"/>
          <w:iCs w:val="false"/>
          <w:color w:val="374151"/>
          <w:sz w:val="22"/>
          <w:szCs w:val="22"/>
        </w:rPr>
        <w:t xml:space="preserve">The Edstellar Internal Systems comprise two interconnected layers: the Opportunity Intelligence Layer (Section 14 of Product Document v19), which converts validated client skill gap data into commercial pipeline for Edstellar's own L&amp;D services, and the Edstellar Admin Console (Section 15.4), which is the master control panel for the entire three-sided marketplace ecosystem. These are internal tools — not visible to client organisations, trainers, coaches, or vendors. They are built for exclusive use by the Edstellar team: account managers, commercial directors, marketplace operations, finance, and quality governance.</w:t>
      </w:r>
    </w:p>
    <w:p>
      <w:pPr>
        <w:spacing w:before="0" w:after="80"/>
      </w:pPr>
    </w:p>
    <w:p>
      <w:pPr>
        <w:pStyle w:val="Heading2"/>
        <w:spacing w:before="300" w:after="120"/>
      </w:pPr>
      <w:r>
        <w:rPr>
          <w:rFonts w:ascii="Arial" w:cs="Arial" w:eastAsia="Arial" w:hAnsi="Arial"/>
          <w:b/>
          <w:bCs/>
          <w:color w:val="1E3A6E"/>
          <w:sz w:val="30"/>
          <w:szCs w:val="30"/>
        </w:rPr>
        <w:t xml:space="preserve">6.1 Architecture Overview — How the Internal Systems Sit Above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1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Role and Authority</w:t>
            </w:r>
          </w:p>
        </w:tc>
      </w:tr>
      <w:tr>
        <w:tc>
          <w:tcPr>
            <w:tcW w:type="dxa" w:w="32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Edstellar Admin Console</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Master control panel. Every marketplace feature across all four platforms is off by default. Edstellar Admin switches it on, per client, per commercial agreement. No marketplace capability is available to any client, trainer, coach, or vendor unless Edstellar Admin has explicitly enabled it. Commission rates, credit pricing, verification process, dispute resolution, fraud monitoring — all governed here.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Opportunity Intelligence Layer</w:t>
            </w:r>
          </w:p>
        </w:tc>
        <w:tc>
          <w:tcPr>
            <w:tcW w:type="dxa" w:w="6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Internal commercial intelligence dashboard. Reads validated skill gap data from all client organisations on the platform and surfaces commercial opportunities for Edstellar's own training, coaching, and OD services. Generates AI-drafted proposals for the Edstellar account team. The platform's data becomes Edstellar's most precise commercial intelligence — updated every time any client runs an assessment cycle.</w:t>
            </w:r>
          </w:p>
        </w:tc>
      </w:tr>
      <w:tr>
        <w:tc>
          <w:tcPr>
            <w:tcW w:type="dxa" w:w="32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Relationship Between the Two</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Opportunity Intelligence Layer identifies opportunities. The Admin Console governs the infrastructure through which those opportunities are fulfilled. An account manager sees a gap brief in the Opportunity Dashboard, sends an AI-generated proposal, the client accepts, the Admin Console has already configured the correct commission rate, trainer category pricing, and escrow settings so the engagement can be booked immediately without manual configuration.</w:t>
            </w:r>
          </w:p>
        </w:tc>
      </w:tr>
    </w:tbl>
    <w:p>
      <w:pPr>
        <w:spacing w:before="0" w:after="120"/>
      </w:pPr>
    </w:p>
    <w:p>
      <w:pPr>
        <w:pStyle w:val="Heading2"/>
        <w:spacing w:before="300" w:after="120"/>
      </w:pPr>
      <w:r>
        <w:rPr>
          <w:rFonts w:ascii="Arial" w:cs="Arial" w:eastAsia="Arial" w:hAnsi="Arial"/>
          <w:b/>
          <w:bCs/>
          <w:color w:val="1E3A6E"/>
          <w:sz w:val="30"/>
          <w:szCs w:val="30"/>
        </w:rPr>
        <w:t xml:space="preserve">6.2 Opportunity Intelligence Layer — Skills Intelligence as a Commercial Engine</w:t>
      </w:r>
    </w:p>
    <w:p>
      <w:pPr>
        <w:spacing w:before="0" w:after="100"/>
        <w:jc w:val="left"/>
      </w:pPr>
      <w:r>
        <w:rPr>
          <w:rFonts w:ascii="Arial" w:cs="Arial" w:eastAsia="Arial" w:hAnsi="Arial"/>
          <w:b w:val="false"/>
          <w:bCs w:val="false"/>
          <w:i w:val="false"/>
          <w:iCs w:val="false"/>
          <w:color w:val="374151"/>
          <w:sz w:val="22"/>
          <w:szCs w:val="22"/>
        </w:rPr>
        <w:t xml:space="preserve">This is the system that makes the SIP platform strategically irreplaceable for Edstellar. Every client organisation that runs an assessment cycle on the platform is generating validated, structured, prioritised gap data. That data is the most accurate commercial intelligence Edstellar will ever have about what a client needs to develop in their workforce. The Opportunity Intelligence Layer reads this data — with client consent, under the platform's data usage agreement — and converts it into actionable commercial opportunities for the Edstellar account team.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16A34A" w:sz="14"/>
              <w:bottom w:val="single" w:color="16A34A" w:sz="4"/>
              <w:right w:val="single" w:color="16A34A" w:sz="4"/>
            </w:tcBorders>
            <w:shd w:fill="F0FDF4" w:val="clear"/>
            <w:tcMar>
              <w:top w:type="dxa" w:w="120"/>
              <w:left w:type="dxa" w:w="180"/>
              <w:bottom w:type="dxa" w:w="120"/>
              <w:right w:type="dxa" w:w="160"/>
            </w:tcMar>
          </w:tcPr>
          <w:p>
            <w:pPr>
              <w:spacing w:before="0" w:after="60"/>
            </w:pPr>
            <w:r>
              <w:rPr>
                <w:rFonts w:ascii="Arial" w:cs="Arial" w:eastAsia="Arial" w:hAnsi="Arial"/>
                <w:b/>
                <w:bCs/>
                <w:color w:val="052E16"/>
                <w:sz w:val="22"/>
                <w:szCs w:val="22"/>
              </w:rPr>
              <w:t xml:space="preserve">THE COMMERCIAL DESIGN PRINCIPLE (Section 14.5, Product Document v19)</w:t>
            </w:r>
          </w:p>
          <w:p>
            <w:pPr>
              <w:spacing w:before="0" w:after="0"/>
            </w:pPr>
            <w:r>
              <w:rPr>
                <w:rFonts w:ascii="Arial" w:cs="Arial" w:eastAsia="Arial" w:hAnsi="Arial"/>
                <w:color w:val="374151"/>
                <w:sz w:val="20"/>
                <w:szCs w:val="20"/>
              </w:rPr>
              <w:t xml:space="preserve">The TNA report is not just an HR document — it is a delivery brief Edstellar can act on within hours of it being generated. The AI-suggested L&amp;D project list is not just a recommendation for the client — it is a pre-qualified pipeline for Edstellar's account team. The Transformation Dial is not just a planning tool — it is an advance signal of where the client's investment is going, 12-18 months before they formally issue an RFP. The platform's value to clients is skills intelligence. The platform's value to Edstellar is that skills intelligence, at scale, is the most precise demand signal for L&amp;D services ever built.</w:t>
            </w:r>
          </w:p>
        </w:tc>
      </w:tr>
    </w:tbl>
    <w:p>
      <w:pPr>
        <w:spacing w:before="0" w:after="120"/>
      </w:pPr>
    </w:p>
    <w:p>
      <w:pPr>
        <w:pStyle w:val="Heading3"/>
        <w:spacing w:before="220" w:after="80"/>
      </w:pPr>
      <w:r>
        <w:rPr>
          <w:rFonts w:ascii="Arial" w:cs="Arial" w:eastAsia="Arial" w:hAnsi="Arial"/>
          <w:b/>
          <w:bCs/>
          <w:color w:val="1E6FFF"/>
          <w:sz w:val="24"/>
          <w:szCs w:val="24"/>
        </w:rPr>
        <w:t xml:space="preserve">6.2.1 The Opportunity Creation Flywheel</w:t>
      </w:r>
    </w:p>
    <w:p>
      <w:pPr>
        <w:spacing w:before="0" w:after="100"/>
        <w:jc w:val="left"/>
      </w:pPr>
      <w:r>
        <w:rPr>
          <w:rFonts w:ascii="Arial" w:cs="Arial" w:eastAsia="Arial" w:hAnsi="Arial"/>
          <w:b w:val="false"/>
          <w:bCs w:val="false"/>
          <w:i w:val="false"/>
          <w:iCs w:val="false"/>
          <w:color w:val="374151"/>
          <w:sz w:val="22"/>
          <w:szCs w:val="22"/>
        </w:rPr>
        <w:t xml:space="preserve">The flywheel has four stages and is self-reinforcing. Each stage creates the conditions for the next.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4480"/>
        <w:gridCol w:w="2200"/>
      </w:tblGrid>
      <w:tr>
        <w:tc>
          <w:tcPr>
            <w:tcW w:type="dxa" w:w="48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48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What It Creates</w:t>
            </w:r>
          </w:p>
        </w:tc>
      </w:tr>
      <w:tr>
        <w:tc>
          <w:tcPr>
            <w:tcW w:type="dxa" w:w="48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1</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Detect</w:t>
            </w:r>
          </w:p>
        </w:tc>
        <w:tc>
          <w:tcPr>
            <w:tcW w:type="dxa" w:w="4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Assessment cycle completes on the SIP platform. Validated skill and competency gaps are calculated with weighted scores. TNI identifies training-appropriate gaps and flags content commissioning requirements where no programme exists in the catalogue.</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structured, evidence-based gap brief — the most accurate procurement signal in L&amp;D</w:t>
            </w:r>
          </w:p>
        </w:tc>
      </w:tr>
      <w:tr>
        <w:tc>
          <w:tcPr>
            <w:tcW w:type="dxa" w:w="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2</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Match</w:t>
            </w:r>
          </w:p>
        </w:tc>
        <w:tc>
          <w:tcPr>
            <w:tcW w:type="dxa" w:w="4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Opportunity Intelligence Layer cross-references the gap brief against Edstellar's trainer and facilitator network, existing programme catalogue, and historical delivery effectiveness data. A match score is calculated for each unaddressed gap — how well can Edstellar address this, for how many people, at what confidence level?</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 ranked, qualified opportunity with a delivery confidence score</w:t>
            </w:r>
          </w:p>
        </w:tc>
      </w:tr>
      <w:tr>
        <w:tc>
          <w:tcPr>
            <w:tcW w:type="dxa" w:w="48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3</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Propose</w:t>
            </w:r>
          </w:p>
        </w:tc>
        <w:tc>
          <w:tcPr>
            <w:tcW w:type="dxa" w:w="4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AI Proposal Engine generates a full engagement proposal for the Edstellar account team to review and personalise. The proposal contains the gap brief, recommended intervention design, matched facilitator profiles, investment estimate, outcome commitment, and ROI projection. Account manager reviews, edits if needed, and sends with one click.</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personalised, AI-generated proposal that demonstrates deep insight into the client's actual data</w:t>
            </w:r>
          </w:p>
        </w:tc>
      </w:tr>
      <w:tr>
        <w:tc>
          <w:tcPr>
            <w:tcW w:type="dxa" w:w="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4</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Close and Measure</w:t>
            </w:r>
          </w:p>
        </w:tc>
        <w:tc>
          <w:tcPr>
            <w:tcW w:type="dxa" w:w="4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 accepts the proposal within the platform. Engagement is created and managed through TrainConnect and the Trainer Platform. Post-delivery Kirkpatrick measurement is captured. Outcome data feeds back into the AI models — improving future proposals and the accuracy of the opportunity detection engine.</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Measured outcome data that proves ROI and improves the next cycle</w:t>
            </w:r>
          </w:p>
        </w:tc>
      </w:tr>
    </w:tbl>
    <w:p>
      <w:pPr>
        <w:spacing w:before="0" w:after="80"/>
      </w:pPr>
    </w:p>
    <w:p>
      <w:pPr>
        <w:pStyle w:val="Heading3"/>
        <w:spacing w:before="220" w:after="80"/>
      </w:pPr>
      <w:r>
        <w:rPr>
          <w:rFonts w:ascii="Arial" w:cs="Arial" w:eastAsia="Arial" w:hAnsi="Arial"/>
          <w:b/>
          <w:bCs/>
          <w:color w:val="1E6FFF"/>
          <w:sz w:val="24"/>
          <w:szCs w:val="24"/>
        </w:rPr>
        <w:t xml:space="preserve">6.2.2 The Opportunity Intelligence Dashboard — Edstellar Internal View</w:t>
      </w:r>
    </w:p>
    <w:p>
      <w:pPr>
        <w:spacing w:before="0" w:after="100"/>
        <w:jc w:val="left"/>
      </w:pPr>
      <w:r>
        <w:rPr>
          <w:rFonts w:ascii="Arial" w:cs="Arial" w:eastAsia="Arial" w:hAnsi="Arial"/>
          <w:b w:val="false"/>
          <w:bCs w:val="false"/>
          <w:i w:val="false"/>
          <w:iCs w:val="false"/>
          <w:color w:val="374151"/>
          <w:sz w:val="22"/>
          <w:szCs w:val="22"/>
        </w:rPr>
        <w:t xml:space="preserve">This is the internal commercial command centre for the Edstellar account management and delivery team. It is not a reporting tool — it is an action surface. Every item on this dashboard is an opportunity to be acted upon, a risk to be monitored, or a commercial lever to be adjusted.</w:t>
      </w:r>
    </w:p>
    <w:p>
      <w:pPr>
        <w:spacing w:before="0" w:after="60"/>
      </w:pPr>
    </w:p>
    <w:p>
      <w:pPr>
        <w:spacing w:before="160" w:after="60"/>
      </w:pPr>
      <w:r>
        <w:rPr>
          <w:rFonts w:ascii="Arial" w:cs="Arial" w:eastAsia="Arial" w:hAnsi="Arial"/>
          <w:b/>
          <w:bCs/>
          <w:color w:val="374151"/>
          <w:sz w:val="22"/>
          <w:szCs w:val="22"/>
        </w:rPr>
        <w:t xml:space="preserve">Gap Pipeline View</w:t>
      </w:r>
    </w:p>
    <w:p>
      <w:pPr>
        <w:pStyle w:val="ListParagraph"/>
        <w:numPr>
          <w:ilvl w:val="0"/>
          <w:numId w:val="2"/>
        </w:numPr>
        <w:spacing w:before="0" w:after="60"/>
      </w:pPr>
      <w:r>
        <w:rPr>
          <w:rFonts w:ascii="Arial" w:cs="Arial" w:eastAsia="Arial" w:hAnsi="Arial"/>
          <w:color w:val="374151"/>
          <w:sz w:val="21"/>
          <w:szCs w:val="21"/>
        </w:rPr>
        <w:t xml:space="preserve">Aggregate view across all client organisations of validated gaps that are currently unaddressed — no training programme running, no coaching engagement active, no LNI action in progress. Filtered by: intervention type, skill domain, client industry, client size, geographic market, and opportunity size (employee count × weighted gap score).</w:t>
      </w:r>
    </w:p>
    <w:p>
      <w:pPr>
        <w:pStyle w:val="ListParagraph"/>
        <w:numPr>
          <w:ilvl w:val="0"/>
          <w:numId w:val="2"/>
        </w:numPr>
        <w:spacing w:before="0" w:after="60"/>
      </w:pPr>
      <w:r>
        <w:rPr>
          <w:rFonts w:ascii="Arial" w:cs="Arial" w:eastAsia="Arial" w:hAnsi="Arial"/>
          <w:color w:val="374151"/>
          <w:sz w:val="21"/>
          <w:szCs w:val="21"/>
        </w:rPr>
        <w:t xml:space="preserve">Match score per gap: for each unaddressed gap, a score showing how well Edstellar's current network and catalogue can address it. Factors: trainer specialisation coverage, geographic availability, programme catalogue match, and historical delivery effectiveness for this gap type.</w:t>
      </w:r>
    </w:p>
    <w:p>
      <w:pPr>
        <w:pStyle w:val="ListParagraph"/>
        <w:numPr>
          <w:ilvl w:val="0"/>
          <w:numId w:val="2"/>
        </w:numPr>
        <w:spacing w:before="0" w:after="60"/>
      </w:pPr>
      <w:r>
        <w:rPr>
          <w:rFonts w:ascii="Arial" w:cs="Arial" w:eastAsia="Arial" w:hAnsi="Arial"/>
          <w:color w:val="374151"/>
          <w:sz w:val="21"/>
          <w:szCs w:val="21"/>
        </w:rPr>
        <w:t xml:space="preserve">Opportunity size: calculated from employee count affected × weighted gap score × estimated programme investment per employee. Gives account managers a commercial priority signal alongside the pedagogical one.</w:t>
      </w:r>
    </w:p>
    <w:p>
      <w:pPr>
        <w:pStyle w:val="ListParagraph"/>
        <w:numPr>
          <w:ilvl w:val="0"/>
          <w:numId w:val="2"/>
        </w:numPr>
        <w:spacing w:before="0" w:after="60"/>
      </w:pPr>
      <w:r>
        <w:rPr>
          <w:rFonts w:ascii="Arial" w:cs="Arial" w:eastAsia="Arial" w:hAnsi="Arial"/>
          <w:color w:val="374151"/>
          <w:sz w:val="21"/>
          <w:szCs w:val="21"/>
        </w:rPr>
        <w:t xml:space="preserve">Age of gap: how many assessment cycles has this gap persisted? Persistent unaddressed gaps at high match score are the highest-priority commercial opportunities — the client clearly has the need but hasn't yet sourced a solution.</w:t>
      </w:r>
    </w:p>
    <w:p>
      <w:pPr>
        <w:pStyle w:val="ListParagraph"/>
        <w:numPr>
          <w:ilvl w:val="0"/>
          <w:numId w:val="2"/>
        </w:numPr>
        <w:spacing w:before="0" w:after="60"/>
      </w:pPr>
      <w:r>
        <w:rPr>
          <w:rFonts w:ascii="Arial" w:cs="Arial" w:eastAsia="Arial" w:hAnsi="Arial"/>
          <w:color w:val="374151"/>
          <w:sz w:val="21"/>
          <w:szCs w:val="21"/>
        </w:rPr>
        <w:t xml:space="preserve">Transformation Dial signal: where a client has set a high positive Dial setting on a skill domain, the Opportunity Dashboard highlights this as a forward-looking signal — the client will invest in this domain in the next 1–3 assessment cycles even if a gap hasn't yet been formally identified.</w:t>
      </w:r>
    </w:p>
    <w:p>
      <w:pPr>
        <w:spacing w:before="0" w:after="60"/>
      </w:pPr>
    </w:p>
    <w:p>
      <w:pPr>
        <w:spacing w:before="160" w:after="60"/>
      </w:pPr>
      <w:r>
        <w:rPr>
          <w:rFonts w:ascii="Arial" w:cs="Arial" w:eastAsia="Arial" w:hAnsi="Arial"/>
          <w:b/>
          <w:bCs/>
          <w:color w:val="374151"/>
          <w:sz w:val="22"/>
          <w:szCs w:val="22"/>
        </w:rPr>
        <w:t xml:space="preserve">Proposal Pipeline View</w:t>
      </w:r>
    </w:p>
    <w:p>
      <w:pPr>
        <w:pStyle w:val="ListParagraph"/>
        <w:numPr>
          <w:ilvl w:val="0"/>
          <w:numId w:val="2"/>
        </w:numPr>
        <w:spacing w:before="0" w:after="60"/>
      </w:pPr>
      <w:r>
        <w:rPr>
          <w:rFonts w:ascii="Arial" w:cs="Arial" w:eastAsia="Arial" w:hAnsi="Arial"/>
          <w:color w:val="374151"/>
          <w:sz w:val="21"/>
          <w:szCs w:val="21"/>
        </w:rPr>
        <w:t xml:space="preserve">Stage tracking for all proposals: Generated (AI draft ready for account manager review) → Reviewed (account manager has personalised) → Sent (client has received) → Client Reviewing → Accepted → Rejected → Modified (client requested changes) → Won → Lost.</w:t>
      </w:r>
    </w:p>
    <w:p>
      <w:pPr>
        <w:pStyle w:val="ListParagraph"/>
        <w:numPr>
          <w:ilvl w:val="0"/>
          <w:numId w:val="2"/>
        </w:numPr>
        <w:spacing w:before="0" w:after="60"/>
      </w:pPr>
      <w:r>
        <w:rPr>
          <w:rFonts w:ascii="Arial" w:cs="Arial" w:eastAsia="Arial" w:hAnsi="Arial"/>
          <w:color w:val="374151"/>
          <w:sz w:val="21"/>
          <w:szCs w:val="21"/>
        </w:rPr>
        <w:t xml:space="preserve">Revenue forecast: total potential revenue from the active proposal pipeline, segmented by intervention type (training programme, coaching, OD, mentoring), by client, by skill domain, and by quarter.</w:t>
      </w:r>
    </w:p>
    <w:p>
      <w:pPr>
        <w:pStyle w:val="ListParagraph"/>
        <w:numPr>
          <w:ilvl w:val="0"/>
          <w:numId w:val="2"/>
        </w:numPr>
        <w:spacing w:before="0" w:after="60"/>
      </w:pPr>
      <w:r>
        <w:rPr>
          <w:rFonts w:ascii="Arial" w:cs="Arial" w:eastAsia="Arial" w:hAnsi="Arial"/>
          <w:color w:val="374151"/>
          <w:sz w:val="21"/>
          <w:szCs w:val="21"/>
        </w:rPr>
        <w:t xml:space="preserve">Win rate analytics: overall win rate by account manager, by intervention type, by client industry, and by proposal origin (AI-generated vs manually created). Identifies which AI proposal patterns convert best and calibrates the engine.</w:t>
      </w:r>
    </w:p>
    <w:p>
      <w:pPr>
        <w:pStyle w:val="ListParagraph"/>
        <w:numPr>
          <w:ilvl w:val="0"/>
          <w:numId w:val="2"/>
        </w:numPr>
        <w:spacing w:before="0" w:after="60"/>
      </w:pPr>
      <w:r>
        <w:rPr>
          <w:rFonts w:ascii="Arial" w:cs="Arial" w:eastAsia="Arial" w:hAnsi="Arial"/>
          <w:color w:val="374151"/>
          <w:sz w:val="21"/>
          <w:szCs w:val="21"/>
        </w:rPr>
        <w:t xml:space="preserve">Loss reason analysis: loss reasons are captured at the proposal stage (price, timing, competitor, internal solution, no budget). Loss reasons are fed back into the proposal engine and the opportunity detection logic.</w:t>
      </w:r>
    </w:p>
    <w:p>
      <w:pPr>
        <w:pStyle w:val="ListParagraph"/>
        <w:numPr>
          <w:ilvl w:val="0"/>
          <w:numId w:val="2"/>
        </w:numPr>
        <w:spacing w:before="0" w:after="60"/>
      </w:pPr>
      <w:r>
        <w:rPr>
          <w:rFonts w:ascii="Arial" w:cs="Arial" w:eastAsia="Arial" w:hAnsi="Arial"/>
          <w:color w:val="374151"/>
          <w:sz w:val="21"/>
          <w:szCs w:val="21"/>
        </w:rPr>
        <w:t xml:space="preserve">Average proposal value and deal size trends by client tier and market.</w:t>
      </w:r>
    </w:p>
    <w:p>
      <w:pPr>
        <w:spacing w:before="0" w:after="60"/>
      </w:pPr>
    </w:p>
    <w:p>
      <w:pPr>
        <w:spacing w:before="160" w:after="60"/>
      </w:pPr>
      <w:r>
        <w:rPr>
          <w:rFonts w:ascii="Arial" w:cs="Arial" w:eastAsia="Arial" w:hAnsi="Arial"/>
          <w:b/>
          <w:bCs/>
          <w:color w:val="374151"/>
          <w:sz w:val="22"/>
          <w:szCs w:val="22"/>
        </w:rPr>
        <w:t xml:space="preserve">Network Utilisation View</w:t>
      </w:r>
    </w:p>
    <w:p>
      <w:pPr>
        <w:pStyle w:val="ListParagraph"/>
        <w:numPr>
          <w:ilvl w:val="0"/>
          <w:numId w:val="2"/>
        </w:numPr>
        <w:spacing w:before="0" w:after="60"/>
      </w:pPr>
      <w:r>
        <w:rPr>
          <w:rFonts w:ascii="Arial" w:cs="Arial" w:eastAsia="Arial" w:hAnsi="Arial"/>
          <w:color w:val="374151"/>
          <w:sz w:val="21"/>
          <w:szCs w:val="21"/>
        </w:rPr>
        <w:t xml:space="preserve">Trainer and coach network utilisation: which trainers and coaches are being matched to opportunities, booked, and delivered against. Identifies high-demand profiles (consistently matched, consistently booked) and low-demand profiles (specialisation in areas with low gap prevalence).</w:t>
      </w:r>
    </w:p>
    <w:p>
      <w:pPr>
        <w:pStyle w:val="ListParagraph"/>
        <w:numPr>
          <w:ilvl w:val="0"/>
          <w:numId w:val="2"/>
        </w:numPr>
        <w:spacing w:before="0" w:after="60"/>
      </w:pPr>
      <w:r>
        <w:rPr>
          <w:rFonts w:ascii="Arial" w:cs="Arial" w:eastAsia="Arial" w:hAnsi="Arial"/>
          <w:color w:val="374151"/>
          <w:sz w:val="21"/>
          <w:szCs w:val="21"/>
        </w:rPr>
        <w:t xml:space="preserve">Network gaps: skills and competency areas where validated client gaps exist but no qualified trainer or coach is available in the Edstellar network. These network gaps are surfaced as a talent acquisition signal — Edstellar needs to recruit or develop capacity in these areas.</w:t>
      </w:r>
    </w:p>
    <w:p>
      <w:pPr>
        <w:pStyle w:val="ListParagraph"/>
        <w:numPr>
          <w:ilvl w:val="0"/>
          <w:numId w:val="2"/>
        </w:numPr>
        <w:spacing w:before="0" w:after="60"/>
      </w:pPr>
      <w:r>
        <w:rPr>
          <w:rFonts w:ascii="Arial" w:cs="Arial" w:eastAsia="Arial" w:hAnsi="Arial"/>
          <w:color w:val="374151"/>
          <w:sz w:val="21"/>
          <w:szCs w:val="21"/>
        </w:rPr>
        <w:t xml:space="preserve">Network gap urgency: network gaps on high-Transformation-Dial skills are the most urgent — the client's demand for these skills is accelerating and Edstellar's inability to fulfil creates competitive risk.</w:t>
      </w:r>
    </w:p>
    <w:p>
      <w:pPr>
        <w:pStyle w:val="ListParagraph"/>
        <w:numPr>
          <w:ilvl w:val="0"/>
          <w:numId w:val="2"/>
        </w:numPr>
        <w:spacing w:before="0" w:after="60"/>
      </w:pPr>
      <w:r>
        <w:rPr>
          <w:rFonts w:ascii="Arial" w:cs="Arial" w:eastAsia="Arial" w:hAnsi="Arial"/>
          <w:color w:val="374151"/>
          <w:sz w:val="21"/>
          <w:szCs w:val="21"/>
        </w:rPr>
        <w:t xml:space="preserve">Trainer development pipeline: tracks trainers who are in development for a new topic area — their projected availability date and the client gaps they are being prepared to serve.</w:t>
      </w:r>
    </w:p>
    <w:p>
      <w:pPr>
        <w:spacing w:before="0" w:after="60"/>
      </w:pPr>
    </w:p>
    <w:p>
      <w:pPr>
        <w:spacing w:before="160" w:after="60"/>
      </w:pPr>
      <w:r>
        <w:rPr>
          <w:rFonts w:ascii="Arial" w:cs="Arial" w:eastAsia="Arial" w:hAnsi="Arial"/>
          <w:b/>
          <w:bCs/>
          <w:color w:val="374151"/>
          <w:sz w:val="22"/>
          <w:szCs w:val="22"/>
        </w:rPr>
        <w:t xml:space="preserve">Client Intelligence View</w:t>
      </w:r>
    </w:p>
    <w:p>
      <w:pPr>
        <w:pStyle w:val="ListParagraph"/>
        <w:numPr>
          <w:ilvl w:val="0"/>
          <w:numId w:val="2"/>
        </w:numPr>
        <w:spacing w:before="0" w:after="60"/>
      </w:pPr>
      <w:r>
        <w:rPr>
          <w:rFonts w:ascii="Arial" w:cs="Arial" w:eastAsia="Arial" w:hAnsi="Arial"/>
          <w:color w:val="374151"/>
          <w:sz w:val="21"/>
          <w:szCs w:val="21"/>
        </w:rPr>
        <w:t xml:space="preserve">Per-client commercial summary: current level, active assessment cycles, last LNA generated, number of unaddressed gaps, proposals in pipeline, active engagements, total engagement value to date, account manager assigned.</w:t>
      </w:r>
    </w:p>
    <w:p>
      <w:pPr>
        <w:pStyle w:val="ListParagraph"/>
        <w:numPr>
          <w:ilvl w:val="0"/>
          <w:numId w:val="2"/>
        </w:numPr>
        <w:spacing w:before="0" w:after="60"/>
      </w:pPr>
      <w:r>
        <w:rPr>
          <w:rFonts w:ascii="Arial" w:cs="Arial" w:eastAsia="Arial" w:hAnsi="Arial"/>
          <w:color w:val="374151"/>
          <w:sz w:val="21"/>
          <w:szCs w:val="21"/>
        </w:rPr>
        <w:t xml:space="preserve">Level progression signal: client organisations approaching a level gate (80%+ completion of current level criteria) are flagged as expansion opportunities — they are about to unlock a new set of capabilities that creates new commercial needs.</w:t>
      </w:r>
    </w:p>
    <w:p>
      <w:pPr>
        <w:pStyle w:val="ListParagraph"/>
        <w:numPr>
          <w:ilvl w:val="0"/>
          <w:numId w:val="2"/>
        </w:numPr>
        <w:spacing w:before="0" w:after="60"/>
      </w:pPr>
      <w:r>
        <w:rPr>
          <w:rFonts w:ascii="Arial" w:cs="Arial" w:eastAsia="Arial" w:hAnsi="Arial"/>
          <w:color w:val="374151"/>
          <w:sz w:val="21"/>
          <w:szCs w:val="21"/>
        </w:rPr>
        <w:t xml:space="preserve">Churn risk signal: client organisations that have been at the same level for more than 6 months without a new assessment cycle, or whose Data Context Meter score has dropped significantly, are flagged as churn risks. Early intervention by account manager is recommended.</w:t>
      </w:r>
    </w:p>
    <w:p>
      <w:pPr>
        <w:pStyle w:val="ListParagraph"/>
        <w:numPr>
          <w:ilvl w:val="0"/>
          <w:numId w:val="2"/>
        </w:numPr>
        <w:spacing w:before="0" w:after="60"/>
      </w:pPr>
      <w:r>
        <w:rPr>
          <w:rFonts w:ascii="Arial" w:cs="Arial" w:eastAsia="Arial" w:hAnsi="Arial"/>
          <w:color w:val="374151"/>
          <w:sz w:val="21"/>
          <w:szCs w:val="21"/>
        </w:rPr>
        <w:t xml:space="preserve">Expansion signal: client organisations whose employee count has grown by more than 15% since onboarding are flagged for account expansion conversations — new employees mean new gap data and new training needs.</w:t>
      </w:r>
    </w:p>
    <w:p>
      <w:pPr>
        <w:pStyle w:val="ListParagraph"/>
        <w:numPr>
          <w:ilvl w:val="0"/>
          <w:numId w:val="2"/>
        </w:numPr>
        <w:spacing w:before="0" w:after="60"/>
      </w:pPr>
      <w:r>
        <w:rPr>
          <w:rFonts w:ascii="Arial" w:cs="Arial" w:eastAsia="Arial" w:hAnsi="Arial"/>
          <w:color w:val="374151"/>
          <w:sz w:val="21"/>
          <w:szCs w:val="21"/>
        </w:rPr>
        <w:t xml:space="preserve">Cross-sell signal: client on L2 with active coaching gaps where the Coaching Management module is not yet enabled — specific, data-grounded conversation starter for the account manager.</w:t>
      </w:r>
    </w:p>
    <w:p>
      <w:pPr>
        <w:spacing w:before="0" w:after="80"/>
      </w:pPr>
    </w:p>
    <w:p>
      <w:pPr>
        <w:pStyle w:val="Heading3"/>
        <w:spacing w:before="220" w:after="80"/>
      </w:pPr>
      <w:r>
        <w:rPr>
          <w:rFonts w:ascii="Arial" w:cs="Arial" w:eastAsia="Arial" w:hAnsi="Arial"/>
          <w:b/>
          <w:bCs/>
          <w:color w:val="1E6FFF"/>
          <w:sz w:val="24"/>
          <w:szCs w:val="24"/>
        </w:rPr>
        <w:t xml:space="preserve">6.2.3 Opportunity Trigger Types</w:t>
      </w:r>
    </w:p>
    <w:p>
      <w:pPr>
        <w:spacing w:before="0" w:after="100"/>
        <w:jc w:val="left"/>
      </w:pPr>
      <w:r>
        <w:rPr>
          <w:rFonts w:ascii="Arial" w:cs="Arial" w:eastAsia="Arial" w:hAnsi="Arial"/>
          <w:b w:val="false"/>
          <w:bCs w:val="false"/>
          <w:i w:val="false"/>
          <w:iCs w:val="false"/>
          <w:color w:val="374151"/>
          <w:sz w:val="22"/>
          <w:szCs w:val="22"/>
        </w:rPr>
        <w:t xml:space="preserve">The Opportunity Intelligence Layer fires triggers automatically when specific conditions are met. Each trigger creates an item in the account manager's action queue with context and a recommended action.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6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TNA Content Gap</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TNI flags a gap where no programme exists in the Edstellar catalogue or any other matched vendor's catalogue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proposal engine generates a custom programme design brief. Account manager reviews and proposes a bespoke programme development engagement.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High Match + High Age</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Gap with match score &gt;80% that has been unaddressed for 2+ assessment cycles</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AI proposal sent to account manager. Client clearly has the need and hasn't found a solution — high probability of acceptance.</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Transformation Dial Shift</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 shifts a Dial setting to +4 or +5 on a skill domain</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Account manager notified. Forward-looking proposal generated — 'Your team is about to accelerate in [domain]. Here is what we recommend building now.'</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Level Gate Approaching</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 reaches 80% completion of current level criteria</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Account manager contacts client proactively. Readiness check-in, new level introduction, expansion conversation.</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Succession Gap Alert</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Succession pipeline bench strength drops below configured minimum for a critical role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Targeted succession development programme proposal. Executive coaching engagement for the Ready Now candidate.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Post-Training Re-Assessment</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Post-training re-assessment shows gap not closed despite completed programme</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Coaching follow-up proposal. The knowledge exists but the behaviour hasn't transferred — a different intervention type is needed.</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Network Trainer Match</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 new trainer joins the Edstellar network with expertise in an area where a client has a persistent unaddressed gap</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Account manager alerted. AI proposes an introduction engagement to the relevant client — 'We now have a specialist in [area]. Here is what they can do for your team.'</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Wellbeing + Development Conflict</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 has high-urgency gaps but the wellbeing layer is showing elevated burnout risk across the target population</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OD programme proposal rather than intensive training. Account manager has a commercially valuable conversation about sustainable development.</w:t>
            </w:r>
          </w:p>
        </w:tc>
      </w:tr>
    </w:tbl>
    <w:p>
      <w:pPr>
        <w:spacing w:before="0" w:after="80"/>
      </w:pPr>
    </w:p>
    <w:p>
      <w:pPr>
        <w:pStyle w:val="Heading3"/>
        <w:spacing w:before="220" w:after="80"/>
      </w:pPr>
      <w:r>
        <w:rPr>
          <w:rFonts w:ascii="Arial" w:cs="Arial" w:eastAsia="Arial" w:hAnsi="Arial"/>
          <w:b/>
          <w:bCs/>
          <w:color w:val="1E6FFF"/>
          <w:sz w:val="24"/>
          <w:szCs w:val="24"/>
        </w:rPr>
        <w:t xml:space="preserve">6.2.4 AI-Generated Proposal Engine</w:t>
      </w:r>
    </w:p>
    <w:p>
      <w:pPr>
        <w:spacing w:before="0" w:after="100"/>
        <w:jc w:val="left"/>
      </w:pPr>
      <w:r>
        <w:rPr>
          <w:rFonts w:ascii="Arial" w:cs="Arial" w:eastAsia="Arial" w:hAnsi="Arial"/>
          <w:b w:val="false"/>
          <w:bCs w:val="false"/>
          <w:i w:val="false"/>
          <w:iCs w:val="false"/>
          <w:color w:val="374151"/>
          <w:sz w:val="22"/>
          <w:szCs w:val="22"/>
        </w:rPr>
        <w:t xml:space="preserve">When an opportunity trigger fires, the platform auto-generates a full commercial proposal for the Edstellar account team. The proposal is complete enough to send with minimal editing — but the account manager always reviews and personalises before dispatch. Proposals are never sent automatically to clients without human sign-off.</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Proposal Component</w:t>
            </w:r>
          </w:p>
        </w:tc>
        <w:tc>
          <w:tcPr>
            <w:tcW w:type="dxa" w:w="69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Content and Source</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Executive Summary</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3–4 sentences describing the identified need, the recommended intervention, and the expected outcome. Written in language appropriate for the client's L&amp;D contact or CHRO — not in platform terminology. Sourced from: gap data, industry context, and the client's stated strategy goals in OrgSetup.</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Gap Brief</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validated skill and competency gaps this proposal addresses. Employee count and departments affected, current vs required proficiency levels, weighted gap scores, intervention type classification rationale. Sourced directly from the client's LNA/TNA data — the most credible foundation possible.</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Recommended Intervention Design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Intervention type, programme structure, cohort size and count, format (classroom/virtual/blended/coaching), duration, sequencing, prerequisites, and reinforcement plan. Generated from the AI Content Outline engine — the same engine that produces content briefs for trainers.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Matched Facilitator Profiles</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1–3 recommended trainers, coaches, or facilitators from the Edstellar network. Shown with: specialisation match score, relevant experience, past effectiveness scores on similar gap types, availability against the proposed timeline. Sourced from the Trainer Platform with live availability data.</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Investment and Timeline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Fixed-price estimate or price range, payment structure (per cohort, per session, retainer), delivery timeline from acceptance to first cohort, milestone schedule. Account manager can adjust before sending.</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Outcome Commitment</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What will be measured: pre/post proficiency delta on the target skills, Kirkpatrick L1–L4 scores, Skill Passport updates, time-to-proficiency target. Edstellar commits to measurable outcomes — not just delivery completion. This commitment is the commercial differentiator over generic training providers.</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ROI Projection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Estimated return calculated from: the platform's cost-per-gap-closed benchmarks, the strategic value of the skill (criticality rating × Transformation Dial setting), and the business impact of not closing the gap (from performance correlation data where available). Expressed in both financial and capability terms.</w:t>
            </w:r>
          </w:p>
        </w:tc>
      </w:tr>
    </w:tbl>
    <w:p>
      <w:pPr>
        <w:spacing w:before="0" w:after="60"/>
      </w:pPr>
    </w:p>
    <w:p>
      <w:pPr>
        <w:spacing w:before="160" w:after="60"/>
      </w:pPr>
      <w:r>
        <w:rPr>
          <w:rFonts w:ascii="Arial" w:cs="Arial" w:eastAsia="Arial" w:hAnsi="Arial"/>
          <w:b/>
          <w:bCs/>
          <w:color w:val="374151"/>
          <w:sz w:val="22"/>
          <w:szCs w:val="22"/>
        </w:rPr>
        <w:t xml:space="preserve">Proposal Workflow</w:t>
      </w:r>
    </w:p>
    <w:p>
      <w:pPr>
        <w:pStyle w:val="ListParagraph"/>
        <w:numPr>
          <w:ilvl w:val="0"/>
          <w:numId w:val="2"/>
        </w:numPr>
        <w:spacing w:before="0" w:after="60"/>
      </w:pPr>
      <w:r>
        <w:rPr>
          <w:rFonts w:ascii="Arial" w:cs="Arial" w:eastAsia="Arial" w:hAnsi="Arial"/>
          <w:color w:val="374151"/>
          <w:sz w:val="21"/>
          <w:szCs w:val="21"/>
        </w:rPr>
        <w:t xml:space="preserve">Auto-generated proposals are placed in the account manager's review queue — not sent to clients. The account manager can edit any section, substitute trainer recommendations, adjust pricing, and add relationship context before sending.</w:t>
      </w:r>
    </w:p>
    <w:p>
      <w:pPr>
        <w:pStyle w:val="ListParagraph"/>
        <w:numPr>
          <w:ilvl w:val="0"/>
          <w:numId w:val="2"/>
        </w:numPr>
        <w:spacing w:before="0" w:after="60"/>
      </w:pPr>
      <w:r>
        <w:rPr>
          <w:rFonts w:ascii="Arial" w:cs="Arial" w:eastAsia="Arial" w:hAnsi="Arial"/>
          <w:color w:val="374151"/>
          <w:sz w:val="21"/>
          <w:szCs w:val="21"/>
        </w:rPr>
        <w:t xml:space="preserve">One-click send: proposal sent to the client's HR Head or L&amp;D contact directly from the platform with a read receipt and time-stamp.</w:t>
      </w:r>
    </w:p>
    <w:p>
      <w:pPr>
        <w:pStyle w:val="ListParagraph"/>
        <w:numPr>
          <w:ilvl w:val="0"/>
          <w:numId w:val="2"/>
        </w:numPr>
        <w:spacing w:before="0" w:after="60"/>
      </w:pPr>
      <w:r>
        <w:rPr>
          <w:rFonts w:ascii="Arial" w:cs="Arial" w:eastAsia="Arial" w:hAnsi="Arial"/>
          <w:color w:val="374151"/>
          <w:sz w:val="21"/>
          <w:szCs w:val="21"/>
        </w:rPr>
        <w:t xml:space="preserve">Client response within platform: client can accept, request modifications, or reject — all within their own platform interface. Accepted proposals automatically create the corresponding TrainConnect project, trainer booking, and payment escrow.</w:t>
      </w:r>
    </w:p>
    <w:p>
      <w:pPr>
        <w:pStyle w:val="ListParagraph"/>
        <w:numPr>
          <w:ilvl w:val="0"/>
          <w:numId w:val="2"/>
        </w:numPr>
        <w:spacing w:before="0" w:after="60"/>
      </w:pPr>
      <w:r>
        <w:rPr>
          <w:rFonts w:ascii="Arial" w:cs="Arial" w:eastAsia="Arial" w:hAnsi="Arial"/>
          <w:color w:val="374151"/>
          <w:sz w:val="21"/>
          <w:szCs w:val="21"/>
        </w:rPr>
        <w:t xml:space="preserve">Won/lost tracking: all proposal outcomes tracked. Loss reasons captured and fed back into the AI proposal engine and opportunity detection logic to improve future recommendations.</w:t>
      </w:r>
    </w:p>
    <w:p>
      <w:pPr>
        <w:pStyle w:val="ListParagraph"/>
        <w:numPr>
          <w:ilvl w:val="0"/>
          <w:numId w:val="2"/>
        </w:numPr>
        <w:spacing w:before="0" w:after="60"/>
      </w:pPr>
      <w:r>
        <w:rPr>
          <w:rFonts w:ascii="Arial" w:cs="Arial" w:eastAsia="Arial" w:hAnsi="Arial"/>
          <w:color w:val="374151"/>
          <w:sz w:val="21"/>
          <w:szCs w:val="21"/>
        </w:rPr>
        <w:t xml:space="preserve">Proposal version history: every edit to a proposal is versioned. The account manager can see the original AI draft vs the final sent version — useful for calibrating AI output quality over time.</w:t>
      </w:r>
    </w:p>
    <w:p>
      <w:pPr>
        <w:spacing w:before="0" w:after="80"/>
      </w:pPr>
    </w:p>
    <w:p>
      <w:pPr>
        <w:pStyle w:val="Heading3"/>
        <w:spacing w:before="220" w:after="80"/>
      </w:pPr>
      <w:r>
        <w:rPr>
          <w:rFonts w:ascii="Arial" w:cs="Arial" w:eastAsia="Arial" w:hAnsi="Arial"/>
          <w:b/>
          <w:bCs/>
          <w:color w:val="1E6FFF"/>
          <w:sz w:val="24"/>
          <w:szCs w:val="24"/>
        </w:rPr>
        <w:t xml:space="preserve">6.2.5 Edstellar Trainer and Coach Network Integration</w:t>
      </w:r>
    </w:p>
    <w:p>
      <w:pPr>
        <w:pStyle w:val="ListParagraph"/>
        <w:numPr>
          <w:ilvl w:val="0"/>
          <w:numId w:val="2"/>
        </w:numPr>
        <w:spacing w:before="0" w:after="60"/>
      </w:pPr>
      <w:r>
        <w:rPr>
          <w:rFonts w:ascii="Arial" w:cs="Arial" w:eastAsia="Arial" w:hAnsi="Arial"/>
          <w:color w:val="374151"/>
          <w:sz w:val="21"/>
          <w:szCs w:val="21"/>
        </w:rPr>
        <w:t xml:space="preserve">Every trainer and coach in the Edstellar network has a structured profile where their specialisations are mapped to the FrameworkBible skill and competency taxonomy — enabling precise matching against client gap briefs rather than loose keyword matching.</w:t>
      </w:r>
    </w:p>
    <w:p>
      <w:pPr>
        <w:pStyle w:val="ListParagraph"/>
        <w:numPr>
          <w:ilvl w:val="0"/>
          <w:numId w:val="2"/>
        </w:numPr>
        <w:spacing w:before="0" w:after="60"/>
      </w:pPr>
      <w:r>
        <w:rPr>
          <w:rFonts w:ascii="Arial" w:cs="Arial" w:eastAsia="Arial" w:hAnsi="Arial"/>
          <w:color w:val="374151"/>
          <w:sz w:val="21"/>
          <w:szCs w:val="21"/>
        </w:rPr>
        <w:t xml:space="preserve">Competency-to-trainer mapping: every skill and competency in the standard Edstellar taxonomy has pre-mapped trainer recommendations. When a new client onboards with a standard taxonomy, the proposal engine can immediately identify the best-matched trainers without any manual configuration.</w:t>
      </w:r>
    </w:p>
    <w:p>
      <w:pPr>
        <w:pStyle w:val="ListParagraph"/>
        <w:numPr>
          <w:ilvl w:val="0"/>
          <w:numId w:val="2"/>
        </w:numPr>
        <w:spacing w:before="0" w:after="60"/>
      </w:pPr>
      <w:r>
        <w:rPr>
          <w:rFonts w:ascii="Arial" w:cs="Arial" w:eastAsia="Arial" w:hAnsi="Arial"/>
          <w:color w:val="374151"/>
          <w:sz w:val="21"/>
          <w:szCs w:val="21"/>
        </w:rPr>
        <w:t xml:space="preserve">Availability matching: trainer availability is checked against the client's proposed intervention timeline before the proposal is generated. No proposal is sent with a trainer recommendation who cannot meet the timeline.</w:t>
      </w:r>
    </w:p>
    <w:p>
      <w:pPr>
        <w:pStyle w:val="ListParagraph"/>
        <w:numPr>
          <w:ilvl w:val="0"/>
          <w:numId w:val="2"/>
        </w:numPr>
        <w:spacing w:before="0" w:after="60"/>
      </w:pPr>
      <w:r>
        <w:rPr>
          <w:rFonts w:ascii="Arial" w:cs="Arial" w:eastAsia="Arial" w:hAnsi="Arial"/>
          <w:color w:val="374151"/>
          <w:sz w:val="21"/>
          <w:szCs w:val="21"/>
        </w:rPr>
        <w:t xml:space="preserve">Past performance filter: effectiveness scores from previous engagements on the same or similar topics are incorporated into match scoring. A trainer with a 4.8/5 Kirkpatrick L3 score on Python programming is ranked higher for a Python gap brief than a trainer with only L1 scores available.</w:t>
      </w:r>
    </w:p>
    <w:p>
      <w:pPr>
        <w:pStyle w:val="ListParagraph"/>
        <w:numPr>
          <w:ilvl w:val="0"/>
          <w:numId w:val="2"/>
        </w:numPr>
        <w:spacing w:before="0" w:after="60"/>
      </w:pPr>
      <w:r>
        <w:rPr>
          <w:rFonts w:ascii="Arial" w:cs="Arial" w:eastAsia="Arial" w:hAnsi="Arial"/>
          <w:color w:val="374151"/>
          <w:sz w:val="21"/>
          <w:szCs w:val="21"/>
        </w:rPr>
        <w:t xml:space="preserve">Network gap escalation: when the opportunity detection engine identifies a high-priority gap that has no qualified trainer in the Edstellar network, this is escalated to the Head of Network Development as a talent acquisition priority — not just a missed commercial opportunity.</w:t>
      </w:r>
    </w:p>
    <w:p>
      <w:pPr>
        <w:spacing w:before="0" w:after="120"/>
      </w:pPr>
    </w:p>
    <w:p>
      <w:pPr>
        <w:pageBreakBefore/>
      </w:pPr>
      <w:r>
        <w:t xml:space="preserve"/>
      </w:r>
    </w:p>
    <w:p>
      <w:pPr>
        <w:pStyle w:val="Heading2"/>
        <w:spacing w:before="300" w:after="120"/>
      </w:pPr>
      <w:r>
        <w:rPr>
          <w:rFonts w:ascii="Arial" w:cs="Arial" w:eastAsia="Arial" w:hAnsi="Arial"/>
          <w:b/>
          <w:bCs/>
          <w:color w:val="1E3A6E"/>
          <w:sz w:val="30"/>
          <w:szCs w:val="30"/>
        </w:rPr>
        <w:t xml:space="preserve">6.3 Edstellar Admin Console — The Governance Layer</w:t>
      </w:r>
    </w:p>
    <w:p>
      <w:pPr>
        <w:spacing w:before="0" w:after="100"/>
        <w:jc w:val="left"/>
      </w:pPr>
      <w:r>
        <w:rPr>
          <w:rFonts w:ascii="Arial" w:cs="Arial" w:eastAsia="Arial" w:hAnsi="Arial"/>
          <w:b w:val="false"/>
          <w:bCs w:val="false"/>
          <w:i w:val="false"/>
          <w:iCs w:val="false"/>
          <w:color w:val="374151"/>
          <w:sz w:val="22"/>
          <w:szCs w:val="22"/>
        </w:rPr>
        <w:t xml:space="preserve">The Edstellar Admin Console is the internal tool used exclusively by the Edstellar team — account managers, commercial directors, marketplace operations, finance, and quality governance. It has absolute control over every commercial and operational setting across all four platforms. Nothing in the marketplace works without explicit Admin Console configuration. It is the single source of truth for all commercial agreements, commission structures, credit pricing, and platform permissions.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14"/>
              <w:bottom w:val="single" w:color="DC2626" w:sz="4"/>
              <w:right w:val="single" w:color="DC2626" w:sz="4"/>
            </w:tcBorders>
            <w:shd w:fill="FEF2F2" w:val="clear"/>
            <w:tcMar>
              <w:top w:type="dxa" w:w="120"/>
              <w:left w:type="dxa" w:w="180"/>
              <w:bottom w:type="dxa" w:w="120"/>
              <w:right w:type="dxa" w:w="160"/>
            </w:tcMar>
          </w:tcPr>
          <w:p>
            <w:pPr>
              <w:spacing w:before="0" w:after="60"/>
            </w:pPr>
            <w:r>
              <w:rPr>
                <w:rFonts w:ascii="Arial" w:cs="Arial" w:eastAsia="Arial" w:hAnsi="Arial"/>
                <w:b/>
                <w:bCs/>
                <w:color w:val="7F1D1D"/>
                <w:sz w:val="22"/>
                <w:szCs w:val="22"/>
              </w:rPr>
              <w:t xml:space="preserve">ADMIN CONSOLE AUTHORITY</w:t>
            </w:r>
          </w:p>
          <w:p>
            <w:pPr>
              <w:spacing w:before="0" w:after="0"/>
            </w:pPr>
            <w:r>
              <w:rPr>
                <w:rFonts w:ascii="Arial" w:cs="Arial" w:eastAsia="Arial" w:hAnsi="Arial"/>
                <w:color w:val="374151"/>
                <w:sz w:val="20"/>
                <w:szCs w:val="20"/>
              </w:rPr>
              <w:t xml:space="preserve">Every marketplace feature is OFF by default for every client organisation, every trainer, every coach, and every vendor. Edstellar Admin explicitly enables each feature, per entity, per commercial agreement. This is not just a technical safeguard — it is the commercial governance model. The Admin Console ensures that every capability that is enabled is enabled intentionally, at the right commercial terms, for the right entity.</w:t>
            </w:r>
          </w:p>
        </w:tc>
      </w:tr>
    </w:tbl>
    <w:p>
      <w:pPr>
        <w:spacing w:before="0" w:after="120"/>
      </w:pPr>
    </w:p>
    <w:p>
      <w:pPr>
        <w:pStyle w:val="Heading3"/>
        <w:spacing w:before="220" w:after="80"/>
      </w:pPr>
      <w:r>
        <w:rPr>
          <w:rFonts w:ascii="Arial" w:cs="Arial" w:eastAsia="Arial" w:hAnsi="Arial"/>
          <w:b/>
          <w:bCs/>
          <w:color w:val="1E6FFF"/>
          <w:sz w:val="24"/>
          <w:szCs w:val="24"/>
        </w:rPr>
        <w:t xml:space="preserve">6.3.1 Client Configuration — Master Switches and Feature Enablement</w:t>
      </w:r>
    </w:p>
    <w:p>
      <w:pPr>
        <w:spacing w:before="0" w:after="100"/>
        <w:jc w:val="left"/>
      </w:pPr>
      <w:r>
        <w:rPr>
          <w:rFonts w:ascii="Arial" w:cs="Arial" w:eastAsia="Arial" w:hAnsi="Arial"/>
          <w:b w:val="false"/>
          <w:bCs w:val="false"/>
          <w:i w:val="false"/>
          <w:iCs w:val="false"/>
          <w:color w:val="374151"/>
          <w:sz w:val="22"/>
          <w:szCs w:val="22"/>
        </w:rPr>
        <w:t xml:space="preserve">Every client organisation's marketplace access is governed by a set of master switches configured in the Admin Console. The default state for every switch is OFF.</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560"/>
        <w:gridCol w:w="2800"/>
      </w:tblGrid>
      <w:tr>
        <w:tc>
          <w:tcPr>
            <w:tcW w:type="dxa" w:w="2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5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Admin Control</w:t>
            </w:r>
          </w:p>
        </w:tc>
        <w:tc>
          <w:tcPr>
            <w:tcW w:type="dxa" w:w="2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Commercial Relevance</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Trainer &amp; Coach Platform Access</w:t>
            </w:r>
          </w:p>
        </w:tc>
        <w:tc>
          <w:tcPr>
            <w:tcW w:type="dxa" w:w="12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OFF</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Enable per client. Set credit pricing tier (SMB/Mid-market/Enterprise). Set per-profile view credit cost. Set re-view window (default: re-view same profile free within 90 days). Grant complimentary credits. Set visible trainer categories.</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Every credit purchase and profile view is revenue. Enabling access should align with the client's commercial tier and contract terms.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Internal Trainer Registry</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OFF</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Enable per client. Internal trainers do not consume credits — they bypass the commercial booking system. This feature is a value-add for enterprise clients.</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Strategic: reduces friction for enterprise clients who want to manage internal delivery alongside marketplace sourcing.</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Training Vendor Platform Access</w:t>
            </w:r>
          </w:p>
        </w:tc>
        <w:tc>
          <w:tcPr>
            <w:tcW w:type="dxa" w:w="12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OFF</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Enable per client. Set Edstellar vendor preference level (no preference / preferred / sole vendor for this client). Set minimum proposal count for procurement policy compliance (default: 3). Enable or disable specific vendor categories.</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Controls whether Edstellar competes as a vendor and at what competitive position. Sole vendor setting maximises Edstellar revenue but requires client commitment.</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Referral Programme Access</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OFF</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Enable per client. Trainers working with this client can submit referrals on the client's behalf. Configure whether the client's account manager is notified of referrals related to their account.</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Enables trainers to be commercial partners. Creates warm pipeline from trusted relationships.</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AI Proposal Engine</w:t>
            </w:r>
          </w:p>
        </w:tc>
        <w:tc>
          <w:tcPr>
            <w:tcW w:type="dxa" w:w="12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ON (Edstellar internal)</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Always on for Edstellar account team. Cannot be disabled. All proposals are internal until the account manager sends them. Client never sees the proposal engine or knows proposals are AI-generated.</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Core commercial capability. Always enabled. Account manager can configure proposal template preferences and default facilitator pools per client.</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Opportunity Intelligence Dashboard</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ON (Edstellar internal)</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Always on for account managers and commercial directors. Access control within the Edstellar team by role (account manager sees only their assigned clients; commercial director sees all).</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Always enabled. Scoped access ensures account managers are not distracted by clients not on their portfolio.</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Skill Passport Verification (Hiring Companies)</w:t>
            </w:r>
          </w:p>
        </w:tc>
        <w:tc>
          <w:tcPr>
            <w:tcW w:type="dxa" w:w="12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OFF</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Enable verification endpoint per client org (required for their employees' passports to be verifiable). Set verification tier availability (Standard only / Standard + Deep). Enable the Hiring Company Portal for the client's employees.</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Verification revenue from hiring companies. Client org must opt in for their employees' passports to be verifiable — this is a value-add to retain client relationships.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Cross-Org Benchmarking Contribution</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OFF</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Enable benchmark data contribution per client. Client must opt in for their anonymised data to appear in benchmark pools. Edstellar Admin can see which clients are contributing and which aren't — informing conversations about benchmark pool quality.</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 for benchmark product quality. The more orgs contributing, the more valuable the benchmark becomes for all.</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API Access</w:t>
            </w:r>
          </w:p>
        </w:tc>
        <w:tc>
          <w:tcPr>
            <w:tcW w:type="dxa" w:w="12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OFF</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Enable API access per client per tier (Standard / Professional / Enterprise). Set rate limits and scope permissions. API keys generated and managed in the Admin Console.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access is a revenue tier differentiator. Rate limits and scope permissions ensure clients are on the right commercial tier for their usage.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Freemium to Paid Conversion Controls</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Automatic</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can configure conversion trigger thresholds (e.g. at what assessment volume does the free tier trial end?), promotional credit grants for conversion incentives, and conversion email sequences.</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Controls the commercial parameters of the freemium funnel. Edstellar Admin sets the commercial levers for conversion.</w:t>
            </w:r>
          </w:p>
        </w:tc>
      </w:tr>
    </w:tbl>
    <w:p>
      <w:pPr>
        <w:spacing w:before="0" w:after="120"/>
      </w:pPr>
    </w:p>
    <w:p>
      <w:pPr>
        <w:pStyle w:val="Heading3"/>
        <w:spacing w:before="220" w:after="80"/>
      </w:pPr>
      <w:r>
        <w:rPr>
          <w:rFonts w:ascii="Arial" w:cs="Arial" w:eastAsia="Arial" w:hAnsi="Arial"/>
          <w:b/>
          <w:bCs/>
          <w:color w:val="1E6FFF"/>
          <w:sz w:val="24"/>
          <w:szCs w:val="24"/>
        </w:rPr>
        <w:t xml:space="preserve">6.3.2 Commission and Credit Pricing Management</w:t>
      </w:r>
    </w:p>
    <w:p>
      <w:pPr>
        <w:spacing w:before="0" w:after="100"/>
        <w:jc w:val="left"/>
      </w:pPr>
      <w:r>
        <w:rPr>
          <w:rFonts w:ascii="Arial" w:cs="Arial" w:eastAsia="Arial" w:hAnsi="Arial"/>
          <w:b w:val="false"/>
          <w:bCs w:val="false"/>
          <w:i w:val="false"/>
          <w:iCs w:val="false"/>
          <w:color w:val="374151"/>
          <w:sz w:val="22"/>
          <w:szCs w:val="22"/>
        </w:rPr>
        <w:t xml:space="preserve">The Admin Console is the single source of truth for all commercial pricing across the marketplace. No pricing is hardcoded — everything is configurable and auditable.</w:t>
      </w:r>
    </w:p>
    <w:p>
      <w:pPr>
        <w:spacing w:before="0" w:after="60"/>
      </w:pPr>
    </w:p>
    <w:p>
      <w:pPr>
        <w:spacing w:before="160" w:after="60"/>
      </w:pPr>
      <w:r>
        <w:rPr>
          <w:rFonts w:ascii="Arial" w:cs="Arial" w:eastAsia="Arial" w:hAnsi="Arial"/>
          <w:b/>
          <w:bCs/>
          <w:color w:val="374151"/>
          <w:sz w:val="22"/>
          <w:szCs w:val="22"/>
        </w:rPr>
        <w:t xml:space="preserve">Commission Rate Management</w:t>
      </w:r>
    </w:p>
    <w:p>
      <w:pPr>
        <w:pStyle w:val="ListParagraph"/>
        <w:numPr>
          <w:ilvl w:val="0"/>
          <w:numId w:val="2"/>
        </w:numPr>
        <w:spacing w:before="0" w:after="60"/>
      </w:pPr>
      <w:r>
        <w:rPr>
          <w:rFonts w:ascii="Arial" w:cs="Arial" w:eastAsia="Arial" w:hAnsi="Arial"/>
          <w:color w:val="374151"/>
          <w:sz w:val="21"/>
          <w:szCs w:val="21"/>
        </w:rPr>
        <w:t xml:space="preserve">Commission rates set by: trainer/coach category (executive coaches at higher rates than general skills trainers), engagement type (full-programme vs single-session vs retainer vs coaching package), engagement value band (lower commission on high-value deals to stay competitive), and client tier (enterprise clients may negotiate lower commission rates as part of their commercial agreement).</w:t>
      </w:r>
    </w:p>
    <w:p>
      <w:pPr>
        <w:pStyle w:val="ListParagraph"/>
        <w:numPr>
          <w:ilvl w:val="0"/>
          <w:numId w:val="2"/>
        </w:numPr>
        <w:spacing w:before="0" w:after="60"/>
      </w:pPr>
      <w:r>
        <w:rPr>
          <w:rFonts w:ascii="Arial" w:cs="Arial" w:eastAsia="Arial" w:hAnsi="Arial"/>
          <w:color w:val="374151"/>
          <w:sz w:val="21"/>
          <w:szCs w:val="21"/>
        </w:rPr>
        <w:t xml:space="preserve">Commission rate modelling: before changing a rate, Edstellar Admin can model the revenue impact — showing projected monthly and annual revenue change based on current booking volume for the affected category.</w:t>
      </w:r>
    </w:p>
    <w:p>
      <w:pPr>
        <w:pStyle w:val="ListParagraph"/>
        <w:numPr>
          <w:ilvl w:val="0"/>
          <w:numId w:val="2"/>
        </w:numPr>
        <w:spacing w:before="0" w:after="60"/>
      </w:pPr>
      <w:r>
        <w:rPr>
          <w:rFonts w:ascii="Arial" w:cs="Arial" w:eastAsia="Arial" w:hAnsi="Arial"/>
          <w:color w:val="374151"/>
          <w:sz w:val="21"/>
          <w:szCs w:val="21"/>
        </w:rPr>
        <w:t xml:space="preserve">Volume tier for trainers: trainers who exceed a booking volume threshold receive a reduced commission rate — incentivising platform loyalty and volume growth. Thresholds and rates configurable per trainer category.</w:t>
      </w:r>
    </w:p>
    <w:p>
      <w:pPr>
        <w:pStyle w:val="ListParagraph"/>
        <w:numPr>
          <w:ilvl w:val="0"/>
          <w:numId w:val="2"/>
        </w:numPr>
        <w:spacing w:before="0" w:after="60"/>
      </w:pPr>
      <w:r>
        <w:rPr>
          <w:rFonts w:ascii="Arial" w:cs="Arial" w:eastAsia="Arial" w:hAnsi="Arial"/>
          <w:color w:val="374151"/>
          <w:sz w:val="21"/>
          <w:szCs w:val="21"/>
        </w:rPr>
        <w:t xml:space="preserve">Commission transparency: every trainer sees the applicable commission rate when setting up their booking and in their earnings dashboard. Rate changes are notified 30 days in advance. Historical rates are locked for engagements already confirmed.</w:t>
      </w:r>
    </w:p>
    <w:p>
      <w:pPr>
        <w:pStyle w:val="ListParagraph"/>
        <w:numPr>
          <w:ilvl w:val="0"/>
          <w:numId w:val="2"/>
        </w:numPr>
        <w:spacing w:before="0" w:after="60"/>
      </w:pPr>
      <w:r>
        <w:rPr>
          <w:rFonts w:ascii="Arial" w:cs="Arial" w:eastAsia="Arial" w:hAnsi="Arial"/>
          <w:color w:val="374151"/>
          <w:sz w:val="21"/>
          <w:szCs w:val="21"/>
        </w:rPr>
        <w:t xml:space="preserve">Commission audit trail: every commission calculation is logged with the rate version applied, the booking ID, and the payment timeline. Exportable for finance reconciliation.</w:t>
      </w:r>
    </w:p>
    <w:p>
      <w:pPr>
        <w:spacing w:before="0" w:after="60"/>
      </w:pPr>
    </w:p>
    <w:p>
      <w:pPr>
        <w:spacing w:before="160" w:after="60"/>
      </w:pPr>
      <w:r>
        <w:rPr>
          <w:rFonts w:ascii="Arial" w:cs="Arial" w:eastAsia="Arial" w:hAnsi="Arial"/>
          <w:b/>
          <w:bCs/>
          <w:color w:val="374151"/>
          <w:sz w:val="22"/>
          <w:szCs w:val="22"/>
        </w:rPr>
        <w:t xml:space="preserve">Credit Pricing Management</w:t>
      </w:r>
    </w:p>
    <w:p>
      <w:pPr>
        <w:pStyle w:val="ListParagraph"/>
        <w:numPr>
          <w:ilvl w:val="0"/>
          <w:numId w:val="2"/>
        </w:numPr>
        <w:spacing w:before="0" w:after="60"/>
      </w:pPr>
      <w:r>
        <w:rPr>
          <w:rFonts w:ascii="Arial" w:cs="Arial" w:eastAsia="Arial" w:hAnsi="Arial"/>
          <w:color w:val="374151"/>
          <w:sz w:val="21"/>
          <w:szCs w:val="21"/>
        </w:rPr>
        <w:t xml:space="preserve">Credit price per buyer type: client organisations and training companies have separate credit pricing tiers. Training companies typically pay a lower per-credit price because they consume higher volumes.</w:t>
      </w:r>
    </w:p>
    <w:p>
      <w:pPr>
        <w:pStyle w:val="ListParagraph"/>
        <w:numPr>
          <w:ilvl w:val="0"/>
          <w:numId w:val="2"/>
        </w:numPr>
        <w:spacing w:before="0" w:after="60"/>
      </w:pPr>
      <w:r>
        <w:rPr>
          <w:rFonts w:ascii="Arial" w:cs="Arial" w:eastAsia="Arial" w:hAnsi="Arial"/>
          <w:color w:val="374151"/>
          <w:sz w:val="21"/>
          <w:szCs w:val="21"/>
        </w:rPr>
        <w:t xml:space="preserve">Credit price per buyer tier: SMB clients may pay a higher per-credit price than enterprise clients. Edstellar Admin sets pricing by named tier (Lite, Growth, Scale, Enterprise) and can also set custom pricing per individual client.</w:t>
      </w:r>
    </w:p>
    <w:p>
      <w:pPr>
        <w:pStyle w:val="ListParagraph"/>
        <w:numPr>
          <w:ilvl w:val="0"/>
          <w:numId w:val="2"/>
        </w:numPr>
        <w:spacing w:before="0" w:after="60"/>
      </w:pPr>
      <w:r>
        <w:rPr>
          <w:rFonts w:ascii="Arial" w:cs="Arial" w:eastAsia="Arial" w:hAnsi="Arial"/>
          <w:color w:val="374151"/>
          <w:sz w:val="21"/>
          <w:szCs w:val="21"/>
        </w:rPr>
        <w:t xml:space="preserve">Profile category credit cost: executive coaches and specialist facilitators may cost more credits to view than general skills trainers. Configurable per profile category.</w:t>
      </w:r>
    </w:p>
    <w:p>
      <w:pPr>
        <w:pStyle w:val="ListParagraph"/>
        <w:numPr>
          <w:ilvl w:val="0"/>
          <w:numId w:val="2"/>
        </w:numPr>
        <w:spacing w:before="0" w:after="60"/>
      </w:pPr>
      <w:r>
        <w:rPr>
          <w:rFonts w:ascii="Arial" w:cs="Arial" w:eastAsia="Arial" w:hAnsi="Arial"/>
          <w:color w:val="374151"/>
          <w:sz w:val="21"/>
          <w:szCs w:val="21"/>
        </w:rPr>
        <w:t xml:space="preserve">Credit pricing simulation: Admin can simulate the revenue impact of a credit price change — showing projected monthly credit revenue based on current consumption patterns.</w:t>
      </w:r>
    </w:p>
    <w:p>
      <w:pPr>
        <w:pStyle w:val="ListParagraph"/>
        <w:numPr>
          <w:ilvl w:val="0"/>
          <w:numId w:val="2"/>
        </w:numPr>
        <w:spacing w:before="0" w:after="60"/>
      </w:pPr>
      <w:r>
        <w:rPr>
          <w:rFonts w:ascii="Arial" w:cs="Arial" w:eastAsia="Arial" w:hAnsi="Arial"/>
          <w:color w:val="374151"/>
          <w:sz w:val="21"/>
          <w:szCs w:val="21"/>
        </w:rPr>
        <w:t xml:space="preserve">Complimentary credit grants: Admin can allocate free credits to a client organisation for onboarding, promotional campaigns, or commercial relationship investment. Each grant is logged with reason, granted by, and approval chain.</w:t>
      </w:r>
    </w:p>
    <w:p>
      <w:pPr>
        <w:pStyle w:val="ListParagraph"/>
        <w:numPr>
          <w:ilvl w:val="0"/>
          <w:numId w:val="2"/>
        </w:numPr>
        <w:spacing w:before="0" w:after="60"/>
      </w:pPr>
      <w:r>
        <w:rPr>
          <w:rFonts w:ascii="Arial" w:cs="Arial" w:eastAsia="Arial" w:hAnsi="Arial"/>
          <w:color w:val="374151"/>
          <w:sz w:val="21"/>
          <w:szCs w:val="21"/>
        </w:rPr>
        <w:t xml:space="preserve">Credit usage analytics per client: Admin sees which profiles each client has viewed (but not the detail of what they viewed — that is client-confidential). Useful for understanding buying intent and informing account manager conversations.</w:t>
      </w:r>
    </w:p>
    <w:p>
      <w:pPr>
        <w:spacing w:before="0" w:after="80"/>
      </w:pPr>
    </w:p>
    <w:p>
      <w:pPr>
        <w:pStyle w:val="Heading3"/>
        <w:spacing w:before="220" w:after="80"/>
      </w:pPr>
      <w:r>
        <w:rPr>
          <w:rFonts w:ascii="Arial" w:cs="Arial" w:eastAsia="Arial" w:hAnsi="Arial"/>
          <w:b/>
          <w:bCs/>
          <w:color w:val="1E6FFF"/>
          <w:sz w:val="24"/>
          <w:szCs w:val="24"/>
        </w:rPr>
        <w:t xml:space="preserve">6.3.3 Marketplace Operations Dashboard</w:t>
      </w:r>
    </w:p>
    <w:p>
      <w:pPr>
        <w:spacing w:before="0" w:after="100"/>
        <w:jc w:val="left"/>
      </w:pPr>
      <w:r>
        <w:rPr>
          <w:rFonts w:ascii="Arial" w:cs="Arial" w:eastAsia="Arial" w:hAnsi="Arial"/>
          <w:b w:val="false"/>
          <w:bCs w:val="false"/>
          <w:i w:val="false"/>
          <w:iCs w:val="false"/>
          <w:color w:val="374151"/>
          <w:sz w:val="22"/>
          <w:szCs w:val="22"/>
        </w:rPr>
        <w:t xml:space="preserve">The operations dashboard gives the Edstellar team a real-time view of the health of the entire marketplace ecosystem — not just individual client accounts.</w:t>
      </w:r>
    </w:p>
    <w:p>
      <w:pPr>
        <w:spacing w:before="0" w:after="60"/>
      </w:pPr>
    </w:p>
    <w:p>
      <w:pPr>
        <w:spacing w:before="160" w:after="60"/>
      </w:pPr>
      <w:r>
        <w:rPr>
          <w:rFonts w:ascii="Arial" w:cs="Arial" w:eastAsia="Arial" w:hAnsi="Arial"/>
          <w:b/>
          <w:bCs/>
          <w:color w:val="374151"/>
          <w:sz w:val="22"/>
          <w:szCs w:val="22"/>
        </w:rPr>
        <w:t xml:space="preserve">Platform Health Metrics (Live)</w:t>
      </w:r>
    </w:p>
    <w:p>
      <w:pPr>
        <w:pStyle w:val="ListParagraph"/>
        <w:numPr>
          <w:ilvl w:val="0"/>
          <w:numId w:val="2"/>
        </w:numPr>
        <w:spacing w:before="0" w:after="60"/>
      </w:pPr>
      <w:r>
        <w:rPr>
          <w:rFonts w:ascii="Arial" w:cs="Arial" w:eastAsia="Arial" w:hAnsi="Arial"/>
          <w:color w:val="374151"/>
          <w:sz w:val="21"/>
          <w:szCs w:val="21"/>
        </w:rPr>
        <w:t xml:space="preserve">Total active trainers and coaches: broken down by category (skills trainer, executive coach, OD facilitator, leadership coach), geographic region, average rating, and active-in-last-90-days count.</w:t>
      </w:r>
    </w:p>
    <w:p>
      <w:pPr>
        <w:pStyle w:val="ListParagraph"/>
        <w:numPr>
          <w:ilvl w:val="0"/>
          <w:numId w:val="2"/>
        </w:numPr>
        <w:spacing w:before="0" w:after="60"/>
      </w:pPr>
      <w:r>
        <w:rPr>
          <w:rFonts w:ascii="Arial" w:cs="Arial" w:eastAsia="Arial" w:hAnsi="Arial"/>
          <w:color w:val="374151"/>
          <w:sz w:val="21"/>
          <w:szCs w:val="21"/>
        </w:rPr>
        <w:t xml:space="preserve">Total client organisations: broken down by level, tier, marketplace features enabled, active assessment cycle status, and last activity timestamp.</w:t>
      </w:r>
    </w:p>
    <w:p>
      <w:pPr>
        <w:pStyle w:val="ListParagraph"/>
        <w:numPr>
          <w:ilvl w:val="0"/>
          <w:numId w:val="2"/>
        </w:numPr>
        <w:spacing w:before="0" w:after="60"/>
      </w:pPr>
      <w:r>
        <w:rPr>
          <w:rFonts w:ascii="Arial" w:cs="Arial" w:eastAsia="Arial" w:hAnsi="Arial"/>
          <w:color w:val="374151"/>
          <w:sz w:val="21"/>
          <w:szCs w:val="21"/>
        </w:rPr>
        <w:t xml:space="preserve">Total training vendors: listed, active-in-last-90-days, average proposal win rate, average client rating.</w:t>
      </w:r>
    </w:p>
    <w:p>
      <w:pPr>
        <w:pStyle w:val="ListParagraph"/>
        <w:numPr>
          <w:ilvl w:val="0"/>
          <w:numId w:val="2"/>
        </w:numPr>
        <w:spacing w:before="0" w:after="60"/>
      </w:pPr>
      <w:r>
        <w:rPr>
          <w:rFonts w:ascii="Arial" w:cs="Arial" w:eastAsia="Arial" w:hAnsi="Arial"/>
          <w:color w:val="374151"/>
          <w:sz w:val="21"/>
          <w:szCs w:val="21"/>
        </w:rPr>
        <w:t xml:space="preserve">Briefs distributed today / this week / this month: total gap briefs sent from client orgs to vendors and to the Edstellar account team.</w:t>
      </w:r>
    </w:p>
    <w:p>
      <w:pPr>
        <w:pStyle w:val="ListParagraph"/>
        <w:numPr>
          <w:ilvl w:val="0"/>
          <w:numId w:val="2"/>
        </w:numPr>
        <w:spacing w:before="0" w:after="60"/>
      </w:pPr>
      <w:r>
        <w:rPr>
          <w:rFonts w:ascii="Arial" w:cs="Arial" w:eastAsia="Arial" w:hAnsi="Arial"/>
          <w:color w:val="374151"/>
          <w:sz w:val="21"/>
          <w:szCs w:val="21"/>
        </w:rPr>
        <w:t xml:space="preserve">Active engagements: total engagements currently in delivery — broken down by intervention type, client, trainer, and phase (pre-delivery, in-delivery, post-delivery measurement).</w:t>
      </w:r>
    </w:p>
    <w:p>
      <w:pPr>
        <w:pStyle w:val="ListParagraph"/>
        <w:numPr>
          <w:ilvl w:val="0"/>
          <w:numId w:val="2"/>
        </w:numPr>
        <w:spacing w:before="0" w:after="60"/>
      </w:pPr>
      <w:r>
        <w:rPr>
          <w:rFonts w:ascii="Arial" w:cs="Arial" w:eastAsia="Arial" w:hAnsi="Arial"/>
          <w:color w:val="374151"/>
          <w:sz w:val="21"/>
          <w:szCs w:val="21"/>
        </w:rPr>
        <w:t xml:space="preserve">Escrow positions: total value currently held in escrow, total pending release, total released this month. Separate flags for any escrow amounts that have been held for more than 30 days without delivery confirmation.</w:t>
      </w:r>
    </w:p>
    <w:p>
      <w:pPr>
        <w:spacing w:before="0" w:after="60"/>
      </w:pPr>
    </w:p>
    <w:p>
      <w:pPr>
        <w:spacing w:before="160" w:after="60"/>
      </w:pPr>
      <w:r>
        <w:rPr>
          <w:rFonts w:ascii="Arial" w:cs="Arial" w:eastAsia="Arial" w:hAnsi="Arial"/>
          <w:b/>
          <w:bCs/>
          <w:color w:val="374151"/>
          <w:sz w:val="22"/>
          <w:szCs w:val="22"/>
        </w:rPr>
        <w:t xml:space="preserve">Revenue Dashboard</w:t>
      </w:r>
    </w:p>
    <w:p>
      <w:pPr>
        <w:pStyle w:val="ListParagraph"/>
        <w:numPr>
          <w:ilvl w:val="0"/>
          <w:numId w:val="2"/>
        </w:numPr>
        <w:spacing w:before="0" w:after="60"/>
      </w:pPr>
      <w:r>
        <w:rPr>
          <w:rFonts w:ascii="Arial" w:cs="Arial" w:eastAsia="Arial" w:hAnsi="Arial"/>
          <w:color w:val="374151"/>
          <w:sz w:val="21"/>
          <w:szCs w:val="21"/>
        </w:rPr>
        <w:t xml:space="preserve">Credit revenue: by client, by training company, by credit bundle purchased, by time period. Running total vs target.</w:t>
      </w:r>
    </w:p>
    <w:p>
      <w:pPr>
        <w:pStyle w:val="ListParagraph"/>
        <w:numPr>
          <w:ilvl w:val="0"/>
          <w:numId w:val="2"/>
        </w:numPr>
        <w:spacing w:before="0" w:after="60"/>
      </w:pPr>
      <w:r>
        <w:rPr>
          <w:rFonts w:ascii="Arial" w:cs="Arial" w:eastAsia="Arial" w:hAnsi="Arial"/>
          <w:color w:val="374151"/>
          <w:sz w:val="21"/>
          <w:szCs w:val="21"/>
        </w:rPr>
        <w:t xml:space="preserve">Commission revenue: by engagement, by trainer category, by client, by intervention type, by time period. Running total vs target. Commission revenue breakdown showing which trainer categories are generating the most commission.</w:t>
      </w:r>
    </w:p>
    <w:p>
      <w:pPr>
        <w:pStyle w:val="ListParagraph"/>
        <w:numPr>
          <w:ilvl w:val="0"/>
          <w:numId w:val="2"/>
        </w:numPr>
        <w:spacing w:before="0" w:after="60"/>
      </w:pPr>
      <w:r>
        <w:rPr>
          <w:rFonts w:ascii="Arial" w:cs="Arial" w:eastAsia="Arial" w:hAnsi="Arial"/>
          <w:color w:val="374151"/>
          <w:sz w:val="21"/>
          <w:szCs w:val="21"/>
        </w:rPr>
        <w:t xml:space="preserve">Vendor listing fee revenue: by vendor, by listing tier, by market, by time period.</w:t>
      </w:r>
    </w:p>
    <w:p>
      <w:pPr>
        <w:pStyle w:val="ListParagraph"/>
        <w:numPr>
          <w:ilvl w:val="0"/>
          <w:numId w:val="2"/>
        </w:numPr>
        <w:spacing w:before="0" w:after="60"/>
      </w:pPr>
      <w:r>
        <w:rPr>
          <w:rFonts w:ascii="Arial" w:cs="Arial" w:eastAsia="Arial" w:hAnsi="Arial"/>
          <w:color w:val="374151"/>
          <w:sz w:val="21"/>
          <w:szCs w:val="21"/>
        </w:rPr>
        <w:t xml:space="preserve">Total platform revenue: combined across all streams. Rolling 12-month trend. Current month vs same month last year. Revenue concentration risk flag (if &gt;30% of revenue comes from a single client or trainer).</w:t>
      </w:r>
    </w:p>
    <w:p>
      <w:pPr>
        <w:pStyle w:val="ListParagraph"/>
        <w:numPr>
          <w:ilvl w:val="0"/>
          <w:numId w:val="2"/>
        </w:numPr>
        <w:spacing w:before="0" w:after="60"/>
      </w:pPr>
      <w:r>
        <w:rPr>
          <w:rFonts w:ascii="Arial" w:cs="Arial" w:eastAsia="Arial" w:hAnsi="Arial"/>
          <w:color w:val="374151"/>
          <w:sz w:val="21"/>
          <w:szCs w:val="21"/>
        </w:rPr>
        <w:t xml:space="preserve">Revenue forecast: based on proposal pipeline, active engagement milestones, and credit balance trends across client orgs. 30-day, 90-day, and 12-month forward projections.</w:t>
      </w:r>
    </w:p>
    <w:p>
      <w:pPr>
        <w:pStyle w:val="ListParagraph"/>
        <w:numPr>
          <w:ilvl w:val="0"/>
          <w:numId w:val="2"/>
        </w:numPr>
        <w:spacing w:before="0" w:after="60"/>
      </w:pPr>
      <w:r>
        <w:rPr>
          <w:rFonts w:ascii="Arial" w:cs="Arial" w:eastAsia="Arial" w:hAnsi="Arial"/>
          <w:color w:val="374151"/>
          <w:sz w:val="21"/>
          <w:szCs w:val="21"/>
        </w:rPr>
        <w:t xml:space="preserve">Finance export: all revenue data exportable in structured format for accounting system integration. Commission payment schedules exportable per trainer for payroll processing.</w:t>
      </w:r>
    </w:p>
    <w:p>
      <w:pPr>
        <w:spacing w:before="0" w:after="60"/>
      </w:pPr>
    </w:p>
    <w:p>
      <w:pPr>
        <w:spacing w:before="160" w:after="60"/>
      </w:pPr>
      <w:r>
        <w:rPr>
          <w:rFonts w:ascii="Arial" w:cs="Arial" w:eastAsia="Arial" w:hAnsi="Arial"/>
          <w:b/>
          <w:bCs/>
          <w:color w:val="374151"/>
          <w:sz w:val="22"/>
          <w:szCs w:val="22"/>
        </w:rPr>
        <w:t xml:space="preserve">Network Health Dashboard</w:t>
      </w:r>
    </w:p>
    <w:p>
      <w:pPr>
        <w:pStyle w:val="ListParagraph"/>
        <w:numPr>
          <w:ilvl w:val="0"/>
          <w:numId w:val="2"/>
        </w:numPr>
        <w:spacing w:before="0" w:after="60"/>
      </w:pPr>
      <w:r>
        <w:rPr>
          <w:rFonts w:ascii="Arial" w:cs="Arial" w:eastAsia="Arial" w:hAnsi="Arial"/>
          <w:color w:val="374151"/>
          <w:sz w:val="21"/>
          <w:szCs w:val="21"/>
        </w:rPr>
        <w:t xml:space="preserve">Topic coverage map: visual heatmap of which skill and competency areas have strong trainer/coach coverage vs weak coverage. Identifies commercial risk areas where client demand may outstrip supply.</w:t>
      </w:r>
    </w:p>
    <w:p>
      <w:pPr>
        <w:pStyle w:val="ListParagraph"/>
        <w:numPr>
          <w:ilvl w:val="0"/>
          <w:numId w:val="2"/>
        </w:numPr>
        <w:spacing w:before="0" w:after="60"/>
      </w:pPr>
      <w:r>
        <w:rPr>
          <w:rFonts w:ascii="Arial" w:cs="Arial" w:eastAsia="Arial" w:hAnsi="Arial"/>
          <w:color w:val="374151"/>
          <w:sz w:val="21"/>
          <w:szCs w:val="21"/>
        </w:rPr>
        <w:t xml:space="preserve">Trainer attrition rate: trainers who have become inactive on the platform in the last 90 days. Reason where captured (deregistered, low booking volume, moved to direct-only model).</w:t>
      </w:r>
    </w:p>
    <w:p>
      <w:pPr>
        <w:pStyle w:val="ListParagraph"/>
        <w:numPr>
          <w:ilvl w:val="0"/>
          <w:numId w:val="2"/>
        </w:numPr>
        <w:spacing w:before="0" w:after="60"/>
      </w:pPr>
      <w:r>
        <w:rPr>
          <w:rFonts w:ascii="Arial" w:cs="Arial" w:eastAsia="Arial" w:hAnsi="Arial"/>
          <w:color w:val="374151"/>
          <w:sz w:val="21"/>
          <w:szCs w:val="21"/>
        </w:rPr>
        <w:t xml:space="preserve">New trainer onboarding pipeline: applicants currently in the verification process, approval rate, average time to approval, dropout rate by verification stage.</w:t>
      </w:r>
    </w:p>
    <w:p>
      <w:pPr>
        <w:pStyle w:val="ListParagraph"/>
        <w:numPr>
          <w:ilvl w:val="0"/>
          <w:numId w:val="2"/>
        </w:numPr>
        <w:spacing w:before="0" w:after="60"/>
      </w:pPr>
      <w:r>
        <w:rPr>
          <w:rFonts w:ascii="Arial" w:cs="Arial" w:eastAsia="Arial" w:hAnsi="Arial"/>
          <w:color w:val="374151"/>
          <w:sz w:val="21"/>
          <w:szCs w:val="21"/>
        </w:rPr>
        <w:t xml:space="preserve">Trainer engagement depth: distribution of bookings across the trainer network. A healthy network should show a broad distribution — high concentration in a small number of trainers is a supply risk.</w:t>
      </w:r>
    </w:p>
    <w:p>
      <w:pPr>
        <w:pStyle w:val="ListParagraph"/>
        <w:numPr>
          <w:ilvl w:val="0"/>
          <w:numId w:val="2"/>
        </w:numPr>
        <w:spacing w:before="0" w:after="60"/>
      </w:pPr>
      <w:r>
        <w:rPr>
          <w:rFonts w:ascii="Arial" w:cs="Arial" w:eastAsia="Arial" w:hAnsi="Arial"/>
          <w:color w:val="374151"/>
          <w:sz w:val="21"/>
          <w:szCs w:val="21"/>
        </w:rPr>
        <w:t xml:space="preserve">Client geographic expansion map: where new client sign-ups are coming from vs where the trainer network is strongest. Identifies markets where network investment is needed to support commercial growth.</w:t>
      </w:r>
    </w:p>
    <w:p>
      <w:pPr>
        <w:spacing w:before="0" w:after="120"/>
      </w:pPr>
    </w:p>
    <w:p>
      <w:pPr>
        <w:pageBreakBefore/>
      </w:pPr>
      <w:r>
        <w:t xml:space="preserve"/>
      </w:r>
    </w:p>
    <w:p>
      <w:pPr>
        <w:pStyle w:val="Heading3"/>
        <w:spacing w:before="220" w:after="80"/>
      </w:pPr>
      <w:r>
        <w:rPr>
          <w:rFonts w:ascii="Arial" w:cs="Arial" w:eastAsia="Arial" w:hAnsi="Arial"/>
          <w:b/>
          <w:bCs/>
          <w:color w:val="1E6FFF"/>
          <w:sz w:val="24"/>
          <w:szCs w:val="24"/>
        </w:rPr>
        <w:t xml:space="preserve">6.3.4 Quality Governance</w:t>
      </w:r>
    </w:p>
    <w:p>
      <w:pPr>
        <w:spacing w:before="0" w:after="100"/>
        <w:jc w:val="left"/>
      </w:pPr>
      <w:r>
        <w:rPr>
          <w:rFonts w:ascii="Arial" w:cs="Arial" w:eastAsia="Arial" w:hAnsi="Arial"/>
          <w:b w:val="false"/>
          <w:bCs w:val="false"/>
          <w:i w:val="false"/>
          <w:iCs w:val="false"/>
          <w:color w:val="374151"/>
          <w:sz w:val="22"/>
          <w:szCs w:val="22"/>
        </w:rPr>
        <w:t xml:space="preserve">The quality governance capabilities in the Admin Console are the safeguard for the entire marketplace's commercial integrity. A poor trainer experience damages the client relationship. A fraudulent review damages the trainer network's credibility. A slow dispute resolution damages trust in the escrow model. Quality governance is not an operational nicety — it is a commercial necessity.</w:t>
      </w:r>
    </w:p>
    <w:p>
      <w:pPr>
        <w:spacing w:before="0" w:after="60"/>
      </w:pPr>
    </w:p>
    <w:p>
      <w:pPr>
        <w:spacing w:before="160" w:after="60"/>
      </w:pPr>
      <w:r>
        <w:rPr>
          <w:rFonts w:ascii="Arial" w:cs="Arial" w:eastAsia="Arial" w:hAnsi="Arial"/>
          <w:b/>
          <w:bCs/>
          <w:color w:val="374151"/>
          <w:sz w:val="22"/>
          <w:szCs w:val="22"/>
        </w:rPr>
        <w:t xml:space="preserve">Trainer and Coach Verification Process</w:t>
      </w:r>
    </w:p>
    <w:p>
      <w:pPr>
        <w:spacing w:before="0" w:after="100"/>
        <w:jc w:val="left"/>
      </w:pPr>
      <w:r>
        <w:rPr>
          <w:rFonts w:ascii="Arial" w:cs="Arial" w:eastAsia="Arial" w:hAnsi="Arial"/>
          <w:b w:val="false"/>
          <w:bCs w:val="false"/>
          <w:i w:val="false"/>
          <w:iCs w:val="false"/>
          <w:color w:val="374151"/>
          <w:sz w:val="22"/>
          <w:szCs w:val="22"/>
        </w:rPr>
        <w:t xml:space="preserve">Every trainer and coach application is reviewed by the Edstellar team before the profile is listed. The verification process is gatekept in the Admin Console.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Verification Check</w:t>
            </w:r>
          </w:p>
        </w:tc>
        <w:tc>
          <w:tcPr>
            <w:tcW w:type="dxa" w:w="69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Qualification Authenticity</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claimed qualifications, certifications, and accreditations must be verifiable. Edstellar Admin checks: ICF/EMCC coaching accreditation via registry lookup, professional certifications via issuer verification, academic qualifications via institution confirmation. Fraudulent credential claims result in permanent ban.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Identity Verification</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Government-issued ID matched against the submitted application. Name, date of birth, and residency confirmed. Required for payment processing compliance and fraud prevention.</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Professional References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Two professional references required from prior clients or programme participants. Edstellar Admin contacts references directly. Reference quality is evaluated — generic responses are flagged, specific behavioural evidence is weighted positively.</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Sample Programme or Coaching Review</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Trainer submits a sample programme outline or coaching session structure for the topic areas they want to be listed under. Edstellar's L&amp;D quality team reviews against quality standards. Programmes with no clear learning objectives, no participant engagement design, or no measurement plan are rejected.</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Initial Calibration Engagement</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New trainers on the platform are required to complete at least one calibration engagement — a lower-value booking at a reduced commission rate — before their profile is fully unlocked. Calibration engagement is monitored with a post-delivery quality check by the Edstellar team.</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Edstellar Verified Badge</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Awarded after successful completion of the verification process and the calibration engagement. Visible on the public teaser. Badges are reviewed annually — trainers who fall below a rating threshold or receive substantiated quality complaints lose the badge and must go through re-verification.</w:t>
            </w:r>
          </w:p>
        </w:tc>
      </w:tr>
    </w:tbl>
    <w:p>
      <w:pPr>
        <w:spacing w:before="0" w:after="80"/>
      </w:pPr>
    </w:p>
    <w:p>
      <w:pPr>
        <w:spacing w:before="160" w:after="60"/>
      </w:pPr>
      <w:r>
        <w:rPr>
          <w:rFonts w:ascii="Arial" w:cs="Arial" w:eastAsia="Arial" w:hAnsi="Arial"/>
          <w:b/>
          <w:bCs/>
          <w:color w:val="374151"/>
          <w:sz w:val="22"/>
          <w:szCs w:val="22"/>
        </w:rPr>
        <w:t xml:space="preserve">Quality Monitoring and Enforcement</w:t>
      </w:r>
    </w:p>
    <w:p>
      <w:pPr>
        <w:pStyle w:val="ListParagraph"/>
        <w:numPr>
          <w:ilvl w:val="0"/>
          <w:numId w:val="2"/>
        </w:numPr>
        <w:spacing w:before="0" w:after="60"/>
      </w:pPr>
      <w:r>
        <w:rPr>
          <w:rFonts w:ascii="Arial" w:cs="Arial" w:eastAsia="Arial" w:hAnsi="Arial"/>
          <w:color w:val="374151"/>
          <w:sz w:val="21"/>
          <w:szCs w:val="21"/>
        </w:rPr>
        <w:t xml:space="preserve">All reviews and ratings visible to Admin: Edstellar Admin can see every rating and review submitted on the platform — not just the public-facing aggregates. Includes the detailed written feedback that clients may not share publicly.</w:t>
      </w:r>
    </w:p>
    <w:p>
      <w:pPr>
        <w:pStyle w:val="ListParagraph"/>
        <w:numPr>
          <w:ilvl w:val="0"/>
          <w:numId w:val="2"/>
        </w:numPr>
        <w:spacing w:before="0" w:after="60"/>
      </w:pPr>
      <w:r>
        <w:rPr>
          <w:rFonts w:ascii="Arial" w:cs="Arial" w:eastAsia="Arial" w:hAnsi="Arial"/>
          <w:color w:val="374151"/>
          <w:sz w:val="21"/>
          <w:szCs w:val="21"/>
        </w:rPr>
        <w:t xml:space="preserve">Suspicious review detection: automated flagging of suspicious review patterns — a trainer receiving 20 five-star reviews posted within a 48-hour window, a client org that has submitted only 1-star reviews across all their trainer interactions, coordinated review submissions from the same IP address. Flagged reviews are withheld from the public profile pending Admin review.</w:t>
      </w:r>
    </w:p>
    <w:p>
      <w:pPr>
        <w:pStyle w:val="ListParagraph"/>
        <w:numPr>
          <w:ilvl w:val="0"/>
          <w:numId w:val="2"/>
        </w:numPr>
        <w:spacing w:before="0" w:after="60"/>
      </w:pPr>
      <w:r>
        <w:rPr>
          <w:rFonts w:ascii="Arial" w:cs="Arial" w:eastAsia="Arial" w:hAnsi="Arial"/>
          <w:color w:val="374151"/>
          <w:sz w:val="21"/>
          <w:szCs w:val="21"/>
        </w:rPr>
        <w:t xml:space="preserve">Quality threshold enforcement: trainers whose average rating drops below the platform minimum (configurable threshold, default 3.5/5) receive an automated quality alert. If the rating does not recover within the next 3 engagements, their profile is de-listed pending a quality review conversation.</w:t>
      </w:r>
    </w:p>
    <w:p>
      <w:pPr>
        <w:pStyle w:val="ListParagraph"/>
        <w:numPr>
          <w:ilvl w:val="0"/>
          <w:numId w:val="2"/>
        </w:numPr>
        <w:spacing w:before="0" w:after="60"/>
      </w:pPr>
      <w:r>
        <w:rPr>
          <w:rFonts w:ascii="Arial" w:cs="Arial" w:eastAsia="Arial" w:hAnsi="Arial"/>
          <w:color w:val="374151"/>
          <w:sz w:val="21"/>
          <w:szCs w:val="21"/>
        </w:rPr>
        <w:t xml:space="preserve">Trainer suspension workflow: Edstellar Admin can suspend a trainer immediately (pending investigation), with notification to: the trainer (with reason), any clients with active bookings (with a support offer), and the escrow system (to freeze payment releases pending resolution). Suspension reasons are classified: quality, conduct, contractual, legal.</w:t>
      </w:r>
    </w:p>
    <w:p>
      <w:pPr>
        <w:pStyle w:val="ListParagraph"/>
        <w:numPr>
          <w:ilvl w:val="0"/>
          <w:numId w:val="2"/>
        </w:numPr>
        <w:spacing w:before="0" w:after="60"/>
      </w:pPr>
      <w:r>
        <w:rPr>
          <w:rFonts w:ascii="Arial" w:cs="Arial" w:eastAsia="Arial" w:hAnsi="Arial"/>
          <w:color w:val="374151"/>
          <w:sz w:val="21"/>
          <w:szCs w:val="21"/>
        </w:rPr>
        <w:t xml:space="preserve">Trainer removal and appeal: permanent removal requires sign-off from the Head of Marketplace Operations. Removed trainers have a structured appeal process — a 30-day window to submit evidence. Appeals are reviewed by a panel that does not include the original decision-maker.</w:t>
      </w:r>
    </w:p>
    <w:p>
      <w:pPr>
        <w:spacing w:before="0" w:after="60"/>
      </w:pPr>
    </w:p>
    <w:p>
      <w:pPr>
        <w:spacing w:before="160" w:after="60"/>
      </w:pPr>
      <w:r>
        <w:rPr>
          <w:rFonts w:ascii="Arial" w:cs="Arial" w:eastAsia="Arial" w:hAnsi="Arial"/>
          <w:b/>
          <w:bCs/>
          <w:color w:val="374151"/>
          <w:sz w:val="22"/>
          <w:szCs w:val="22"/>
        </w:rPr>
        <w:t xml:space="preserve">Dispute Management</w:t>
      </w:r>
    </w:p>
    <w:p>
      <w:pPr>
        <w:spacing w:before="0" w:after="100"/>
        <w:jc w:val="left"/>
      </w:pPr>
      <w:r>
        <w:rPr>
          <w:rFonts w:ascii="Arial" w:cs="Arial" w:eastAsia="Arial" w:hAnsi="Arial"/>
          <w:b w:val="false"/>
          <w:bCs w:val="false"/>
          <w:i w:val="false"/>
          <w:iCs w:val="false"/>
          <w:color w:val="374151"/>
          <w:sz w:val="22"/>
          <w:szCs w:val="22"/>
        </w:rPr>
        <w:t xml:space="preserve">All disputes between buyers (clients and training companies) and sellers (trainers, coaches, vendors) are managed through the Admin Console dispute queue.</w:t>
      </w:r>
    </w:p>
    <w:p>
      <w:pPr>
        <w:spacing w:before="0" w:after="40"/>
      </w:pPr>
    </w:p>
    <w:p>
      <w:pPr>
        <w:pStyle w:val="ListParagraph"/>
        <w:numPr>
          <w:ilvl w:val="0"/>
          <w:numId w:val="2"/>
        </w:numPr>
        <w:spacing w:before="0" w:after="60"/>
      </w:pPr>
      <w:r>
        <w:rPr>
          <w:rFonts w:ascii="Arial" w:cs="Arial" w:eastAsia="Arial" w:hAnsi="Arial"/>
          <w:color w:val="374151"/>
          <w:sz w:val="21"/>
          <w:szCs w:val="21"/>
        </w:rPr>
        <w:t xml:space="preserve">Dispute creation: buyer or seller raises a dispute from within their platform. They describe the dispute, cite the engagement ID, and upload supporting evidence. Both parties are notified immediately.</w:t>
      </w:r>
    </w:p>
    <w:p>
      <w:pPr>
        <w:pStyle w:val="ListParagraph"/>
        <w:numPr>
          <w:ilvl w:val="0"/>
          <w:numId w:val="2"/>
        </w:numPr>
        <w:spacing w:before="0" w:after="60"/>
      </w:pPr>
      <w:r>
        <w:rPr>
          <w:rFonts w:ascii="Arial" w:cs="Arial" w:eastAsia="Arial" w:hAnsi="Arial"/>
          <w:color w:val="374151"/>
          <w:sz w:val="21"/>
          <w:szCs w:val="21"/>
        </w:rPr>
        <w:t xml:space="preserve">Evidence submission window: 5 business days for both parties to submit evidence. Evidence types: communications logs (all platform messages are available to Admin), delivery attendance records, content outline adherence log, Kirkpatrick L1 scores, payment records.</w:t>
      </w:r>
    </w:p>
    <w:p>
      <w:pPr>
        <w:pStyle w:val="ListParagraph"/>
        <w:numPr>
          <w:ilvl w:val="0"/>
          <w:numId w:val="2"/>
        </w:numPr>
        <w:spacing w:before="0" w:after="60"/>
      </w:pPr>
      <w:r>
        <w:rPr>
          <w:rFonts w:ascii="Arial" w:cs="Arial" w:eastAsia="Arial" w:hAnsi="Arial"/>
          <w:color w:val="374151"/>
          <w:sz w:val="21"/>
          <w:szCs w:val="21"/>
        </w:rPr>
        <w:t xml:space="preserve">Edstellar Admin decision: Admin reviews all evidence and makes a binding decision on: payment release (full, partial, or withheld), escrow return (full or partial refund), and any quality consequence for the responsible party.</w:t>
      </w:r>
    </w:p>
    <w:p>
      <w:pPr>
        <w:pStyle w:val="ListParagraph"/>
        <w:numPr>
          <w:ilvl w:val="0"/>
          <w:numId w:val="2"/>
        </w:numPr>
        <w:spacing w:before="0" w:after="60"/>
      </w:pPr>
      <w:r>
        <w:rPr>
          <w:rFonts w:ascii="Arial" w:cs="Arial" w:eastAsia="Arial" w:hAnsi="Arial"/>
          <w:color w:val="374151"/>
          <w:sz w:val="21"/>
          <w:szCs w:val="21"/>
        </w:rPr>
        <w:t xml:space="preserve">Decision timeline: Edstellar commits to an Admin decision within 10 business days of evidence submission closing. Time-to-resolution is tracked as a quality metric for the Admin team.</w:t>
      </w:r>
    </w:p>
    <w:p>
      <w:pPr>
        <w:pStyle w:val="ListParagraph"/>
        <w:numPr>
          <w:ilvl w:val="0"/>
          <w:numId w:val="2"/>
        </w:numPr>
        <w:spacing w:before="0" w:after="60"/>
      </w:pPr>
      <w:r>
        <w:rPr>
          <w:rFonts w:ascii="Arial" w:cs="Arial" w:eastAsia="Arial" w:hAnsi="Arial"/>
          <w:color w:val="374151"/>
          <w:sz w:val="21"/>
          <w:szCs w:val="21"/>
        </w:rPr>
        <w:t xml:space="preserve">Escalation path: disputes involving amounts above a configurable threshold (default: $5,000) are escalated to the Head of Marketplace Operations for review before a final decision is made.</w:t>
      </w:r>
    </w:p>
    <w:p>
      <w:pPr>
        <w:pStyle w:val="ListParagraph"/>
        <w:numPr>
          <w:ilvl w:val="0"/>
          <w:numId w:val="2"/>
        </w:numPr>
        <w:spacing w:before="0" w:after="60"/>
      </w:pPr>
      <w:r>
        <w:rPr>
          <w:rFonts w:ascii="Arial" w:cs="Arial" w:eastAsia="Arial" w:hAnsi="Arial"/>
          <w:color w:val="374151"/>
          <w:sz w:val="21"/>
          <w:szCs w:val="21"/>
        </w:rPr>
        <w:t xml:space="preserve">Dispute analytics: dispute volume by trainer, by client, by intervention type, by market, and by dispute reason. High dispute rates on a specific trainer or client are a proactive quality signal.</w:t>
      </w:r>
    </w:p>
    <w:p>
      <w:pPr>
        <w:spacing w:before="0" w:after="60"/>
      </w:pPr>
    </w:p>
    <w:p>
      <w:pPr>
        <w:spacing w:before="160" w:after="60"/>
      </w:pPr>
      <w:r>
        <w:rPr>
          <w:rFonts w:ascii="Arial" w:cs="Arial" w:eastAsia="Arial" w:hAnsi="Arial"/>
          <w:b/>
          <w:bCs/>
          <w:color w:val="374151"/>
          <w:sz w:val="22"/>
          <w:szCs w:val="22"/>
        </w:rPr>
        <w:t xml:space="preserve">Fraud Detection</w:t>
      </w:r>
    </w:p>
    <w:p>
      <w:pPr>
        <w:spacing w:before="0" w:after="100"/>
        <w:jc w:val="left"/>
      </w:pPr>
      <w:r>
        <w:rPr>
          <w:rFonts w:ascii="Arial" w:cs="Arial" w:eastAsia="Arial" w:hAnsi="Arial"/>
          <w:b w:val="false"/>
          <w:bCs w:val="false"/>
          <w:i w:val="false"/>
          <w:iCs w:val="false"/>
          <w:color w:val="374151"/>
          <w:sz w:val="22"/>
          <w:szCs w:val="22"/>
        </w:rPr>
        <w:t xml:space="preserve">Automated fraud detection runs continuously across the marketplace, with alerts surfaced in the Admin Console.</w:t>
      </w:r>
    </w:p>
    <w:p>
      <w:pPr>
        <w:spacing w:before="0" w:after="40"/>
      </w:pPr>
    </w:p>
    <w:p>
      <w:pPr>
        <w:pStyle w:val="ListParagraph"/>
        <w:numPr>
          <w:ilvl w:val="0"/>
          <w:numId w:val="2"/>
        </w:numPr>
        <w:spacing w:before="0" w:after="60"/>
      </w:pPr>
      <w:r>
        <w:rPr>
          <w:rFonts w:ascii="Arial" w:cs="Arial" w:eastAsia="Arial" w:hAnsi="Arial"/>
          <w:color w:val="374151"/>
          <w:sz w:val="21"/>
          <w:szCs w:val="21"/>
        </w:rPr>
        <w:t xml:space="preserve">Booking volume spike detection: a trainer whose booking request volume increases by more than 3x in a 7-day window (outside of expected seasonal patterns) is flagged. Could indicate a coordinated fake booking campaign to inflate visibility metrics.</w:t>
      </w:r>
    </w:p>
    <w:p>
      <w:pPr>
        <w:pStyle w:val="ListParagraph"/>
        <w:numPr>
          <w:ilvl w:val="0"/>
          <w:numId w:val="2"/>
        </w:numPr>
        <w:spacing w:before="0" w:after="60"/>
      </w:pPr>
      <w:r>
        <w:rPr>
          <w:rFonts w:ascii="Arial" w:cs="Arial" w:eastAsia="Arial" w:hAnsi="Arial"/>
          <w:color w:val="374151"/>
          <w:sz w:val="21"/>
          <w:szCs w:val="21"/>
        </w:rPr>
        <w:t xml:space="preserve">Unusual credit consumption: a client organisation that burns through a credit bundle within 24 hours of purchase — particularly if all views are on the same trainer — is flagged for review. Could indicate an attempt to access and aggregate trainer data for competitive intelligence purposes.</w:t>
      </w:r>
    </w:p>
    <w:p>
      <w:pPr>
        <w:pStyle w:val="ListParagraph"/>
        <w:numPr>
          <w:ilvl w:val="0"/>
          <w:numId w:val="2"/>
        </w:numPr>
        <w:spacing w:before="0" w:after="60"/>
      </w:pPr>
      <w:r>
        <w:rPr>
          <w:rFonts w:ascii="Arial" w:cs="Arial" w:eastAsia="Arial" w:hAnsi="Arial"/>
          <w:color w:val="374151"/>
          <w:sz w:val="21"/>
          <w:szCs w:val="21"/>
        </w:rPr>
        <w:t xml:space="preserve">Direct contact detection: when a buyer views a trainer profile and then messages the trainer within the platform, the platform monitors whether a booking is initiated within 30 days. Consistently low booking initiation rates from the same buyer, combined with high profile view rates, may indicate systematic credit consumption to identify trainers for direct off-platform contact.</w:t>
      </w:r>
    </w:p>
    <w:p>
      <w:pPr>
        <w:pStyle w:val="ListParagraph"/>
        <w:numPr>
          <w:ilvl w:val="0"/>
          <w:numId w:val="2"/>
        </w:numPr>
        <w:spacing w:before="0" w:after="60"/>
      </w:pPr>
      <w:r>
        <w:rPr>
          <w:rFonts w:ascii="Arial" w:cs="Arial" w:eastAsia="Arial" w:hAnsi="Arial"/>
          <w:color w:val="374151"/>
          <w:sz w:val="21"/>
          <w:szCs w:val="21"/>
        </w:rPr>
        <w:t xml:space="preserve">Invoice fraud: for engagements where the vendor submits invoices outside the platform escrow system, automated cross-referencing checks that invoice amounts match confirmed engagement terms. Discrepancies flagged for Admin review.</w:t>
      </w:r>
    </w:p>
    <w:p>
      <w:pPr>
        <w:pStyle w:val="ListParagraph"/>
        <w:numPr>
          <w:ilvl w:val="0"/>
          <w:numId w:val="2"/>
        </w:numPr>
        <w:spacing w:before="0" w:after="60"/>
      </w:pPr>
      <w:r>
        <w:rPr>
          <w:rFonts w:ascii="Arial" w:cs="Arial" w:eastAsia="Arial" w:hAnsi="Arial"/>
          <w:color w:val="374151"/>
          <w:sz w:val="21"/>
          <w:szCs w:val="21"/>
        </w:rPr>
        <w:t xml:space="preserve">Identity fraud: periodic cross-checks of trainer ID verification records against known fraud databases and against the trainer's publicly verifiable professional presence (LinkedIn, ICF registry, etc.).</w:t>
      </w:r>
    </w:p>
    <w:p>
      <w:pPr>
        <w:spacing w:before="0" w:after="120"/>
      </w:pPr>
    </w:p>
    <w:p>
      <w:pPr>
        <w:pageBreakBefore/>
      </w:pPr>
      <w:r>
        <w:t xml:space="preserve"/>
      </w:r>
    </w:p>
    <w:p>
      <w:pPr>
        <w:pStyle w:val="Heading3"/>
        <w:spacing w:before="220" w:after="80"/>
      </w:pPr>
      <w:r>
        <w:rPr>
          <w:rFonts w:ascii="Arial" w:cs="Arial" w:eastAsia="Arial" w:hAnsi="Arial"/>
          <w:b/>
          <w:bCs/>
          <w:color w:val="1E6FFF"/>
          <w:sz w:val="24"/>
          <w:szCs w:val="24"/>
        </w:rPr>
        <w:t xml:space="preserve">6.3.5 Referral Programme Governance (Admin Console Controls)</w:t>
      </w:r>
    </w:p>
    <w:p>
      <w:pPr>
        <w:spacing w:before="0" w:after="100"/>
        <w:jc w:val="left"/>
      </w:pPr>
      <w:r>
        <w:rPr>
          <w:rFonts w:ascii="Arial" w:cs="Arial" w:eastAsia="Arial" w:hAnsi="Arial"/>
          <w:b w:val="false"/>
          <w:bCs w:val="false"/>
          <w:i w:val="false"/>
          <w:iCs w:val="false"/>
          <w:color w:val="374151"/>
          <w:sz w:val="22"/>
          <w:szCs w:val="22"/>
        </w:rPr>
        <w:t xml:space="preserve">All referral programme commercial parameters are configured in the Admin Console. The parameters are not visible to trainers as configurable items — trainers see the current applicable rates in their programme terms.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Governance Control</w:t>
            </w:r>
          </w:p>
        </w:tc>
        <w:tc>
          <w:tcPr>
            <w:tcW w:type="dxa" w:w="65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Commission Rate Setting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Edstellar Admin sets commission rates for all 4 referral types. Rates can be set globally (applies to all partners) or overridden per individual partner or tier. Rate changes are versioned — historical rates locked for referrals already in pipeline at time of change.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Tier Qualification Criteria</w:t>
            </w:r>
          </w:p>
        </w:tc>
        <w:tc>
          <w:tcPr>
            <w:tcW w:type="dxa" w:w="6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configures the thresholds for each partner tier (Partner → Silver → Gold → Platinum). Criteria: number of qualified referrals, total referral revenue generated, and programme tenure. Admin can manually advance or demote a partner tier with a documented reason.</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Anti-Gaming Controls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Referrals to organisations where the trainer is currently employed as a permanent employee are automatically blocked. Exclusivity window configuration: if Edstellar has already made first contact with a prospect, the window before a trainer can claim referral credit is configurable (default: 90 days). Cooling period for deregistered trainers: referrals in pipeline at time of deregistration are honoured for a configurable period (default: 12 months).</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Payment Processing</w:t>
            </w:r>
          </w:p>
        </w:tc>
        <w:tc>
          <w:tcPr>
            <w:tcW w:type="dxa" w:w="6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Commission payments processed monthly, in arrears. Admin triggers payment run. Multi-currency support — Edstellar Admin configures the applicable exchange rates and processing fees per currency. Minimum payment threshold configurable (default: $50). Tax documentation generated per trainer per year end.</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Dispute Handling</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If a trainer disputes a referral attribution decision (claims their referral was the source of a won engagement that Edstellar is not crediting), the dispute is raised through the platform and reviewed by Edstellar Admin. Both the platform contact log and the trainer's referral submission are reviewed. Admin decision is final with a documented rationale.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Programme Suspension</w:t>
            </w:r>
          </w:p>
        </w:tc>
        <w:tc>
          <w:tcPr>
            <w:tcW w:type="dxa" w:w="6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Edstellar Admin can suspend a trainer's referral programme access — for anti-gaming violations, for pattern of low-quality referrals, or for breach of the transparency requirement (trainers must disclose their Edstellar partner status). Suspension does not affect the trainer's marketplace listing or existing commission payments.</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Programme Analytics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referral programme analytics in Admin Console: total submissions by type, qualification rate, conversion rate, average deal size per referral type, top-performing partners by revenue generated, geographic distribution of referrals, referral pipeline health by stage.</w:t>
            </w:r>
          </w:p>
        </w:tc>
      </w:tr>
    </w:tbl>
    <w:p>
      <w:pPr>
        <w:spacing w:before="0" w:after="120"/>
      </w:pPr>
    </w:p>
    <w:p>
      <w:pPr>
        <w:pStyle w:val="Heading3"/>
        <w:spacing w:before="220" w:after="80"/>
      </w:pPr>
      <w:r>
        <w:rPr>
          <w:rFonts w:ascii="Arial" w:cs="Arial" w:eastAsia="Arial" w:hAnsi="Arial"/>
          <w:b/>
          <w:bCs/>
          <w:color w:val="1E6FFF"/>
          <w:sz w:val="24"/>
          <w:szCs w:val="24"/>
        </w:rPr>
        <w:t xml:space="preserve">6.3.6 Admin Console Data Architecture and Access Control</w:t>
      </w:r>
    </w:p>
    <w:p>
      <w:pPr>
        <w:spacing w:before="0" w:after="100"/>
        <w:jc w:val="left"/>
      </w:pPr>
      <w:r>
        <w:rPr>
          <w:rFonts w:ascii="Arial" w:cs="Arial" w:eastAsia="Arial" w:hAnsi="Arial"/>
          <w:b w:val="false"/>
          <w:bCs w:val="false"/>
          <w:i w:val="false"/>
          <w:iCs w:val="false"/>
          <w:color w:val="374151"/>
          <w:sz w:val="22"/>
          <w:szCs w:val="22"/>
        </w:rPr>
        <w:t xml:space="preserve">The Admin Console is a separate application from the client-facing SIP platform. It shares the same underlying database but has its own authentication domain, access control model, and data access permissions.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Authentication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Separate login domain from all client portals. MFA mandatory for all Edstellar Admin Console users. SSO with Edstellar's internal identity provider. Session timeout: 4 hours of inactivity.</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RBAC within Admin Console</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Roles: Account Manager (view own client data + proposal tools + opportunity dashboard) · Commercial Director (all account manager access + revenue dashboard + pricing model) · Marketplace Operations (full platform health + quality governance + dispute management) · Finance (revenue dashboard + commission export + payment processing) · Super Admin (all access + master switch configuration + rate setting + user management). No role should have both financial and quality governance access without explicit approval.</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Audit Trail</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Admin Console actions are logged immutably: who changed what, when, previous value, new value, change reason (mandatory for pricing changes and feature enablement). Audit log exportable for internal compliance review. Admin Console audit log is separate from client-org audit trails — clients cannot access Admin Console logs.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Data Visibility Rules</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Console can see aggregate gap data across client orgs — not individual employee assessment responses. Admin Console can see which trainer profiles a client has viewed — not what the client's internal evaluation notes say. Admin Console can see booking and engagement data — not the programme content delivered. These visibility rules are enforced at the data layer, not just the UI.</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Conflict of Interest Controls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Account managers cannot modify pricing for their own assigned clients. Quality governance decisions on trainers cannot be made by account managers who have an active engagement with that trainer. All conflicts of interest are surfaced as warnings in the workflow and require a second approver.</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Change Management</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Pricing changes (commission rates, credit pricing) require sign-off from the Commercial Director and are effective from the first day of the following month — never retroactive. Master switch changes (feature enablement) require sign-off from the relevant account manager and are logged with the triggering commercial agreement reference.</w:t>
            </w:r>
          </w:p>
        </w:tc>
      </w:tr>
    </w:tbl>
    <w:p>
      <w:pPr>
        <w:spacing w:before="0" w:after="120"/>
      </w:pPr>
    </w:p>
    <w:p>
      <w:pPr>
        <w:pageBreakBefore/>
      </w:pPr>
      <w:r>
        <w:t xml:space="preserve"/>
      </w:r>
    </w:p>
    <w:p>
      <w:pPr>
        <w:pStyle w:val="Heading2"/>
        <w:spacing w:before="300" w:after="120"/>
      </w:pPr>
      <w:r>
        <w:rPr>
          <w:rFonts w:ascii="Arial" w:cs="Arial" w:eastAsia="Arial" w:hAnsi="Arial"/>
          <w:b/>
          <w:bCs/>
          <w:color w:val="1E3A6E"/>
          <w:sz w:val="30"/>
          <w:szCs w:val="30"/>
        </w:rPr>
        <w:t xml:space="preserve">6.4 Acceptance Criteria — Edstellar Internal Systems</w:t>
      </w:r>
    </w:p>
    <w:p>
      <w:pPr>
        <w:spacing w:before="0" w:after="100"/>
        <w:jc w:val="left"/>
      </w:pPr>
      <w:r>
        <w:rPr>
          <w:rFonts w:ascii="Arial" w:cs="Arial" w:eastAsia="Arial" w:hAnsi="Arial"/>
          <w:b w:val="false"/>
          <w:bCs w:val="false"/>
          <w:i w:val="false"/>
          <w:iCs w:val="false"/>
          <w:color w:val="374151"/>
          <w:sz w:val="22"/>
          <w:szCs w:val="22"/>
        </w:rPr>
        <w:t xml:space="preserve">The following acceptance criteria apply exclusively to the Edstellar Internal Systems. They are verified by the Edstellar product team, not by client UAT.</w:t>
      </w:r>
    </w:p>
    <w:p>
      <w:pPr>
        <w:spacing w:before="0" w:after="60"/>
      </w:pPr>
    </w:p>
    <w:p>
      <w:pPr>
        <w:pStyle w:val="Heading3"/>
        <w:spacing w:before="220" w:after="80"/>
      </w:pPr>
      <w:r>
        <w:rPr>
          <w:rFonts w:ascii="Arial" w:cs="Arial" w:eastAsia="Arial" w:hAnsi="Arial"/>
          <w:b/>
          <w:bCs/>
          <w:color w:val="1E6FFF"/>
          <w:sz w:val="24"/>
          <w:szCs w:val="24"/>
        </w:rPr>
        <w:t xml:space="preserve">Opportunity Intelligence Layer</w:t>
      </w:r>
    </w:p>
    <w:p>
      <w:pPr>
        <w:pStyle w:val="ListParagraph"/>
        <w:numPr>
          <w:ilvl w:val="0"/>
          <w:numId w:val="2"/>
        </w:numPr>
        <w:spacing w:before="0" w:after="60"/>
      </w:pPr>
      <w:r>
        <w:rPr>
          <w:rFonts w:ascii="Arial" w:cs="Arial" w:eastAsia="Arial" w:hAnsi="Arial"/>
          <w:color w:val="374151"/>
          <w:sz w:val="21"/>
          <w:szCs w:val="21"/>
        </w:rPr>
        <w:t xml:space="preserve">Opportunity Intelligence Dashboard populates correctly within 2 hours of an assessment cycle closing on any client org. Gap data, match scores, and opportunity triggers all visible.</w:t>
      </w:r>
    </w:p>
    <w:p>
      <w:pPr>
        <w:pStyle w:val="ListParagraph"/>
        <w:numPr>
          <w:ilvl w:val="0"/>
          <w:numId w:val="2"/>
        </w:numPr>
        <w:spacing w:before="0" w:after="60"/>
      </w:pPr>
      <w:r>
        <w:rPr>
          <w:rFonts w:ascii="Arial" w:cs="Arial" w:eastAsia="Arial" w:hAnsi="Arial"/>
          <w:color w:val="374151"/>
          <w:sz w:val="21"/>
          <w:szCs w:val="21"/>
        </w:rPr>
        <w:t xml:space="preserve">AI Proposal Engine generates a complete proposal (all 7 components) for any gap with a match score above 70% within 5 minutes of opportunity trigger firing.</w:t>
      </w:r>
    </w:p>
    <w:p>
      <w:pPr>
        <w:pStyle w:val="ListParagraph"/>
        <w:numPr>
          <w:ilvl w:val="0"/>
          <w:numId w:val="2"/>
        </w:numPr>
        <w:spacing w:before="0" w:after="60"/>
      </w:pPr>
      <w:r>
        <w:rPr>
          <w:rFonts w:ascii="Arial" w:cs="Arial" w:eastAsia="Arial" w:hAnsi="Arial"/>
          <w:color w:val="374151"/>
          <w:sz w:val="21"/>
          <w:szCs w:val="21"/>
        </w:rPr>
        <w:t xml:space="preserve">All 8 opportunity trigger types fire correctly under test conditions: TNA content gap, high match + high age, Transformation Dial shift, level gate approaching, succession gap alert, post-training re-assessment gap persistence, new trainer match, and wellbeing + development conflict.</w:t>
      </w:r>
    </w:p>
    <w:p>
      <w:pPr>
        <w:pStyle w:val="ListParagraph"/>
        <w:numPr>
          <w:ilvl w:val="0"/>
          <w:numId w:val="2"/>
        </w:numPr>
        <w:spacing w:before="0" w:after="60"/>
      </w:pPr>
      <w:r>
        <w:rPr>
          <w:rFonts w:ascii="Arial" w:cs="Arial" w:eastAsia="Arial" w:hAnsi="Arial"/>
          <w:color w:val="374151"/>
          <w:sz w:val="21"/>
          <w:szCs w:val="21"/>
        </w:rPr>
        <w:t xml:space="preserve">Proposal workflow complete end-to-end: AI draft → account manager review and edit → one-click send → client receives → client accepts/rejects within platform → accepted proposal creates corresponding TrainConnect project automatically.</w:t>
      </w:r>
    </w:p>
    <w:p>
      <w:pPr>
        <w:pStyle w:val="ListParagraph"/>
        <w:numPr>
          <w:ilvl w:val="0"/>
          <w:numId w:val="2"/>
        </w:numPr>
        <w:spacing w:before="0" w:after="60"/>
      </w:pPr>
      <w:r>
        <w:rPr>
          <w:rFonts w:ascii="Arial" w:cs="Arial" w:eastAsia="Arial" w:hAnsi="Arial"/>
          <w:color w:val="374151"/>
          <w:sz w:val="21"/>
          <w:szCs w:val="21"/>
        </w:rPr>
        <w:t xml:space="preserve">Won/lost tracking: loss reasons captured and associated with the correct proposal record. Reporting shows loss reason distribution.</w:t>
      </w:r>
    </w:p>
    <w:p>
      <w:pPr>
        <w:pStyle w:val="ListParagraph"/>
        <w:numPr>
          <w:ilvl w:val="0"/>
          <w:numId w:val="2"/>
        </w:numPr>
        <w:spacing w:before="0" w:after="60"/>
      </w:pPr>
      <w:r>
        <w:rPr>
          <w:rFonts w:ascii="Arial" w:cs="Arial" w:eastAsia="Arial" w:hAnsi="Arial"/>
          <w:color w:val="374151"/>
          <w:sz w:val="21"/>
          <w:szCs w:val="21"/>
        </w:rPr>
        <w:t xml:space="preserve">Client intelligence view: churn risk, expansion signal, and cross-sell signal flags all firing under correct test conditions.</w:t>
      </w:r>
    </w:p>
    <w:p>
      <w:pPr>
        <w:pStyle w:val="ListParagraph"/>
        <w:numPr>
          <w:ilvl w:val="0"/>
          <w:numId w:val="2"/>
        </w:numPr>
        <w:spacing w:before="0" w:after="60"/>
      </w:pPr>
      <w:r>
        <w:rPr>
          <w:rFonts w:ascii="Arial" w:cs="Arial" w:eastAsia="Arial" w:hAnsi="Arial"/>
          <w:color w:val="374151"/>
          <w:sz w:val="21"/>
          <w:szCs w:val="21"/>
        </w:rPr>
        <w:t xml:space="preserve">Access control: account manager sees only their assigned clients in the Opportunity Dashboard. Commercial director sees all clients. Verified by cross-account access test.</w:t>
      </w:r>
    </w:p>
    <w:p>
      <w:pPr>
        <w:spacing w:before="0" w:after="80"/>
      </w:pPr>
    </w:p>
    <w:p>
      <w:pPr>
        <w:pStyle w:val="Heading3"/>
        <w:spacing w:before="220" w:after="80"/>
      </w:pPr>
      <w:r>
        <w:rPr>
          <w:rFonts w:ascii="Arial" w:cs="Arial" w:eastAsia="Arial" w:hAnsi="Arial"/>
          <w:b/>
          <w:bCs/>
          <w:color w:val="1E6FFF"/>
          <w:sz w:val="24"/>
          <w:szCs w:val="24"/>
        </w:rPr>
        <w:t xml:space="preserve">Admin Console — Configuration</w:t>
      </w:r>
    </w:p>
    <w:p>
      <w:pPr>
        <w:pStyle w:val="ListParagraph"/>
        <w:numPr>
          <w:ilvl w:val="0"/>
          <w:numId w:val="2"/>
        </w:numPr>
        <w:spacing w:before="0" w:after="60"/>
      </w:pPr>
      <w:r>
        <w:rPr>
          <w:rFonts w:ascii="Arial" w:cs="Arial" w:eastAsia="Arial" w:hAnsi="Arial"/>
          <w:color w:val="374151"/>
          <w:sz w:val="21"/>
          <w:szCs w:val="21"/>
        </w:rPr>
        <w:t xml:space="preserve">All 10 master switches correctly control access to their respective features. Verified by enabling each switch on a test client org and confirming the feature appears in the correct portal, then disabling and confirming it disappears.</w:t>
      </w:r>
    </w:p>
    <w:p>
      <w:pPr>
        <w:pStyle w:val="ListParagraph"/>
        <w:numPr>
          <w:ilvl w:val="0"/>
          <w:numId w:val="2"/>
        </w:numPr>
        <w:spacing w:before="0" w:after="60"/>
      </w:pPr>
      <w:r>
        <w:rPr>
          <w:rFonts w:ascii="Arial" w:cs="Arial" w:eastAsia="Arial" w:hAnsi="Arial"/>
          <w:color w:val="374151"/>
          <w:sz w:val="21"/>
          <w:szCs w:val="21"/>
        </w:rPr>
        <w:t xml:space="preserve">Commission rate change takes effect on the correct date (first of following month) and is applied correctly to all new engagements. Historical engagements retain the rate at time of confirmation.</w:t>
      </w:r>
    </w:p>
    <w:p>
      <w:pPr>
        <w:pStyle w:val="ListParagraph"/>
        <w:numPr>
          <w:ilvl w:val="0"/>
          <w:numId w:val="2"/>
        </w:numPr>
        <w:spacing w:before="0" w:after="60"/>
      </w:pPr>
      <w:r>
        <w:rPr>
          <w:rFonts w:ascii="Arial" w:cs="Arial" w:eastAsia="Arial" w:hAnsi="Arial"/>
          <w:color w:val="374151"/>
          <w:sz w:val="21"/>
          <w:szCs w:val="21"/>
        </w:rPr>
        <w:t xml:space="preserve">Credit price change takes effect immediately for new purchases and has no retroactive effect on credits already purchased. Credit balance and transaction history remain accurate.</w:t>
      </w:r>
    </w:p>
    <w:p>
      <w:pPr>
        <w:pStyle w:val="ListParagraph"/>
        <w:numPr>
          <w:ilvl w:val="0"/>
          <w:numId w:val="2"/>
        </w:numPr>
        <w:spacing w:before="0" w:after="60"/>
      </w:pPr>
      <w:r>
        <w:rPr>
          <w:rFonts w:ascii="Arial" w:cs="Arial" w:eastAsia="Arial" w:hAnsi="Arial"/>
          <w:color w:val="374151"/>
          <w:sz w:val="21"/>
          <w:szCs w:val="21"/>
        </w:rPr>
        <w:t xml:space="preserve">Complimentary credit grant: credits appear in client account immediately. Credit source logged as 'Admin Grant' in the credit audit trail with the granting admin's name.</w:t>
      </w:r>
    </w:p>
    <w:p>
      <w:pPr>
        <w:pStyle w:val="ListParagraph"/>
        <w:numPr>
          <w:ilvl w:val="0"/>
          <w:numId w:val="2"/>
        </w:numPr>
        <w:spacing w:before="0" w:after="60"/>
      </w:pPr>
      <w:r>
        <w:rPr>
          <w:rFonts w:ascii="Arial" w:cs="Arial" w:eastAsia="Arial" w:hAnsi="Arial"/>
          <w:color w:val="374151"/>
          <w:sz w:val="21"/>
          <w:szCs w:val="21"/>
        </w:rPr>
        <w:t xml:space="preserve">Pricing simulation tools produce correct revenue projections: verified by manually calculating the revenue impact for a known booking volume and comparing against the simulation output (within 2% tolerance).</w:t>
      </w:r>
    </w:p>
    <w:p>
      <w:pPr>
        <w:spacing w:before="0" w:after="80"/>
      </w:pPr>
    </w:p>
    <w:p>
      <w:pPr>
        <w:pStyle w:val="Heading3"/>
        <w:spacing w:before="220" w:after="80"/>
      </w:pPr>
      <w:r>
        <w:rPr>
          <w:rFonts w:ascii="Arial" w:cs="Arial" w:eastAsia="Arial" w:hAnsi="Arial"/>
          <w:b/>
          <w:bCs/>
          <w:color w:val="1E6FFF"/>
          <w:sz w:val="24"/>
          <w:szCs w:val="24"/>
        </w:rPr>
        <w:t xml:space="preserve">Admin Console — Quality Governance</w:t>
      </w:r>
    </w:p>
    <w:p>
      <w:pPr>
        <w:pStyle w:val="ListParagraph"/>
        <w:numPr>
          <w:ilvl w:val="0"/>
          <w:numId w:val="2"/>
        </w:numPr>
        <w:spacing w:before="0" w:after="60"/>
      </w:pPr>
      <w:r>
        <w:rPr>
          <w:rFonts w:ascii="Arial" w:cs="Arial" w:eastAsia="Arial" w:hAnsi="Arial"/>
          <w:color w:val="374151"/>
          <w:sz w:val="21"/>
          <w:szCs w:val="21"/>
        </w:rPr>
        <w:t xml:space="preserve">Trainer verification workflow: all 6 verification stages completable in the Admin Console. Trainer profile status updates correctly after each stage. Edstellar Verified Badge appears on public profile only after all 6 stages passed.</w:t>
      </w:r>
    </w:p>
    <w:p>
      <w:pPr>
        <w:pStyle w:val="ListParagraph"/>
        <w:numPr>
          <w:ilvl w:val="0"/>
          <w:numId w:val="2"/>
        </w:numPr>
        <w:spacing w:before="0" w:after="60"/>
      </w:pPr>
      <w:r>
        <w:rPr>
          <w:rFonts w:ascii="Arial" w:cs="Arial" w:eastAsia="Arial" w:hAnsi="Arial"/>
          <w:color w:val="374151"/>
          <w:sz w:val="21"/>
          <w:szCs w:val="21"/>
        </w:rPr>
        <w:t xml:space="preserve">Suspicious review detection: automated flagging fires correctly for test scenarios — 20 reviews in 48 hours, coordinated IP-pattern reviews, 1-star-only reviewer pattern.</w:t>
      </w:r>
    </w:p>
    <w:p>
      <w:pPr>
        <w:pStyle w:val="ListParagraph"/>
        <w:numPr>
          <w:ilvl w:val="0"/>
          <w:numId w:val="2"/>
        </w:numPr>
        <w:spacing w:before="0" w:after="60"/>
      </w:pPr>
      <w:r>
        <w:rPr>
          <w:rFonts w:ascii="Arial" w:cs="Arial" w:eastAsia="Arial" w:hAnsi="Arial"/>
          <w:color w:val="374151"/>
          <w:sz w:val="21"/>
          <w:szCs w:val="21"/>
        </w:rPr>
        <w:t xml:space="preserve">Trainer suspension: suspension applied immediately across all portals. Active booking clients notified within 30 minutes of suspension. Escrow frozen. Trainer receives notification with reason.</w:t>
      </w:r>
    </w:p>
    <w:p>
      <w:pPr>
        <w:pStyle w:val="ListParagraph"/>
        <w:numPr>
          <w:ilvl w:val="0"/>
          <w:numId w:val="2"/>
        </w:numPr>
        <w:spacing w:before="0" w:after="60"/>
      </w:pPr>
      <w:r>
        <w:rPr>
          <w:rFonts w:ascii="Arial" w:cs="Arial" w:eastAsia="Arial" w:hAnsi="Arial"/>
          <w:color w:val="374151"/>
          <w:sz w:val="21"/>
          <w:szCs w:val="21"/>
        </w:rPr>
        <w:t xml:space="preserve">Dispute management: dispute creation, evidence submission from both parties, Admin decision, and payment resolution all functional. Decision timeline tracked and SLA breach flagged correctly.</w:t>
      </w:r>
    </w:p>
    <w:p>
      <w:pPr>
        <w:pStyle w:val="ListParagraph"/>
        <w:numPr>
          <w:ilvl w:val="0"/>
          <w:numId w:val="2"/>
        </w:numPr>
        <w:spacing w:before="0" w:after="60"/>
      </w:pPr>
      <w:r>
        <w:rPr>
          <w:rFonts w:ascii="Arial" w:cs="Arial" w:eastAsia="Arial" w:hAnsi="Arial"/>
          <w:color w:val="374151"/>
          <w:sz w:val="21"/>
          <w:szCs w:val="21"/>
        </w:rPr>
        <w:t xml:space="preserve">Fraud detection alerts: all 5 fraud patterns firing correctly under test conditions — booking volume spike, unusual credit consumption, direct contact pattern, invoice discrepancy, identity cross-check.</w:t>
      </w:r>
    </w:p>
    <w:p>
      <w:pPr>
        <w:spacing w:before="0" w:after="80"/>
      </w:pPr>
    </w:p>
    <w:p>
      <w:pPr>
        <w:pStyle w:val="Heading3"/>
        <w:spacing w:before="220" w:after="80"/>
      </w:pPr>
      <w:r>
        <w:rPr>
          <w:rFonts w:ascii="Arial" w:cs="Arial" w:eastAsia="Arial" w:hAnsi="Arial"/>
          <w:b/>
          <w:bCs/>
          <w:color w:val="1E6FFF"/>
          <w:sz w:val="24"/>
          <w:szCs w:val="24"/>
        </w:rPr>
        <w:t xml:space="preserve">Admin Console — Access Control and Audit</w:t>
      </w:r>
    </w:p>
    <w:p>
      <w:pPr>
        <w:pStyle w:val="ListParagraph"/>
        <w:numPr>
          <w:ilvl w:val="0"/>
          <w:numId w:val="2"/>
        </w:numPr>
        <w:spacing w:before="0" w:after="60"/>
      </w:pPr>
      <w:r>
        <w:rPr>
          <w:rFonts w:ascii="Arial" w:cs="Arial" w:eastAsia="Arial" w:hAnsi="Arial"/>
          <w:color w:val="374151"/>
          <w:sz w:val="21"/>
          <w:szCs w:val="21"/>
        </w:rPr>
        <w:t xml:space="preserve">RBAC: all 5 Admin Console roles tested. Each role can access only what the specification permits. Cross-role access test fails correctly at the data layer (not just UI).</w:t>
      </w:r>
    </w:p>
    <w:p>
      <w:pPr>
        <w:pStyle w:val="ListParagraph"/>
        <w:numPr>
          <w:ilvl w:val="0"/>
          <w:numId w:val="2"/>
        </w:numPr>
        <w:spacing w:before="0" w:after="60"/>
      </w:pPr>
      <w:r>
        <w:rPr>
          <w:rFonts w:ascii="Arial" w:cs="Arial" w:eastAsia="Arial" w:hAnsi="Arial"/>
          <w:color w:val="374151"/>
          <w:sz w:val="21"/>
          <w:szCs w:val="21"/>
        </w:rPr>
        <w:t xml:space="preserve">Audit trail: every Admin Console action logged with user, timestamp, previous value, new value, and reason. Immutable — no delete endpoint. Exportable in structured format.</w:t>
      </w:r>
    </w:p>
    <w:p>
      <w:pPr>
        <w:pStyle w:val="ListParagraph"/>
        <w:numPr>
          <w:ilvl w:val="0"/>
          <w:numId w:val="2"/>
        </w:numPr>
        <w:spacing w:before="0" w:after="60"/>
      </w:pPr>
      <w:r>
        <w:rPr>
          <w:rFonts w:ascii="Arial" w:cs="Arial" w:eastAsia="Arial" w:hAnsi="Arial"/>
          <w:color w:val="374151"/>
          <w:sz w:val="21"/>
          <w:szCs w:val="21"/>
        </w:rPr>
        <w:t xml:space="preserve">Conflict of interest warning: account manager attempting to modify pricing for their own assigned client is blocked and warned. Quality governance action on a trainer with an active engagement for the reviewing account manager is blocked and escalated.</w:t>
      </w:r>
    </w:p>
    <w:p>
      <w:pPr>
        <w:pStyle w:val="ListParagraph"/>
        <w:numPr>
          <w:ilvl w:val="0"/>
          <w:numId w:val="2"/>
        </w:numPr>
        <w:spacing w:before="0" w:after="60"/>
      </w:pPr>
      <w:r>
        <w:rPr>
          <w:rFonts w:ascii="Arial" w:cs="Arial" w:eastAsia="Arial" w:hAnsi="Arial"/>
          <w:color w:val="374151"/>
          <w:sz w:val="21"/>
          <w:szCs w:val="21"/>
        </w:rPr>
        <w:t xml:space="preserve">MFA enforcement: all Admin Console logins require MFA. Session expires after 4 hours of inactivity. Verified with automated session timeout test.</w:t>
      </w:r>
    </w:p>
    <w:p>
      <w:pPr>
        <w:spacing w:before="0" w:after="120"/>
      </w:pPr>
    </w:p>
    <w:p>
      <w:pPr>
        <w:pStyle w:val="Heading2"/>
        <w:spacing w:before="300" w:after="120"/>
      </w:pPr>
      <w:r>
        <w:rPr>
          <w:rFonts w:ascii="Arial" w:cs="Arial" w:eastAsia="Arial" w:hAnsi="Arial"/>
          <w:b/>
          <w:bCs/>
          <w:color w:val="1E3A6E"/>
          <w:sz w:val="30"/>
          <w:szCs w:val="30"/>
        </w:rPr>
        <w:t xml:space="preserve">6.5 Risks — Edstellar Internal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3360"/>
        <w:gridCol w:w="200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Early Warning</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Client data used for commercial proposals creates a trust issue</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usage for commercial intelligence is disclosed in the platform's data usage agreement and terms of service. Client data is never shared outside Edstellar. The proposal engine never reveals that a specific individual's gap data was used. The gap brief in proposals shows aggregate and role-level data only — never individual employee names or scores.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client complaint about unsolicited use of their data</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Trainer verification gaps — unverified trainer reaches clients</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Low</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Calibration engagement gatekeeps the verified badge. Quality monitoring runs continuously post-verification. Verified badge review at 12-month intervals. Any substantiated quality complaint triggers an immediate review.</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engagement where trainer credentials are disputed by client</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Admin Console RBAC misconfiguration exposes financial data</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Low</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RBAC enforced at data layer, not just UI. Quarterly access review. Automated test suite runs RBAC cross-access checks on every deployment. Separation of financial and quality governance roles.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access log entry showing a user accessing data outside their role scope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AI proposal quality degrades — low-quality proposals damage account relationships</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Account manager always reviews before sending. Proposal quality rating captured post-send. Loss reason analysis feeds back into proposal engine. Proposal engine has a quality floor — proposals below a coherence threshold are flagged for manual creation rather than auto-generated.</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Proposal win rate drops below 30% for AI-generated proposals</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Dispute volume overwhelms Admin team capacity</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Dispute prevention through clear delivery expectations set at booking time (AI content outline as the contractual delivery reference). Automated evidence collection reduces manual investigation time. SLA tracking with escalation triggers. Quarterly capacity review against dispute volume projections.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Average dispute resolution time exceeds 10 business days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Commission rate race-to-the-bottom reduces marketplace sustainability</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Low</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Commission rates have a configurable floor below which they cannot be set — preventing accidental or pressure-driven rate elimination. Rate change sign-off process requires commercial case. Revenue simulation required before any rate reduction.</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Blended average commission rate dropping below sustainability threshold</w:t>
            </w:r>
          </w:p>
        </w:tc>
      </w:tr>
    </w:tbl>
    <w:p>
      <w:pPr>
        <w:spacing w:before="0" w:after="80"/>
      </w:pPr>
    </w:p>
    <w:p>
      <w:pPr>
        <w:pageBreakBefore/>
      </w:pPr>
      <w:r>
        <w:t xml:space="preserve"/>
      </w:r>
    </w:p>
    <w:p>
      <w:pPr>
        <w:pageBreakBefore/>
      </w:pPr>
      <w:r>
        <w:t xml:space="preserve"/>
      </w:r>
    </w:p>
    <w:p>
      <w:pPr>
        <w:pStyle w:val="Heading1"/>
        <w:spacing w:before="400" w:after="160"/>
      </w:pPr>
      <w:r>
        <w:rPr>
          <w:rFonts w:ascii="Arial" w:cs="Arial" w:eastAsia="Arial" w:hAnsi="Arial"/>
          <w:b/>
          <w:bCs/>
          <w:color w:val="1E3A6E"/>
          <w:sz w:val="40"/>
          <w:szCs w:val="40"/>
        </w:rPr>
        <w:t xml:space="preserve">7. SaaS Platform Administration</w:t>
      </w:r>
    </w:p>
    <w:p>
      <w:pPr>
        <w:spacing w:before="0" w:after="100"/>
        <w:jc w:val="left"/>
      </w:pPr>
      <w:r>
        <w:rPr>
          <w:rFonts w:ascii="Arial" w:cs="Arial" w:eastAsia="Arial" w:hAnsi="Arial"/>
          <w:b w:val="false"/>
          <w:bCs w:val="false"/>
          <w:i w:val="false"/>
          <w:iCs w:val="false"/>
          <w:color w:val="374151"/>
          <w:sz w:val="22"/>
          <w:szCs w:val="22"/>
        </w:rPr>
        <w:t xml:space="preserve">The SaaS Platform Administration layer governs the Edstellar platform itself as a product — distinct from both the client-facing SIP platform and the Edstellar commercial Admin Console. It is used exclusively by the Edstellar engineering, operations, and customer success teams to provision tenants, manage subscriptions, monitor platform health, support clients, and manage the onboarding pipeline. Without this layer, the platform cannot be operated as a multi-tenant SaaS business.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FF" w:sz="8"/>
              <w:left w:val="single" w:color="1E6FFF" w:sz="14"/>
              <w:bottom w:val="single" w:color="1E6FFF" w:sz="4"/>
              <w:right w:val="single" w:color="1E6FFF" w:sz="4"/>
            </w:tcBorders>
            <w:shd w:fill="EFF5FF" w:val="clear"/>
            <w:tcMar>
              <w:top w:type="dxa" w:w="120"/>
              <w:left w:type="dxa" w:w="180"/>
              <w:bottom w:type="dxa" w:w="120"/>
              <w:right w:type="dxa" w:w="160"/>
            </w:tcMar>
          </w:tcPr>
          <w:p>
            <w:pPr>
              <w:spacing w:before="0" w:after="60"/>
            </w:pPr>
            <w:r>
              <w:rPr>
                <w:rFonts w:ascii="Arial" w:cs="Arial" w:eastAsia="Arial" w:hAnsi="Arial"/>
                <w:b/>
                <w:bCs/>
                <w:color w:val="1E3A6E"/>
                <w:sz w:val="22"/>
                <w:szCs w:val="22"/>
              </w:rPr>
              <w:t xml:space="preserve">ADMIN CONSOLE VS SAAS PLATFORM ADMIN — THE DISTINCTION</w:t>
            </w:r>
          </w:p>
          <w:p>
            <w:pPr>
              <w:spacing w:before="0" w:after="0"/>
            </w:pPr>
            <w:r>
              <w:rPr>
                <w:rFonts w:ascii="Arial" w:cs="Arial" w:eastAsia="Arial" w:hAnsi="Arial"/>
                <w:color w:val="374151"/>
                <w:sz w:val="20"/>
                <w:szCs w:val="20"/>
              </w:rPr>
              <w:t xml:space="preserve">The Edstellar Admin Console (Section 6.3) governs the marketplace ecosystem — trainer verification, commission rates, credit pricing, and per-client feature switches. The SaaS Platform Administration layer governs the platform itself — tenant provisioning, subscription billing, infrastructure health monitoring, support tooling, and onboarding pipeline management. Separate systems. Separate access controls. Both are internal-only.</w:t>
            </w:r>
          </w:p>
        </w:tc>
      </w:tr>
    </w:tbl>
    <w:p>
      <w:pPr>
        <w:spacing w:before="0" w:after="120"/>
      </w:pPr>
    </w:p>
    <w:p>
      <w:pPr>
        <w:pStyle w:val="Heading2"/>
        <w:spacing w:before="300" w:after="120"/>
      </w:pPr>
      <w:r>
        <w:rPr>
          <w:rFonts w:ascii="Arial" w:cs="Arial" w:eastAsia="Arial" w:hAnsi="Arial"/>
          <w:b/>
          <w:bCs/>
          <w:color w:val="1E3A6E"/>
          <w:sz w:val="30"/>
          <w:szCs w:val="30"/>
        </w:rPr>
        <w:t xml:space="preserve">7.1 Tenant and Client Account Management</w:t>
      </w:r>
    </w:p>
    <w:p>
      <w:pPr>
        <w:pStyle w:val="Heading3"/>
        <w:spacing w:before="220" w:after="80"/>
      </w:pPr>
      <w:r>
        <w:rPr>
          <w:rFonts w:ascii="Arial" w:cs="Arial" w:eastAsia="Arial" w:hAnsi="Arial"/>
          <w:b/>
          <w:bCs/>
          <w:color w:val="1E6FFF"/>
          <w:sz w:val="24"/>
          <w:szCs w:val="24"/>
        </w:rPr>
        <w:t xml:space="preserve">7.1.1 Tenant Provisioning</w:t>
      </w:r>
    </w:p>
    <w:p>
      <w:pPr>
        <w:pStyle w:val="ListParagraph"/>
        <w:numPr>
          <w:ilvl w:val="0"/>
          <w:numId w:val="2"/>
        </w:numPr>
        <w:spacing w:before="0" w:after="60"/>
      </w:pPr>
      <w:r>
        <w:rPr>
          <w:rFonts w:ascii="Arial" w:cs="Arial" w:eastAsia="Arial" w:hAnsi="Arial"/>
          <w:color w:val="374151"/>
          <w:sz w:val="21"/>
          <w:szCs w:val="21"/>
        </w:rPr>
        <w:t xml:space="preserve">New tenant creation: Edstellar Admin creates a new tenant with org name, primary contact, subscription tier (Lite / Growth / Scale / Enterprise), contract start and renewal dates, assigned Customer Success Manager, and data residency region.</w:t>
      </w:r>
    </w:p>
    <w:p>
      <w:pPr>
        <w:pStyle w:val="ListParagraph"/>
        <w:numPr>
          <w:ilvl w:val="0"/>
          <w:numId w:val="2"/>
        </w:numPr>
        <w:spacing w:before="0" w:after="60"/>
      </w:pPr>
      <w:r>
        <w:rPr>
          <w:rFonts w:ascii="Arial" w:cs="Arial" w:eastAsia="Arial" w:hAnsi="Arial"/>
          <w:color w:val="374151"/>
          <w:sz w:val="21"/>
          <w:szCs w:val="21"/>
        </w:rPr>
        <w:t xml:space="preserve">Tier access mapping: Lite = L1 only (up to 30 employees) · Growth = L1–L2 · Scale = L1–L3 + API · Enterprise = L1–L5 + full marketplace + benchmarking. Tier upgrades take effect immediately. Downgrades take effect at the end of the current billing period.</w:t>
      </w:r>
    </w:p>
    <w:p>
      <w:pPr>
        <w:pStyle w:val="ListParagraph"/>
        <w:numPr>
          <w:ilvl w:val="0"/>
          <w:numId w:val="2"/>
        </w:numPr>
        <w:spacing w:before="0" w:after="60"/>
      </w:pPr>
      <w:r>
        <w:rPr>
          <w:rFonts w:ascii="Arial" w:cs="Arial" w:eastAsia="Arial" w:hAnsi="Arial"/>
          <w:color w:val="374151"/>
          <w:sz w:val="21"/>
          <w:szCs w:val="21"/>
        </w:rPr>
        <w:t xml:space="preserve">Tenant activation: creates the isolated schema, generates Super Admin credentials, sends the welcome email with onboarding instructions. Activation logged with timestamp and provisioning admin identity.</w:t>
      </w:r>
    </w:p>
    <w:p>
      <w:pPr>
        <w:pStyle w:val="ListParagraph"/>
        <w:numPr>
          <w:ilvl w:val="0"/>
          <w:numId w:val="2"/>
        </w:numPr>
        <w:spacing w:before="0" w:after="60"/>
      </w:pPr>
      <w:r>
        <w:rPr>
          <w:rFonts w:ascii="Arial" w:cs="Arial" w:eastAsia="Arial" w:hAnsi="Arial"/>
          <w:color w:val="374151"/>
          <w:sz w:val="21"/>
          <w:szCs w:val="21"/>
        </w:rPr>
        <w:t xml:space="preserve">Custom configuration for enterprise: custom data residency region, custom SSO, on-premise deployment, white-label branding — all recorded against the tenant record with the commercial agreement reference number.</w:t>
      </w:r>
    </w:p>
    <w:p>
      <w:pPr>
        <w:pStyle w:val="ListParagraph"/>
        <w:numPr>
          <w:ilvl w:val="0"/>
          <w:numId w:val="2"/>
        </w:numPr>
        <w:spacing w:before="0" w:after="60"/>
      </w:pPr>
      <w:r>
        <w:rPr>
          <w:rFonts w:ascii="Arial" w:cs="Arial" w:eastAsia="Arial" w:hAnsi="Arial"/>
          <w:color w:val="374151"/>
          <w:sz w:val="21"/>
          <w:szCs w:val="21"/>
        </w:rPr>
        <w:t xml:space="preserve">Deactivation and reactivation: deactivated tenants retain all data per the agreed retention period. Status states: Active / Suspended / Deactivated / Churned. Reactivation restores full data immediately.</w:t>
      </w:r>
    </w:p>
    <w:p>
      <w:pPr>
        <w:spacing w:before="0" w:after="60"/>
      </w:pPr>
    </w:p>
    <w:p>
      <w:pPr>
        <w:pStyle w:val="Heading3"/>
        <w:spacing w:before="220" w:after="80"/>
      </w:pPr>
      <w:r>
        <w:rPr>
          <w:rFonts w:ascii="Arial" w:cs="Arial" w:eastAsia="Arial" w:hAnsi="Arial"/>
          <w:b/>
          <w:bCs/>
          <w:color w:val="1E6FFF"/>
          <w:sz w:val="24"/>
          <w:szCs w:val="24"/>
        </w:rPr>
        <w:t xml:space="preserve">7.1.2 Tenant Administration Dashboard</w:t>
      </w:r>
    </w:p>
    <w:p>
      <w:pPr>
        <w:pStyle w:val="ListParagraph"/>
        <w:numPr>
          <w:ilvl w:val="0"/>
          <w:numId w:val="2"/>
        </w:numPr>
        <w:spacing w:before="0" w:after="60"/>
      </w:pPr>
      <w:r>
        <w:rPr>
          <w:rFonts w:ascii="Arial" w:cs="Arial" w:eastAsia="Arial" w:hAnsi="Arial"/>
          <w:color w:val="374151"/>
          <w:sz w:val="21"/>
          <w:szCs w:val="21"/>
        </w:rPr>
        <w:t xml:space="preserve">All-tenant list: name, industry, employee count (imported), current level (L1–L5), subscription tier, contract renewal date, assigned CSM, last activity timestamp, onboarding stage, and churn risk flag.</w:t>
      </w:r>
    </w:p>
    <w:p>
      <w:pPr>
        <w:pStyle w:val="ListParagraph"/>
        <w:numPr>
          <w:ilvl w:val="0"/>
          <w:numId w:val="2"/>
        </w:numPr>
        <w:spacing w:before="0" w:after="60"/>
      </w:pPr>
      <w:r>
        <w:rPr>
          <w:rFonts w:ascii="Arial" w:cs="Arial" w:eastAsia="Arial" w:hAnsi="Arial"/>
          <w:color w:val="374151"/>
          <w:sz w:val="21"/>
          <w:szCs w:val="21"/>
        </w:rPr>
        <w:t xml:space="preserve">Churn risk flags: tenants at the same level for 90+ days without a new assessment cycle, Data Context Meter below 50%, or no login for 30+ days. Each flag triggers a recommended CSM action.</w:t>
      </w:r>
    </w:p>
    <w:p>
      <w:pPr>
        <w:pStyle w:val="ListParagraph"/>
        <w:numPr>
          <w:ilvl w:val="0"/>
          <w:numId w:val="2"/>
        </w:numPr>
        <w:spacing w:before="0" w:after="60"/>
      </w:pPr>
      <w:r>
        <w:rPr>
          <w:rFonts w:ascii="Arial" w:cs="Arial" w:eastAsia="Arial" w:hAnsi="Arial"/>
          <w:color w:val="374151"/>
          <w:sz w:val="21"/>
          <w:szCs w:val="21"/>
        </w:rPr>
        <w:t xml:space="preserve">Level progression signals: tenants at 80%+ completion of their current level gate are surfaced as expansion opportunity signals for the assigned CSM.</w:t>
      </w:r>
    </w:p>
    <w:p>
      <w:pPr>
        <w:pStyle w:val="ListParagraph"/>
        <w:numPr>
          <w:ilvl w:val="0"/>
          <w:numId w:val="2"/>
        </w:numPr>
        <w:spacing w:before="0" w:after="60"/>
      </w:pPr>
      <w:r>
        <w:rPr>
          <w:rFonts w:ascii="Arial" w:cs="Arial" w:eastAsia="Arial" w:hAnsi="Arial"/>
          <w:color w:val="374151"/>
          <w:sz w:val="21"/>
          <w:szCs w:val="21"/>
        </w:rPr>
        <w:t xml:space="preserve">Support impersonation: Edstellar Support can access any tenant's platform in read-only impersonation mode for troubleshooting. Every session is logged with agent identity, tenant, duration, and reason. The client's HR Head receives a notification that a support access session occurred.</w:t>
      </w:r>
    </w:p>
    <w:p>
      <w:pPr>
        <w:spacing w:before="0" w:after="80"/>
      </w:pPr>
    </w:p>
    <w:p>
      <w:pPr>
        <w:pStyle w:val="Heading2"/>
        <w:spacing w:before="300" w:after="120"/>
      </w:pPr>
      <w:r>
        <w:rPr>
          <w:rFonts w:ascii="Arial" w:cs="Arial" w:eastAsia="Arial" w:hAnsi="Arial"/>
          <w:b/>
          <w:bCs/>
          <w:color w:val="1E3A6E"/>
          <w:sz w:val="30"/>
          <w:szCs w:val="30"/>
        </w:rPr>
        <w:t xml:space="preserve">7.2 Subscription and Billing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Billing Element</w:t>
            </w:r>
          </w:p>
        </w:tc>
        <w:tc>
          <w:tcPr>
            <w:tcW w:type="dxa" w:w="69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Active Participant billing</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Billing calculated on Active Participant headcount only. View Only employees billed at 30% of the Active Participant rate (configurable). Excluded employees generate zero billing. Count snapshotted on the first of each month.</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Invoice generation</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Auto-generated on the billing date with line-item breakdown: Active Participant seats, View Only seats, add-ons (benchmarking, API tier, extra credits), one-time charges. Delivered to client billing contact and available in the Admin portal.</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Overdue handling</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7-day reminder, 14-day warning, 30-day suspension trigger (automatic). Platform access suspended at 30 days overdue — alert to client Super Admin and CSM. Suspension is reversible on payment.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Plan upgrades</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Initiated by Edstellar commercial team. New level gates unlock immediately. New billing rate from next billing cycle. Upgrade logged with commercial reason and initiating CSM.</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Plan downgrades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Require sign-off from Head of Customer Success. Takes effect at end of current billing period. Downgrade reason recorded for churn analysis.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Revenue dashboard</w:t>
            </w:r>
          </w:p>
        </w:tc>
        <w:tc>
          <w:tcPr>
            <w:tcW w:type="dxa" w:w="6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MRR, ARR, revenue by tier, churn rate, net revenue retention — visible to Finance and Head of Customer Success. Exportable for accounting system integration.</w:t>
            </w:r>
          </w:p>
        </w:tc>
      </w:tr>
    </w:tbl>
    <w:p>
      <w:pPr>
        <w:spacing w:before="0" w:after="80"/>
      </w:pPr>
    </w:p>
    <w:p>
      <w:pPr>
        <w:pStyle w:val="Heading2"/>
        <w:spacing w:before="300" w:after="120"/>
      </w:pPr>
      <w:r>
        <w:rPr>
          <w:rFonts w:ascii="Arial" w:cs="Arial" w:eastAsia="Arial" w:hAnsi="Arial"/>
          <w:b/>
          <w:bCs/>
          <w:color w:val="1E3A6E"/>
          <w:sz w:val="30"/>
          <w:szCs w:val="30"/>
        </w:rPr>
        <w:t xml:space="preserve">7.3 Platform Configuration and Feature Flags</w:t>
      </w:r>
    </w:p>
    <w:p>
      <w:pPr>
        <w:pStyle w:val="ListParagraph"/>
        <w:numPr>
          <w:ilvl w:val="0"/>
          <w:numId w:val="2"/>
        </w:numPr>
        <w:spacing w:before="0" w:after="60"/>
      </w:pPr>
      <w:r>
        <w:rPr>
          <w:rFonts w:ascii="Arial" w:cs="Arial" w:eastAsia="Arial" w:hAnsi="Arial"/>
          <w:color w:val="374151"/>
          <w:sz w:val="21"/>
          <w:szCs w:val="21"/>
        </w:rPr>
        <w:t xml:space="preserve">Global feature flags: platform-wide switches controlled by the Edstellar engineering team — distinct from per-client Admin Console switches. Examples: disable new tenant sign-ups during maintenance, toggle the AI conversational interface during a model upgrade. All flag changes logged with engineer identity, reason, and expected duration.</w:t>
      </w:r>
    </w:p>
    <w:p>
      <w:pPr>
        <w:pStyle w:val="ListParagraph"/>
        <w:numPr>
          <w:ilvl w:val="0"/>
          <w:numId w:val="2"/>
        </w:numPr>
        <w:spacing w:before="0" w:after="60"/>
      </w:pPr>
      <w:r>
        <w:rPr>
          <w:rFonts w:ascii="Arial" w:cs="Arial" w:eastAsia="Arial" w:hAnsi="Arial"/>
          <w:color w:val="374151"/>
          <w:sz w:val="21"/>
          <w:szCs w:val="21"/>
        </w:rPr>
        <w:t xml:space="preserve">AI pipeline configuration: global config for SkillForge — Claude model version, prompt template version (versioned with changelog, one-click rollback), timeout thresholds, retry policy, fallback behaviour. Prompt template changes require code review before deployment.</w:t>
      </w:r>
    </w:p>
    <w:p>
      <w:pPr>
        <w:pStyle w:val="ListParagraph"/>
        <w:numPr>
          <w:ilvl w:val="0"/>
          <w:numId w:val="2"/>
        </w:numPr>
        <w:spacing w:before="0" w:after="60"/>
      </w:pPr>
      <w:r>
        <w:rPr>
          <w:rFonts w:ascii="Arial" w:cs="Arial" w:eastAsia="Arial" w:hAnsi="Arial"/>
          <w:color w:val="374151"/>
          <w:sz w:val="21"/>
          <w:szCs w:val="21"/>
        </w:rPr>
        <w:t xml:space="preserve">Maintenance mode: branded maintenance page shown to all users across all portals. Scheduled windows communicated to all Super Admins via NotifyEngine 48 hours in advance. Emergency maintenance activatable immediately with post-hoc notification.</w:t>
      </w:r>
    </w:p>
    <w:p>
      <w:pPr>
        <w:pStyle w:val="ListParagraph"/>
        <w:numPr>
          <w:ilvl w:val="0"/>
          <w:numId w:val="2"/>
        </w:numPr>
        <w:spacing w:before="0" w:after="60"/>
      </w:pPr>
      <w:r>
        <w:rPr>
          <w:rFonts w:ascii="Arial" w:cs="Arial" w:eastAsia="Arial" w:hAnsi="Arial"/>
          <w:color w:val="374151"/>
          <w:sz w:val="21"/>
          <w:szCs w:val="21"/>
        </w:rPr>
        <w:t xml:space="preserve">API rate limit defaults by tier: global defaults per API tier (Standard / Professional / Enterprise). Per-tenant overrides managed in the Edstellar Admin Console. Rate limit changes require engineering sign-off.</w:t>
      </w:r>
    </w:p>
    <w:p>
      <w:pPr>
        <w:pStyle w:val="ListParagraph"/>
        <w:numPr>
          <w:ilvl w:val="0"/>
          <w:numId w:val="2"/>
        </w:numPr>
        <w:spacing w:before="0" w:after="60"/>
      </w:pPr>
      <w:r>
        <w:rPr>
          <w:rFonts w:ascii="Arial" w:cs="Arial" w:eastAsia="Arial" w:hAnsi="Arial"/>
          <w:color w:val="374151"/>
          <w:sz w:val="21"/>
          <w:szCs w:val="21"/>
        </w:rPr>
        <w:t xml:space="preserve">Notification template management: global email template library for all NotifyEngine triggers. Template edits versioned with before/after preview. Org-branded templates inherit from the global template — global changes propagate unless the tenant has a custom override.</w:t>
      </w:r>
    </w:p>
    <w:p>
      <w:pPr>
        <w:pStyle w:val="ListParagraph"/>
        <w:numPr>
          <w:ilvl w:val="0"/>
          <w:numId w:val="2"/>
        </w:numPr>
        <w:spacing w:before="0" w:after="60"/>
      </w:pPr>
      <w:r>
        <w:rPr>
          <w:rFonts w:ascii="Arial" w:cs="Arial" w:eastAsia="Arial" w:hAnsi="Arial"/>
          <w:color w:val="374151"/>
          <w:sz w:val="21"/>
          <w:szCs w:val="21"/>
        </w:rPr>
        <w:t xml:space="preserve">Data retention policy: global defaults for active data, archived data, post-deactivation retention, and alumni SkillPassport retention periods. Tenant-level overrides for enterprise clients with regulatory requirements.</w:t>
      </w:r>
    </w:p>
    <w:p>
      <w:pPr>
        <w:spacing w:before="0" w:after="80"/>
      </w:pPr>
    </w:p>
    <w:p>
      <w:pPr>
        <w:pStyle w:val="Heading2"/>
        <w:spacing w:before="300" w:after="120"/>
      </w:pPr>
      <w:r>
        <w:rPr>
          <w:rFonts w:ascii="Arial" w:cs="Arial" w:eastAsia="Arial" w:hAnsi="Arial"/>
          <w:b/>
          <w:bCs/>
          <w:color w:val="1E3A6E"/>
          <w:sz w:val="30"/>
          <w:szCs w:val="30"/>
        </w:rPr>
        <w:t xml:space="preserve">7.4 Platform Health and Infrastructure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1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What Is Monitored</w:t>
            </w:r>
          </w:p>
        </w:tc>
        <w:tc>
          <w:tcPr>
            <w:tcW w:type="dxa" w:w="32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Uptime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Platform availability per portal (Admin, Manager, Employee). API and database availability. SLA target: 99.9% monthly.</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portal unavailable &gt;2 minutes → P1 alert to on-call engineer + #incidents Slack.</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AI pipeline</w:t>
            </w:r>
          </w:p>
        </w:tc>
        <w:tc>
          <w:tcPr>
            <w:tcW w:type="dxa" w:w="4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Average pipeline completion time (target: &lt;3 min). Failure rate per prompt. Queue depth and wait time. Claude API latency per prompt.</w:t>
            </w:r>
          </w:p>
        </w:tc>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p95 &gt;5 minutes or failure rate &gt;5% in any 30-min window → engineering alert.</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Notification delivery</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NotifyEngine delivery rate, bounce rate, latency (target: &lt;30 seconds per notification). Per-type failure rate.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p95 latency &gt;2 minutes or bounce rate &gt;2% → alert.</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Database</w:t>
            </w:r>
          </w:p>
        </w:tc>
        <w:tc>
          <w:tcPr>
            <w:tcW w:type="dxa" w:w="4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Query response time by type. Connection pool utilisation. Read replica lag. Slow query log (&gt;500ms flagged automatically).</w:t>
            </w:r>
          </w:p>
        </w:tc>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Pool utilisation &gt;85% or replica lag &gt;30s → scaling alert.</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Error rates</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4xx and 5xx rates by endpoint. Client-side JS error rate. Failed DataPort imports. Failed ReportGen jobs.</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5xx rate &gt;1% over 5 minutes → immediate engineering alert.</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Security events</w:t>
            </w:r>
          </w:p>
        </w:tc>
        <w:tc>
          <w:tcPr>
            <w:tcW w:type="dxa" w:w="4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Failed login attempts per tenant. MFA bypass attempts. Unusual API access patterns. Any cross-tenant query attempt (must always be zero).</w:t>
            </w:r>
          </w:p>
        </w:tc>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&gt;10 failed logins per user per hour or any cross-tenant query → immediate security alert.</w:t>
            </w:r>
          </w:p>
        </w:tc>
      </w:tr>
    </w:tbl>
    <w:p>
      <w:pPr>
        <w:spacing w:before="0" w:after="80"/>
      </w:pPr>
    </w:p>
    <w:p>
      <w:pPr>
        <w:pStyle w:val="Heading2"/>
        <w:spacing w:before="300" w:after="120"/>
      </w:pPr>
      <w:r>
        <w:rPr>
          <w:rFonts w:ascii="Arial" w:cs="Arial" w:eastAsia="Arial" w:hAnsi="Arial"/>
          <w:b/>
          <w:bCs/>
          <w:color w:val="1E3A6E"/>
          <w:sz w:val="30"/>
          <w:szCs w:val="30"/>
        </w:rPr>
        <w:t xml:space="preserve">7.5 Onboarding Pipeline Management</w:t>
      </w:r>
    </w:p>
    <w:p>
      <w:pPr>
        <w:spacing w:before="0" w:after="100"/>
        <w:jc w:val="left"/>
      </w:pPr>
      <w:r>
        <w:rPr>
          <w:rFonts w:ascii="Arial" w:cs="Arial" w:eastAsia="Arial" w:hAnsi="Arial"/>
          <w:b w:val="false"/>
          <w:bCs w:val="false"/>
          <w:i w:val="false"/>
          <w:iCs w:val="false"/>
          <w:color w:val="374151"/>
          <w:sz w:val="22"/>
          <w:szCs w:val="22"/>
        </w:rPr>
        <w:t xml:space="preserve">New tenant onboarding is the highest-impact activity in the platform's commercial lifecycle. The Onboarding Pipeline module gives the Customer Success team real-time visibility into where every new tenant is in their setup journey.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Completion Criteria</w:t>
            </w:r>
          </w:p>
        </w:tc>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Time Target</w:t>
            </w:r>
          </w:p>
        </w:tc>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Stall Flag</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Tenant activated</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Super Admin first login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Day 1</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login within 48 hours</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OrgSetup complete</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Hierarchy, strategy, standards, tools saved</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Day 1–3</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complete by Day 5</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DataPort import done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Context Meter above 50% with employee master data</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Day 2–5</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done by Day 7</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AI pipeline triggered</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SkillForge 7-prompt pipeline run at least once</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Day 3–7</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triggered by Day 10</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Tier 1 review complete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submitted AI output for Tier 2 review</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Day 5–10</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submitted by Day 14</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FrameworkBible published</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Tier 3 HR Head published — L1 complete</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Day 7–14</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published by Day 21</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First assessment cycle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At least one cycle created and dispatched to employees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Day 14–30</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dispatched by Day 45</w:t>
            </w:r>
          </w:p>
        </w:tc>
      </w:tr>
    </w:tbl>
    <w:p>
      <w:pPr>
        <w:spacing w:before="0" w:after="60"/>
      </w:pPr>
    </w:p>
    <w:p>
      <w:pPr>
        <w:pStyle w:val="ListParagraph"/>
        <w:numPr>
          <w:ilvl w:val="0"/>
          <w:numId w:val="2"/>
        </w:numPr>
        <w:spacing w:before="0" w:after="60"/>
      </w:pPr>
      <w:r>
        <w:rPr>
          <w:rFonts w:ascii="Arial" w:cs="Arial" w:eastAsia="Arial" w:hAnsi="Arial"/>
          <w:color w:val="374151"/>
          <w:sz w:val="21"/>
          <w:szCs w:val="21"/>
        </w:rPr>
        <w:t xml:space="preserve">Stall notifications: when a tenant passes a stall threshold, the assigned CSM receives a notification with the tenant name, stage, days stalled, and a recommended action template.</w:t>
      </w:r>
    </w:p>
    <w:p>
      <w:pPr>
        <w:pStyle w:val="ListParagraph"/>
        <w:numPr>
          <w:ilvl w:val="0"/>
          <w:numId w:val="2"/>
        </w:numPr>
        <w:spacing w:before="0" w:after="60"/>
      </w:pPr>
      <w:r>
        <w:rPr>
          <w:rFonts w:ascii="Arial" w:cs="Arial" w:eastAsia="Arial" w:hAnsi="Arial"/>
          <w:color w:val="374151"/>
          <w:sz w:val="21"/>
          <w:szCs w:val="21"/>
        </w:rPr>
        <w:t xml:space="preserve">Onboarding health score: composite score per tenant across the 7 stages. Displayed as a progress bar in the tenant dashboard. Tenants below 40% health score at Day 14 are flagged for immediate CSM intervention.</w:t>
      </w:r>
    </w:p>
    <w:p>
      <w:pPr>
        <w:pStyle w:val="ListParagraph"/>
        <w:numPr>
          <w:ilvl w:val="0"/>
          <w:numId w:val="2"/>
        </w:numPr>
        <w:spacing w:before="0" w:after="60"/>
      </w:pPr>
      <w:r>
        <w:rPr>
          <w:rFonts w:ascii="Arial" w:cs="Arial" w:eastAsia="Arial" w:hAnsi="Arial"/>
          <w:color w:val="374151"/>
          <w:sz w:val="21"/>
          <w:szCs w:val="21"/>
        </w:rPr>
        <w:t xml:space="preserve">Time-to-value KPIs: time from activation to FrameworkBible published (L1 value) and from activation to first assessment cycle completed (L2 value). Reported to Head of Customer Success weekly.</w:t>
      </w:r>
    </w:p>
    <w:p>
      <w:pPr>
        <w:spacing w:before="0" w:after="80"/>
      </w:pPr>
    </w:p>
    <w:p>
      <w:pPr>
        <w:pStyle w:val="Heading2"/>
        <w:spacing w:before="300" w:after="120"/>
      </w:pPr>
      <w:r>
        <w:rPr>
          <w:rFonts w:ascii="Arial" w:cs="Arial" w:eastAsia="Arial" w:hAnsi="Arial"/>
          <w:b/>
          <w:bCs/>
          <w:color w:val="1E3A6E"/>
          <w:sz w:val="30"/>
          <w:szCs w:val="30"/>
        </w:rPr>
        <w:t xml:space="preserve">7.6 User Management and Support Tools</w:t>
      </w:r>
    </w:p>
    <w:p>
      <w:pPr>
        <w:pStyle w:val="ListParagraph"/>
        <w:numPr>
          <w:ilvl w:val="0"/>
          <w:numId w:val="2"/>
        </w:numPr>
        <w:spacing w:before="0" w:after="60"/>
      </w:pPr>
      <w:r>
        <w:rPr>
          <w:rFonts w:ascii="Arial" w:cs="Arial" w:eastAsia="Arial" w:hAnsi="Arial"/>
          <w:color w:val="374151"/>
          <w:sz w:val="21"/>
          <w:szCs w:val="21"/>
        </w:rPr>
        <w:t xml:space="preserve">Cross-tenant user search: find any user across all tenants by email or name. Returns tenant name, role, last login, account status — used by support agents when a user contacts support without specifying their org.</w:t>
      </w:r>
    </w:p>
    <w:p>
      <w:pPr>
        <w:pStyle w:val="ListParagraph"/>
        <w:numPr>
          <w:ilvl w:val="0"/>
          <w:numId w:val="2"/>
        </w:numPr>
        <w:spacing w:before="0" w:after="60"/>
      </w:pPr>
      <w:r>
        <w:rPr>
          <w:rFonts w:ascii="Arial" w:cs="Arial" w:eastAsia="Arial" w:hAnsi="Arial"/>
          <w:color w:val="374151"/>
          <w:sz w:val="21"/>
          <w:szCs w:val="21"/>
        </w:rPr>
        <w:t xml:space="preserve">Password reset (support-initiated): Edstellar Support can trigger a password reset for any user. Action logged with support agent identity and reason. User receives reset link by email.</w:t>
      </w:r>
    </w:p>
    <w:p>
      <w:pPr>
        <w:pStyle w:val="ListParagraph"/>
        <w:numPr>
          <w:ilvl w:val="0"/>
          <w:numId w:val="2"/>
        </w:numPr>
        <w:spacing w:before="0" w:after="60"/>
      </w:pPr>
      <w:r>
        <w:rPr>
          <w:rFonts w:ascii="Arial" w:cs="Arial" w:eastAsia="Arial" w:hAnsi="Arial"/>
          <w:color w:val="374151"/>
          <w:sz w:val="21"/>
          <w:szCs w:val="21"/>
        </w:rPr>
        <w:t xml:space="preserve">Account unlock: MFA lockouts unlocked by Edstellar Support. Lockout reason and unlock action both logged.</w:t>
      </w:r>
    </w:p>
    <w:p>
      <w:pPr>
        <w:pStyle w:val="ListParagraph"/>
        <w:numPr>
          <w:ilvl w:val="0"/>
          <w:numId w:val="2"/>
        </w:numPr>
        <w:spacing w:before="0" w:after="60"/>
      </w:pPr>
      <w:r>
        <w:rPr>
          <w:rFonts w:ascii="Arial" w:cs="Arial" w:eastAsia="Arial" w:hAnsi="Arial"/>
          <w:color w:val="374151"/>
          <w:sz w:val="21"/>
          <w:szCs w:val="21"/>
        </w:rPr>
        <w:t xml:space="preserve">Role changes: restricted to the tenant's own Super Admin. Edstellar Support cannot change roles — only unlock accounts or reset credentials. Preserves tenant data sovereignty.</w:t>
      </w:r>
    </w:p>
    <w:p>
      <w:pPr>
        <w:pStyle w:val="ListParagraph"/>
        <w:numPr>
          <w:ilvl w:val="0"/>
          <w:numId w:val="2"/>
        </w:numPr>
        <w:spacing w:before="0" w:after="60"/>
      </w:pPr>
      <w:r>
        <w:rPr>
          <w:rFonts w:ascii="Arial" w:cs="Arial" w:eastAsia="Arial" w:hAnsi="Arial"/>
          <w:color w:val="374151"/>
          <w:sz w:val="21"/>
          <w:szCs w:val="21"/>
        </w:rPr>
        <w:t xml:space="preserve">Support ticket context: support agents access tenant context (current level, last activity, recent errors, onboarding stage) directly from the support interface — without needing to log into the tenant's platform.</w:t>
      </w:r>
    </w:p>
    <w:p>
      <w:pPr>
        <w:pStyle w:val="ListParagraph"/>
        <w:numPr>
          <w:ilvl w:val="0"/>
          <w:numId w:val="2"/>
        </w:numPr>
        <w:spacing w:before="0" w:after="60"/>
      </w:pPr>
      <w:r>
        <w:rPr>
          <w:rFonts w:ascii="Arial" w:cs="Arial" w:eastAsia="Arial" w:hAnsi="Arial"/>
          <w:color w:val="374151"/>
          <w:sz w:val="21"/>
          <w:szCs w:val="21"/>
        </w:rPr>
        <w:t xml:space="preserve">Incident log and status page: all P1/P2/P3 incidents logged with detection time, root cause, tenants affected, and resolution time. Public status page per component — automatically updated from monitoring. Super Admins can subscribe to status notifications.</w:t>
      </w:r>
    </w:p>
    <w:p>
      <w:pPr>
        <w:spacing w:before="0" w:after="120"/>
      </w:pPr>
    </w:p>
    <w:p>
      <w:pPr>
        <w:pageBreakBefore/>
      </w:pPr>
      <w:r>
        <w:t xml:space="preserve"/>
      </w:r>
    </w:p>
    <w:p>
      <w:pPr>
        <w:pStyle w:val="Heading1"/>
        <w:spacing w:before="400" w:after="160"/>
      </w:pPr>
      <w:r>
        <w:rPr>
          <w:rFonts w:ascii="Arial" w:cs="Arial" w:eastAsia="Arial" w:hAnsi="Arial"/>
          <w:b/>
          <w:bCs/>
          <w:color w:val="1E3A6E"/>
          <w:sz w:val="40"/>
          <w:szCs w:val="40"/>
        </w:rPr>
        <w:t xml:space="preserve">8. Data Architecture &amp; Technical Requirements</w:t>
      </w:r>
    </w:p>
    <w:p>
      <w:pPr>
        <w:pStyle w:val="Heading2"/>
        <w:spacing w:before="300" w:after="120"/>
      </w:pPr>
      <w:r>
        <w:rPr>
          <w:rFonts w:ascii="Arial" w:cs="Arial" w:eastAsia="Arial" w:hAnsi="Arial"/>
          <w:b/>
          <w:bCs/>
          <w:color w:val="1E3A6E"/>
          <w:sz w:val="30"/>
          <w:szCs w:val="30"/>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8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Frontend</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(React) — App Router</w:t>
            </w:r>
          </w:p>
        </w:tc>
        <w:tc>
          <w:tcPr>
            <w:tcW w:type="dxa" w:w="3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 portals: Admin, Manager, Employee. SSR for SEO-sensitive pages. CSR for dashboard interactivity.</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Backend</w:t>
            </w:r>
          </w:p>
        </w:tc>
        <w:tc>
          <w:tcPr>
            <w:tcW w:type="dxa" w:w="3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Node.js + Express / Fastify</w:t>
            </w:r>
          </w:p>
        </w:tc>
        <w:tc>
          <w:tcPr>
            <w:tcW w:type="dxa" w:w="3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 API. JWT auth. Role-based access control (RBAC). Separate API surface for mobile app.</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Database</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(primary) + Redis (cache + queue)</w:t>
            </w:r>
          </w:p>
        </w:tc>
        <w:tc>
          <w:tcPr>
            <w:tcW w:type="dxa" w:w="3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Schema-per-tenant or row-level security isolation. Read replicas for analytics queries. Connection pooling.</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AI / LLM</w:t>
            </w:r>
          </w:p>
        </w:tc>
        <w:tc>
          <w:tcPr>
            <w:tcW w:type="dxa" w:w="3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Claude API (Anthropic) — claude-sonnet-4 model</w:t>
            </w:r>
          </w:p>
        </w:tc>
        <w:tc>
          <w:tcPr>
            <w:tcW w:type="dxa" w:w="3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Mandatory. Not GPT or other providers. Edstellar provides API keys and manages AI billing.</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Queue / Async</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BullMQ (Redis-backed)</w:t>
            </w:r>
          </w:p>
        </w:tc>
        <w:tc>
          <w:tcPr>
            <w:tcW w:type="dxa" w:w="3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AI pipeline prompts, report generation, and notifications run asynchronously. Retry with exponential backoff.</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File Storage</w:t>
            </w:r>
          </w:p>
        </w:tc>
        <w:tc>
          <w:tcPr>
            <w:tcW w:type="dxa" w:w="3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AWS S3 or equivalent</w:t>
            </w:r>
          </w:p>
        </w:tc>
        <w:tc>
          <w:tcPr>
            <w:tcW w:type="dxa" w:w="3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Excel imports, PDF reports, certificate files, resume uploads. Org-isolated bucket paths.</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Email</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SendGrid or AWS SES</w:t>
            </w:r>
          </w:p>
        </w:tc>
        <w:tc>
          <w:tcPr>
            <w:tcW w:type="dxa" w:w="3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NotifyEngine delivery layer. Template engine. Delivery confirmation logged. Retry with backoff.</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Mobile</w:t>
            </w:r>
          </w:p>
        </w:tc>
        <w:tc>
          <w:tcPr>
            <w:tcW w:type="dxa" w:w="3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Native</w:t>
            </w:r>
          </w:p>
        </w:tc>
        <w:tc>
          <w:tcPr>
            <w:tcW w:type="dxa" w:w="3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 portal only (iOS + Android). Shared component library with web portal where possible.</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Auth</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SSO (SAML 2.0 / OIDC) + email+password fallback + MFA</w:t>
            </w:r>
          </w:p>
        </w:tc>
        <w:tc>
          <w:tcPr>
            <w:tcW w:type="dxa" w:w="3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Separate login portals for Admin, Manager, Employee. Session management with configurable timeout.</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Deployment</w:t>
            </w:r>
          </w:p>
        </w:tc>
        <w:tc>
          <w:tcPr>
            <w:tcW w:type="dxa" w:w="34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 + Kubernetes (cloud). Docker Compose (on-premise).</w:t>
            </w:r>
          </w:p>
        </w:tc>
        <w:tc>
          <w:tcPr>
            <w:tcW w:type="dxa" w:w="3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Helm charts for enterprise on-premise. CI/CD pipeline for automated image builds and deployments.</w:t>
            </w:r>
          </w:p>
        </w:tc>
      </w:tr>
      <w:tr>
        <w:tc>
          <w:tcPr>
            <w:tcW w:type="dxa" w:w="2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Excel Import</w:t>
            </w:r>
          </w:p>
        </w:tc>
        <w:tc>
          <w:tcPr>
            <w:tcW w:type="dxa" w:w="34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SheetJS (client-side parsing)</w:t>
            </w:r>
          </w:p>
        </w:tc>
        <w:tc>
          <w:tcPr>
            <w:tcW w:type="dxa" w:w="3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Client-side parsing for instant preview before any server call. Server-side batch insert with connection pooling for large datasets.</w:t>
            </w:r>
          </w:p>
        </w:tc>
      </w:tr>
    </w:tbl>
    <w:p>
      <w:pPr>
        <w:spacing w:before="0" w:after="80"/>
      </w:pPr>
    </w:p>
    <w:p>
      <w:pPr>
        <w:pStyle w:val="Heading2"/>
        <w:spacing w:before="300" w:after="120"/>
      </w:pPr>
      <w:r>
        <w:rPr>
          <w:rFonts w:ascii="Arial" w:cs="Arial" w:eastAsia="Arial" w:hAnsi="Arial"/>
          <w:b/>
          <w:bCs/>
          <w:color w:val="1E3A6E"/>
          <w:sz w:val="30"/>
          <w:szCs w:val="30"/>
        </w:rPr>
        <w:t xml:space="preserve">8.2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Engineering Approach</w:t>
            </w:r>
          </w:p>
        </w:tc>
      </w:tr>
      <w:tr>
        <w:tc>
          <w:tcPr>
            <w:tcW w:type="dxa" w:w="3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AI generation pipeline (7 prompts)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&lt;3 minutes</w:t>
            </w:r>
          </w:p>
        </w:tc>
        <w:tc>
          <w:tcPr>
            <w:tcW w:type="dxa" w:w="4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Async via BullMQ. Real-time progress per prompt. Partial completion resumable.</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DataPort import (1,000 employees)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&lt;30 seconds</w:t>
            </w:r>
          </w:p>
        </w:tc>
        <w:tc>
          <w:tcPr>
            <w:tcW w:type="dxa" w:w="4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Client-side SheetJS parsing + server-side batch insert with connection pooling</w:t>
            </w:r>
          </w:p>
        </w:tc>
      </w:tr>
      <w:tr>
        <w:tc>
          <w:tcPr>
            <w:tcW w:type="dxa" w:w="3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Dashboard load time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&lt;2 seconds</w:t>
            </w:r>
          </w:p>
        </w:tc>
        <w:tc>
          <w:tcPr>
            <w:tcW w:type="dxa" w:w="4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Pre-aggregated chart data. CDN for static assets. Read replicas for analytics queries.</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Assessment form load</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&lt;1 second</w:t>
            </w:r>
          </w:p>
        </w:tc>
        <w:tc>
          <w:tcPr>
            <w:tcW w:type="dxa" w:w="4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Pre-generated and cached per employee after cycle creation</w:t>
            </w:r>
          </w:p>
        </w:tc>
      </w:tr>
      <w:tr>
        <w:tc>
          <w:tcPr>
            <w:tcW w:type="dxa" w:w="3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Report PDF generation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&lt;10 seconds</w:t>
            </w:r>
          </w:p>
        </w:tc>
        <w:tc>
          <w:tcPr>
            <w:tcW w:type="dxa" w:w="4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Server-side rendering with priority queue. Async delivery with email notification on completion.</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Notification delivery</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&lt;30 seconds from trigger</w:t>
            </w:r>
          </w:p>
        </w:tc>
        <w:tc>
          <w:tcPr>
            <w:tcW w:type="dxa" w:w="4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Async queue via SendGrid/SES. Retry with backoff. Delivery confirmation logged.</w:t>
            </w:r>
          </w:p>
        </w:tc>
      </w:tr>
      <w:tr>
        <w:tc>
          <w:tcPr>
            <w:tcW w:type="dxa" w:w="3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Concurrent organisations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 on shared infra</w:t>
            </w:r>
          </w:p>
        </w:tc>
        <w:tc>
          <w:tcPr>
            <w:tcW w:type="dxa" w:w="4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Horizontal pod autoscaling. Schema-per-tenant or row-level security isolation.</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Max employees per org</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50,000+</w:t>
            </w:r>
          </w:p>
        </w:tc>
        <w:tc>
          <w:tcPr>
            <w:tcW w:type="dxa" w:w="4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Connection pooling, query optimisation, read replicas, indexed on org_id + dept_id</w:t>
            </w:r>
          </w:p>
        </w:tc>
      </w:tr>
    </w:tbl>
    <w:p>
      <w:pPr>
        <w:spacing w:before="0" w:after="80"/>
      </w:pPr>
    </w:p>
    <w:p>
      <w:pPr>
        <w:pStyle w:val="Heading2"/>
        <w:spacing w:before="300" w:after="120"/>
      </w:pPr>
      <w:r>
        <w:rPr>
          <w:rFonts w:ascii="Arial" w:cs="Arial" w:eastAsia="Arial" w:hAnsi="Arial"/>
          <w:b/>
          <w:bCs/>
          <w:color w:val="1E3A6E"/>
          <w:sz w:val="30"/>
          <w:szCs w:val="30"/>
        </w:rPr>
        <w:t xml:space="preserve">8.3 Security &amp; Compliance</w:t>
      </w:r>
    </w:p>
    <w:p>
      <w:pPr>
        <w:pStyle w:val="ListParagraph"/>
        <w:numPr>
          <w:ilvl w:val="0"/>
          <w:numId w:val="2"/>
        </w:numPr>
        <w:spacing w:before="0" w:after="60"/>
      </w:pPr>
      <w:r>
        <w:rPr>
          <w:rFonts w:ascii="Arial" w:cs="Arial" w:eastAsia="Arial" w:hAnsi="Arial"/>
          <w:color w:val="374151"/>
          <w:sz w:val="21"/>
          <w:szCs w:val="21"/>
        </w:rPr>
        <w:t xml:space="preserve">Multi-tenancy: complete data isolation between organisations — row-level security on all queries. Verified with automated cross-tenant access test suite.</w:t>
      </w:r>
    </w:p>
    <w:p>
      <w:pPr>
        <w:pStyle w:val="ListParagraph"/>
        <w:numPr>
          <w:ilvl w:val="0"/>
          <w:numId w:val="2"/>
        </w:numPr>
        <w:spacing w:before="0" w:after="60"/>
      </w:pPr>
      <w:r>
        <w:rPr>
          <w:rFonts w:ascii="Arial" w:cs="Arial" w:eastAsia="Arial" w:hAnsi="Arial"/>
          <w:color w:val="374151"/>
          <w:sz w:val="21"/>
          <w:szCs w:val="21"/>
        </w:rPr>
        <w:t xml:space="preserve">Authentication: SSO (SAML 2.0 / OIDC), email+password fallback, MFA support. Separate login portals. Session management with configurable timeout.</w:t>
      </w:r>
    </w:p>
    <w:p>
      <w:pPr>
        <w:pStyle w:val="ListParagraph"/>
        <w:numPr>
          <w:ilvl w:val="0"/>
          <w:numId w:val="2"/>
        </w:numPr>
        <w:spacing w:before="0" w:after="60"/>
      </w:pPr>
      <w:r>
        <w:rPr>
          <w:rFonts w:ascii="Arial" w:cs="Arial" w:eastAsia="Arial" w:hAnsi="Arial"/>
          <w:color w:val="374151"/>
          <w:sz w:val="21"/>
          <w:szCs w:val="21"/>
        </w:rPr>
        <w:t xml:space="preserve">Authorisation: RBAC with 7 roles (Super Admin, HR Head, Dept Head, Manager, L&amp;D Manager/HRBP, Employee, Auditor). Feature-level gating per level progression.</w:t>
      </w:r>
    </w:p>
    <w:p>
      <w:pPr>
        <w:pStyle w:val="ListParagraph"/>
        <w:numPr>
          <w:ilvl w:val="0"/>
          <w:numId w:val="2"/>
        </w:numPr>
        <w:spacing w:before="0" w:after="60"/>
      </w:pPr>
      <w:r>
        <w:rPr>
          <w:rFonts w:ascii="Arial" w:cs="Arial" w:eastAsia="Arial" w:hAnsi="Arial"/>
          <w:color w:val="374151"/>
          <w:sz w:val="21"/>
          <w:szCs w:val="21"/>
        </w:rPr>
        <w:t xml:space="preserve">Encryption: AES-256 at rest. TLS 1.3 in transit. API keys and secrets in vault (HashiCorp or AWS Secrets Manager). Passwords never stored in plaintext.</w:t>
      </w:r>
    </w:p>
    <w:p>
      <w:pPr>
        <w:pStyle w:val="ListParagraph"/>
        <w:numPr>
          <w:ilvl w:val="0"/>
          <w:numId w:val="2"/>
        </w:numPr>
        <w:spacing w:before="0" w:after="60"/>
      </w:pPr>
      <w:r>
        <w:rPr>
          <w:rFonts w:ascii="Arial" w:cs="Arial" w:eastAsia="Arial" w:hAnsi="Arial"/>
          <w:color w:val="374151"/>
          <w:sz w:val="21"/>
          <w:szCs w:val="21"/>
        </w:rPr>
        <w:t xml:space="preserve">Data residency: configurable per org (US, EU, India, custom region). On-premise option for full data sovereignty.</w:t>
      </w:r>
    </w:p>
    <w:p>
      <w:pPr>
        <w:pStyle w:val="ListParagraph"/>
        <w:numPr>
          <w:ilvl w:val="0"/>
          <w:numId w:val="2"/>
        </w:numPr>
        <w:spacing w:before="0" w:after="60"/>
      </w:pPr>
      <w:r>
        <w:rPr>
          <w:rFonts w:ascii="Arial" w:cs="Arial" w:eastAsia="Arial" w:hAnsi="Arial"/>
          <w:color w:val="374151"/>
          <w:sz w:val="21"/>
          <w:szCs w:val="21"/>
        </w:rPr>
        <w:t xml:space="preserve">GDPR/DPDP: right to erasure (triggered from employee exit flow), data portability (Skill Passport export), consent management, audit logging on all personal data access.</w:t>
      </w:r>
    </w:p>
    <w:p>
      <w:pPr>
        <w:pStyle w:val="ListParagraph"/>
        <w:numPr>
          <w:ilvl w:val="0"/>
          <w:numId w:val="2"/>
        </w:numPr>
        <w:spacing w:before="0" w:after="60"/>
      </w:pPr>
      <w:r>
        <w:rPr>
          <w:rFonts w:ascii="Arial" w:cs="Arial" w:eastAsia="Arial" w:hAnsi="Arial"/>
          <w:color w:val="374151"/>
          <w:sz w:val="21"/>
          <w:szCs w:val="21"/>
        </w:rPr>
        <w:t xml:space="preserve">Audit trail: every data mutation logged (user, timestamp, before/after values, approval chain step). Immutable audit log. Exportable for compliance review.</w:t>
      </w:r>
    </w:p>
    <w:p>
      <w:pPr>
        <w:pStyle w:val="ListParagraph"/>
        <w:numPr>
          <w:ilvl w:val="0"/>
          <w:numId w:val="2"/>
        </w:numPr>
        <w:spacing w:before="0" w:after="60"/>
      </w:pPr>
      <w:r>
        <w:rPr>
          <w:rFonts w:ascii="Arial" w:cs="Arial" w:eastAsia="Arial" w:hAnsi="Arial"/>
          <w:color w:val="374151"/>
          <w:sz w:val="21"/>
          <w:szCs w:val="21"/>
        </w:rPr>
        <w:t xml:space="preserve">Wellbeing data: highest privacy sensitivity. Burnout Risk Score never shown to the individual employee or their peers. Only shown to manager (as conversation prompt) and HR Head (as aggregate).</w:t>
      </w:r>
    </w:p>
    <w:p>
      <w:pPr>
        <w:spacing w:before="0" w:after="120"/>
      </w:pPr>
    </w:p>
    <w:p>
      <w:pPr>
        <w:pageBreakBefore/>
      </w:pPr>
      <w:r>
        <w:t xml:space="preserve"/>
      </w:r>
    </w:p>
    <w:p>
      <w:pPr>
        <w:pStyle w:val="Heading1"/>
        <w:spacing w:before="400" w:after="160"/>
      </w:pPr>
      <w:r>
        <w:rPr>
          <w:rFonts w:ascii="Arial" w:cs="Arial" w:eastAsia="Arial" w:hAnsi="Arial"/>
          <w:b/>
          <w:bCs/>
          <w:color w:val="1E3A6E"/>
          <w:sz w:val="40"/>
          <w:szCs w:val="40"/>
        </w:rPr>
        <w:t xml:space="preserve">9. Build Sequence &amp; Delivery Schedule</w:t>
      </w:r>
    </w:p>
    <w:p>
      <w:pPr>
        <w:spacing w:before="0" w:after="100"/>
        <w:jc w:val="left"/>
      </w:pPr>
      <w:r>
        <w:rPr>
          <w:rFonts w:ascii="Arial" w:cs="Arial" w:eastAsia="Arial" w:hAnsi="Arial"/>
          <w:b w:val="false"/>
          <w:bCs w:val="false"/>
          <w:i w:val="false"/>
          <w:iCs w:val="false"/>
          <w:color w:val="374151"/>
          <w:sz w:val="22"/>
          <w:szCs w:val="22"/>
        </w:rPr>
        <w:t xml:space="preserve">The platform is delivered in three phases across 72 weeks. Each phase produces a commercially launchable product. No phase begins until the previous phase's UAT is signed off.</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14"/>
              <w:bottom w:val="single" w:color="D97706" w:sz="4"/>
              <w:right w:val="single" w:color="D97706" w:sz="4"/>
            </w:tcBorders>
            <w:shd w:fill="FFFBEB" w:val="clear"/>
            <w:tcMar>
              <w:top w:type="dxa" w:w="120"/>
              <w:left w:type="dxa" w:w="180"/>
              <w:bottom w:type="dxa" w:w="120"/>
              <w:right w:type="dxa" w:w="160"/>
            </w:tcMar>
          </w:tcPr>
          <w:p>
            <w:pPr>
              <w:spacing w:before="0" w:after="60"/>
            </w:pPr>
            <w:r>
              <w:rPr>
                <w:rFonts w:ascii="Arial" w:cs="Arial" w:eastAsia="Arial" w:hAnsi="Arial"/>
                <w:b/>
                <w:bCs/>
                <w:color w:val="78350F"/>
                <w:sz w:val="22"/>
                <w:szCs w:val="22"/>
              </w:rPr>
              <w:t xml:space="preserve">BUILD SEQUENCING RULE</w:t>
            </w:r>
          </w:p>
          <w:p>
            <w:pPr>
              <w:spacing w:before="0" w:after="0"/>
            </w:pPr>
            <w:r>
              <w:rPr>
                <w:rFonts w:ascii="Arial" w:cs="Arial" w:eastAsia="Arial" w:hAnsi="Arial"/>
                <w:color w:val="374151"/>
                <w:sz w:val="20"/>
                <w:szCs w:val="20"/>
              </w:rPr>
              <w:t xml:space="preserve">No module is built before the data layer it depends on is stable. SkillForge cannot run until DataPort is complete. AssessEngine cannot run until FrameworkBible is published. LearnPath cannot run until AssessEngine produces validated data. The sequence is fixed by data dependency, not by perceived feature importance.</w:t>
            </w:r>
          </w:p>
        </w:tc>
      </w:tr>
    </w:tbl>
    <w:p>
      <w:pPr>
        <w:spacing w:before="0" w:after="120"/>
      </w:pPr>
    </w:p>
    <w:p>
      <w:pPr>
        <w:pStyle w:val="Heading2"/>
        <w:spacing w:before="300" w:after="120"/>
      </w:pPr>
      <w:r>
        <w:rPr>
          <w:rFonts w:ascii="Arial" w:cs="Arial" w:eastAsia="Arial" w:hAnsi="Arial"/>
          <w:b/>
          <w:bCs/>
          <w:color w:val="1E3A6E"/>
          <w:sz w:val="30"/>
          <w:szCs w:val="30"/>
        </w:rPr>
        <w:t xml:space="preserve">Phase 1: Foundation and L1/L2 Intelligence (Weeks 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560"/>
        <w:gridCol w:w="260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5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6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Phase 1 Deliverable</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M1: Foundation</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1–3</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 (3 portals), DB schema, multi-tenant arch, Docker base, flexible hierarchy engine</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Infrastructure live. 3 portals. Tenant isolation verified.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M2: OrgSetup + Context Layer</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4–6</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OrgSetup full context layer: strategy, goals, products, services, clients, standards, tools, skill criticality, proficiency definitions, Skills Dictionary, Competency Framework, role profiles, Transformation Dial</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Complete organisational context layer. Skills Dictionary and Competency Framework builder functional.</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M3: SkillPassport + NotifyEngine</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7–8</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Employee profiles, workforce classification, resume parsing engine, QR/barcode, notification engine, 30+ email templates</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Skill Passport live. Resume AI parsing functional. All notification types tested.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M4: DataPort</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9–11</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Three data entry methods: Excel import, HRIS sync (Workday, BambooHR), and manual entry form (add/edit individual records). Validation wizard, Data Context Meter, delta import, HRIS connectors Phase 1</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three input methods working. DataPort import end-to-end. Data Context Meter accurate. HRIS sync for Workday and BambooHR.</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M5: SkillForge</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12–14</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7-prompt Claude AI pipeline, skill taxonomy hierarchy (Domain → Knowledge Area → Skill Category → Skill), competency type classification, AI proficiency definition drafting, employee baselines, is_modified flag</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AI pipeline end-to-end. Outputs review-ready in Tier 1 queue.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M6: ApprovalHub + FrameworkBible</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15–17</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3-tier approval, review screens, FrameworkBible, publish workflow, version control, re-approval on Super Admin edit</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3-tier workflow. FrameworkBible locks on Tier 3 publish.</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M7: InsightBoard + AI Conversational Interface</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18–21</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 dashboard sections, 56 charts, global filters, drill-down, 5 persona dashboards, AI widget conversational layer</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56 charts rendering. 5 persona dashboards configured. AI conversational layer functional.</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M8: ReportGen L1 + L1 UAT</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22–24</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L1 Completion Report, Workforce Intelligence Snapshot, PDF export, shareable links, level gating system, L1 end-to-end testing</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L1 Completion Report generating. Level 2 invisible until L1 gate met. L1 UAT passed.</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M9: LNA/TNA + LNI/TNI Engine</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25–26</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Weighted Gap Score Engine with all 5 multipliers, prioritisation, 7 AI intervention type classifications, LNI generation per employee, TNI programme matching, content commissioning flags</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LNA engine running post-assessment. LNI generated per employee within 24 hours of cycle close.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M10: AssessEngine + Distribution Engine</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27–28</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6 assessment categories, AI assessment builder, Skills Matrix (self + manager + task evaluation), Distribution Engine (targeting, dispatch, tracking, reminders), 360-degree feedback, qualitative capture, AI Assessment Suggestion Engine, Assessment Governance</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assessment types functional. Distribution to 50-person population working end-to-end.</w:t>
            </w:r>
          </w:p>
        </w:tc>
      </w:tr>
    </w:tbl>
    <w:p>
      <w:pPr>
        <w:spacing w:before="0" w:after="80"/>
      </w:pPr>
    </w:p>
    <w:p>
      <w:pPr>
        <w:pStyle w:val="Heading2"/>
        <w:spacing w:before="300" w:after="120"/>
      </w:pPr>
      <w:r>
        <w:rPr>
          <w:rFonts w:ascii="Arial" w:cs="Arial" w:eastAsia="Arial" w:hAnsi="Arial"/>
          <w:b/>
          <w:bCs/>
          <w:color w:val="1E3A6E"/>
          <w:sz w:val="30"/>
          <w:szCs w:val="30"/>
        </w:rPr>
        <w:t xml:space="preserve">Phase 2: L2–L5 Platform and Marketplace Infrastructure (Weeks 29–52)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560"/>
        <w:gridCol w:w="260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5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6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M11: LearnPath + ReportGen L2</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29–32</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learning paths, IDPs (aspiration + role weighted), wellbeing capacity-adjusted timeline, succession planning module Phase 1, 30-60-90 day onboarding plan, LNA/LNI reports, ROI projections, perception gap analysis</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Learning paths generating post-validation. Succession pipeline tracking live. All L2 reports producing.</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M12: TrainConnect + Certificate Engine</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33–37</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Course marketplace, LMS integration (SCORM/xAPI), delivery tracking, Kirkpatrick measurement L1–L4, certificate template builder, auto-issuance, distribution (email/portal/LinkedIn), QR verification, expiry management</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Marketplace browsable. Enrolment to certificate issuance flow working. Certificate QR verification functional.</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M13: AI Content Outline + L&amp;D/OD Project Engine + TMS</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38–41</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Content Outline Generation (audience analysis, outcomes, module structure, measurement plan), 8 L&amp;D/OD project types, AI-Suggested Org-Wide Execution Plan, TMS integration for auto-enrolment, AI project suggestions from TNA</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Content outlines generating for all flagged TNA gaps. L&amp;D project tracking live. Auto-enrolment working.</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M14: Coaching &amp; Mentoring + Wellbeing Layer</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42–45</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Coaching programme management, mentoring programme management, AI coach matching, wellbeing pulse survey, burnout risk score, team wellbeing dashboard, development capacity adjustment, manager wellbeing prompt</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Coaching and mentoring programmes manageable. Wellbeing signals flowing. Manager prompts testing.</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M15: PulseStrategy L4 + Integrations</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46–49</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Real-time skill tracking via external signals, project-skill staffing, predictive demand forecasting, early warning system, Proactive Engine, Transformation Dial and Meter, HRIS full sync, PM tool integrations (Jira, Asana, Azure DevOps)</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Real-time signals active from at least 2 integration types. Proactive cycle triggers working.</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M16: Marketplace Ecosystem Phase 1</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50–52</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Trainer and Coach Platform (profile, discovery, credits, booking), Training Vendor Platform (gap brief flow, RFP, AI proposal comparison), Referral Programme (4 types, 9-status pipeline, 4 partner tiers), Credit billing engine</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Trainer platform live. Gap brief → RFP → proposal flow working. Referral tracking operational.</w:t>
            </w:r>
          </w:p>
        </w:tc>
      </w:tr>
    </w:tbl>
    <w:p>
      <w:pPr>
        <w:spacing w:before="0" w:after="80"/>
      </w:pPr>
    </w:p>
    <w:p>
      <w:pPr>
        <w:pStyle w:val="Heading2"/>
        <w:spacing w:before="300" w:after="120"/>
      </w:pPr>
      <w:r>
        <w:rPr>
          <w:rFonts w:ascii="Arial" w:cs="Arial" w:eastAsia="Arial" w:hAnsi="Arial"/>
          <w:b/>
          <w:bCs/>
          <w:color w:val="1E3A6E"/>
          <w:sz w:val="30"/>
          <w:szCs w:val="30"/>
        </w:rPr>
        <w:t xml:space="preserve">Phase 3: Advanced Intelligence and Full Ecosystem (Weeks 53–72)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560"/>
        <w:gridCol w:w="260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5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6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M17: PulseStrategy L5 + Scenario Modelling</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53–56</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Scenario modelling and what-if analysis, M&amp;A skill due diligence module, board-level executive dashboards, multi-year talent investment planning</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Scenario modelling producing comparative analysis. Board dashboard rendering.</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M18: Succession Planning Full + Social Learning</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57–60</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Succession Planning full module (AI risk engine, what-if modelling, readiness bands), Peer and Social Learning Infrastructure (expert directory, CoPs, cohort learning, knowledge capture)</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succession pipeline live. Community of Practice functionality operational.</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M19: Skill Passport Verification + Audit Layer</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61–64</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4-tier passport verification, hiring company portal, ATS integration (Workday Recruiting, Greenhouse), Audit Intelligence Layer (evidence package builder, 8 package types, audit readiness dashboard, pre-audit mode), Auditor access role</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Passport verification endpoint live. Evidence package builder operational. Auditor access tested.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M20: API + Developer Portal + Benchmarking</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65–68</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Public REST API (read/write, webhooks), developer portal (docs, SDKs, sandbox), API revenue tier billing, Cross-Org Benchmarking (6 dimensions, anonymised, minimum 5 orgs per cell), Benchmarking premium subscription</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live with rate limiting. Developer portal accessible. Benchmarking data visible for eligible orgs.</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M21: Freemium + Localisation + Final UAT</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69–72</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Edstellar Lite free tier, in-product conversion mechanics, upgrade flow, localisation for 8 markets (language, RTL, regulatory, cultural calibration), platform-wide performance optimisation, final security audit, full end-to-end UAT</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 tier live. 8 markets configured. Platform UAT passed. Production handover complete.</w:t>
            </w:r>
          </w:p>
        </w:tc>
      </w:tr>
    </w:tbl>
    <w:p>
      <w:pPr>
        <w:spacing w:before="0" w:after="120"/>
      </w:pPr>
    </w:p>
    <w:p>
      <w:pPr>
        <w:pageBreakBefore/>
      </w:pPr>
      <w:r>
        <w:t xml:space="preserve"/>
      </w:r>
    </w:p>
    <w:p>
      <w:pPr>
        <w:pStyle w:val="Heading1"/>
        <w:spacing w:before="400" w:after="160"/>
      </w:pPr>
      <w:r>
        <w:rPr>
          <w:rFonts w:ascii="Arial" w:cs="Arial" w:eastAsia="Arial" w:hAnsi="Arial"/>
          <w:b/>
          <w:bCs/>
          <w:color w:val="1E3A6E"/>
          <w:sz w:val="40"/>
          <w:szCs w:val="40"/>
        </w:rPr>
        <w:t xml:space="preserve">10. Acceptance Criteria</w:t>
      </w:r>
    </w:p>
    <w:p>
      <w:pPr>
        <w:spacing w:before="0" w:after="100"/>
        <w:jc w:val="left"/>
      </w:pPr>
      <w:r>
        <w:rPr>
          <w:rFonts w:ascii="Arial" w:cs="Arial" w:eastAsia="Arial" w:hAnsi="Arial"/>
          <w:b w:val="false"/>
          <w:bCs w:val="false"/>
          <w:i w:val="false"/>
          <w:iCs w:val="false"/>
          <w:color w:val="374151"/>
          <w:sz w:val="22"/>
          <w:szCs w:val="22"/>
        </w:rPr>
        <w:t xml:space="preserve">All acceptance criteria must be met before the corresponding level gate is opened. Criteria are verified through automated test suites and structured UAT with Edstellar's product team.</w:t>
      </w:r>
    </w:p>
    <w:p>
      <w:pPr>
        <w:spacing w:before="0" w:after="80"/>
      </w:pPr>
    </w:p>
    <w:p>
      <w:pPr>
        <w:pStyle w:val="Heading2"/>
        <w:spacing w:before="300" w:after="120"/>
      </w:pPr>
      <w:r>
        <w:rPr>
          <w:rFonts w:ascii="Arial" w:cs="Arial" w:eastAsia="Arial" w:hAnsi="Arial"/>
          <w:b/>
          <w:bCs/>
          <w:color w:val="1E3A6E"/>
          <w:sz w:val="30"/>
          <w:szCs w:val="30"/>
        </w:rPr>
        <w:t xml:space="preserve">10.1 Level 1 Acceptance</w:t>
      </w:r>
    </w:p>
    <w:p>
      <w:pPr>
        <w:pStyle w:val="ListParagraph"/>
        <w:numPr>
          <w:ilvl w:val="0"/>
          <w:numId w:val="2"/>
        </w:numPr>
        <w:spacing w:before="0" w:after="60"/>
      </w:pPr>
      <w:r>
        <w:rPr>
          <w:rFonts w:ascii="Arial" w:cs="Arial" w:eastAsia="Arial" w:hAnsi="Arial"/>
          <w:color w:val="374151"/>
          <w:sz w:val="21"/>
          <w:szCs w:val="21"/>
        </w:rPr>
        <w:t xml:space="preserve">OrgSetup context layer fully configured: hierarchy, strategy goals, products, clients, standards, tools, skill criticality, proficiency definitions, Skills Dictionary, Competency Framework, and role profiles — all functional and saveable</w:t>
      </w:r>
    </w:p>
    <w:p>
      <w:pPr>
        <w:pStyle w:val="ListParagraph"/>
        <w:numPr>
          <w:ilvl w:val="0"/>
          <w:numId w:val="2"/>
        </w:numPr>
        <w:spacing w:before="0" w:after="60"/>
      </w:pPr>
      <w:r>
        <w:rPr>
          <w:rFonts w:ascii="Arial" w:cs="Arial" w:eastAsia="Arial" w:hAnsi="Arial"/>
          <w:color w:val="374151"/>
          <w:sz w:val="21"/>
          <w:szCs w:val="21"/>
        </w:rPr>
        <w:t xml:space="preserve">DataPort — all three entry methods verified: (a) Excel import: employee, team, certification, training history, and project data imported with zero data loss using the NovaTech 35-employee sample dataset. (b) Manual entry form: individual employee record created, edited, and deleted without file upload — all fields validate correctly. (c) HRIS sync: Workday and BambooHR connectors returning and persisting correct employee records.</w:t>
      </w:r>
    </w:p>
    <w:p>
      <w:pPr>
        <w:pStyle w:val="ListParagraph"/>
        <w:numPr>
          <w:ilvl w:val="0"/>
          <w:numId w:val="2"/>
        </w:numPr>
        <w:spacing w:before="0" w:after="60"/>
      </w:pPr>
      <w:r>
        <w:rPr>
          <w:rFonts w:ascii="Arial" w:cs="Arial" w:eastAsia="Arial" w:hAnsi="Arial"/>
          <w:color w:val="374151"/>
          <w:sz w:val="21"/>
          <w:szCs w:val="21"/>
        </w:rPr>
        <w:t xml:space="preserve">Data Context Meter accurately reflects completeness across both the DataPort people data and the OrgSetup context layer. Score updates correctly after Excel import, after HRIS sync, and after individual manual entry records are added or edited. Email notification fires correctly when below 70%</w:t>
      </w:r>
    </w:p>
    <w:p>
      <w:pPr>
        <w:pStyle w:val="ListParagraph"/>
        <w:numPr>
          <w:ilvl w:val="0"/>
          <w:numId w:val="2"/>
        </w:numPr>
        <w:spacing w:before="0" w:after="60"/>
      </w:pPr>
      <w:r>
        <w:rPr>
          <w:rFonts w:ascii="Arial" w:cs="Arial" w:eastAsia="Arial" w:hAnsi="Arial"/>
          <w:color w:val="374151"/>
          <w:sz w:val="21"/>
          <w:szCs w:val="21"/>
        </w:rPr>
        <w:t xml:space="preserve">7-prompt AI pipeline generates a complete, org-appropriate skill and competency framework — skill taxonomy hierarchy (Domain → Knowledge Area → Skill Category → Skill) correctly assigned. Pipeline completes under 3 minutes</w:t>
      </w:r>
    </w:p>
    <w:p>
      <w:pPr>
        <w:pStyle w:val="ListParagraph"/>
        <w:numPr>
          <w:ilvl w:val="0"/>
          <w:numId w:val="2"/>
        </w:numPr>
        <w:spacing w:before="0" w:after="60"/>
      </w:pPr>
      <w:r>
        <w:rPr>
          <w:rFonts w:ascii="Arial" w:cs="Arial" w:eastAsia="Arial" w:hAnsi="Arial"/>
          <w:color w:val="374151"/>
          <w:sz w:val="21"/>
          <w:szCs w:val="21"/>
        </w:rPr>
        <w:t xml:space="preserve">3-tier ApprovalHub workflow: Tier 1 edit and flag, Tier 2 review, Tier 3 publish — all transitions produce correct notifications</w:t>
      </w:r>
    </w:p>
    <w:p>
      <w:pPr>
        <w:pStyle w:val="ListParagraph"/>
        <w:numPr>
          <w:ilvl w:val="0"/>
          <w:numId w:val="2"/>
        </w:numPr>
        <w:spacing w:before="0" w:after="60"/>
      </w:pPr>
      <w:r>
        <w:rPr>
          <w:rFonts w:ascii="Arial" w:cs="Arial" w:eastAsia="Arial" w:hAnsi="Arial"/>
          <w:color w:val="374151"/>
          <w:sz w:val="21"/>
          <w:szCs w:val="21"/>
        </w:rPr>
        <w:t xml:space="preserve">FrameworkBible locks on Tier 3 publish. Super Admin edit triggers re-approval workflow. Version history maintained</w:t>
      </w:r>
    </w:p>
    <w:p>
      <w:pPr>
        <w:pStyle w:val="ListParagraph"/>
        <w:numPr>
          <w:ilvl w:val="0"/>
          <w:numId w:val="2"/>
        </w:numPr>
        <w:spacing w:before="0" w:after="60"/>
      </w:pPr>
      <w:r>
        <w:rPr>
          <w:rFonts w:ascii="Arial" w:cs="Arial" w:eastAsia="Arial" w:hAnsi="Arial"/>
          <w:color w:val="374151"/>
          <w:sz w:val="21"/>
          <w:szCs w:val="21"/>
        </w:rPr>
        <w:t xml:space="preserve">InsightBoard: all 56 charts render accurately with global filter applied. Load time under 2 seconds. 5 persona views functional. AI conversational layer responds correctly to natural language queries</w:t>
      </w:r>
    </w:p>
    <w:p>
      <w:pPr>
        <w:pStyle w:val="ListParagraph"/>
        <w:numPr>
          <w:ilvl w:val="0"/>
          <w:numId w:val="2"/>
        </w:numPr>
        <w:spacing w:before="0" w:after="60"/>
      </w:pPr>
      <w:r>
        <w:rPr>
          <w:rFonts w:ascii="Arial" w:cs="Arial" w:eastAsia="Arial" w:hAnsi="Arial"/>
          <w:color w:val="374151"/>
          <w:sz w:val="21"/>
          <w:szCs w:val="21"/>
        </w:rPr>
        <w:t xml:space="preserve">L1 Completion Report generates in under 10 seconds. Downloads as branded PDF. Shareable link works and expires correctly</w:t>
      </w:r>
    </w:p>
    <w:p>
      <w:pPr>
        <w:pStyle w:val="ListParagraph"/>
        <w:numPr>
          <w:ilvl w:val="0"/>
          <w:numId w:val="2"/>
        </w:numPr>
        <w:spacing w:before="0" w:after="60"/>
      </w:pPr>
      <w:r>
        <w:rPr>
          <w:rFonts w:ascii="Arial" w:cs="Arial" w:eastAsia="Arial" w:hAnsi="Arial"/>
          <w:color w:val="374151"/>
          <w:sz w:val="21"/>
          <w:szCs w:val="21"/>
        </w:rPr>
        <w:t xml:space="preserve">Level 2 is completely invisible until FrameworkBible published. Hard technical gate, not a UI toggle</w:t>
      </w:r>
    </w:p>
    <w:p>
      <w:pPr>
        <w:pStyle w:val="ListParagraph"/>
        <w:numPr>
          <w:ilvl w:val="0"/>
          <w:numId w:val="2"/>
        </w:numPr>
        <w:spacing w:before="0" w:after="60"/>
      </w:pPr>
      <w:r>
        <w:rPr>
          <w:rFonts w:ascii="Arial" w:cs="Arial" w:eastAsia="Arial" w:hAnsi="Arial"/>
          <w:color w:val="374151"/>
          <w:sz w:val="21"/>
          <w:szCs w:val="21"/>
        </w:rPr>
        <w:t xml:space="preserve">All 30+ notification types from the L1 scope deliver within 30 seconds. Org branding applied</w:t>
      </w:r>
    </w:p>
    <w:p>
      <w:pPr>
        <w:pStyle w:val="ListParagraph"/>
        <w:numPr>
          <w:ilvl w:val="0"/>
          <w:numId w:val="2"/>
        </w:numPr>
        <w:spacing w:before="0" w:after="60"/>
      </w:pPr>
      <w:r>
        <w:rPr>
          <w:rFonts w:ascii="Arial" w:cs="Arial" w:eastAsia="Arial" w:hAnsi="Arial"/>
          <w:color w:val="374151"/>
          <w:sz w:val="21"/>
          <w:szCs w:val="21"/>
        </w:rPr>
        <w:t xml:space="preserve">Multi-tenant isolation: second org shows zero data from first — verified by automated cross-tenant access test suite</w:t>
      </w:r>
    </w:p>
    <w:p>
      <w:pPr>
        <w:pStyle w:val="ListParagraph"/>
        <w:numPr>
          <w:ilvl w:val="0"/>
          <w:numId w:val="2"/>
        </w:numPr>
        <w:spacing w:before="0" w:after="60"/>
      </w:pPr>
      <w:r>
        <w:rPr>
          <w:rFonts w:ascii="Arial" w:cs="Arial" w:eastAsia="Arial" w:hAnsi="Arial"/>
          <w:color w:val="374151"/>
          <w:sz w:val="21"/>
          <w:szCs w:val="21"/>
        </w:rPr>
        <w:t xml:space="preserve">Scope Status — Excluded: employee set to Excluded does not appear in InsightBoard, assessment forms, LNA output, or ReportGen — verified by setting one test employee to Excluded and confirming absence across all analytical views</w:t>
      </w:r>
    </w:p>
    <w:p>
      <w:pPr>
        <w:pStyle w:val="ListParagraph"/>
        <w:numPr>
          <w:ilvl w:val="0"/>
          <w:numId w:val="2"/>
        </w:numPr>
        <w:spacing w:before="0" w:after="60"/>
      </w:pPr>
      <w:r>
        <w:rPr>
          <w:rFonts w:ascii="Arial" w:cs="Arial" w:eastAsia="Arial" w:hAnsi="Arial"/>
          <w:color w:val="374151"/>
          <w:sz w:val="21"/>
          <w:szCs w:val="21"/>
        </w:rPr>
        <w:t xml:space="preserve">Scope Status — View Only: employee can access Employee Portal and Skill Passport only — does not appear in org assessment cycles, gap analysis, or InsightBoard org counts</w:t>
      </w:r>
    </w:p>
    <w:p>
      <w:pPr>
        <w:pStyle w:val="ListParagraph"/>
        <w:numPr>
          <w:ilvl w:val="0"/>
          <w:numId w:val="2"/>
        </w:numPr>
        <w:spacing w:before="0" w:after="60"/>
      </w:pPr>
      <w:r>
        <w:rPr>
          <w:rFonts w:ascii="Arial" w:cs="Arial" w:eastAsia="Arial" w:hAnsi="Arial"/>
          <w:color w:val="374151"/>
          <w:sz w:val="21"/>
          <w:szCs w:val="21"/>
        </w:rPr>
        <w:t xml:space="preserve">Employment-type scope rule: configure contractor-Excluded rule, import a contractor employee, verify Scope Status auto-set to Excluded</w:t>
      </w:r>
    </w:p>
    <w:p>
      <w:pPr>
        <w:pStyle w:val="ListParagraph"/>
        <w:numPr>
          <w:ilvl w:val="0"/>
          <w:numId w:val="2"/>
        </w:numPr>
        <w:spacing w:before="0" w:after="60"/>
      </w:pPr>
      <w:r>
        <w:rPr>
          <w:rFonts w:ascii="Arial" w:cs="Arial" w:eastAsia="Arial" w:hAnsi="Arial"/>
          <w:color w:val="374151"/>
          <w:sz w:val="21"/>
          <w:szCs w:val="21"/>
        </w:rPr>
        <w:t xml:space="preserve">Scope Status audit trail: two consecutive status changes logged with user, timestamp, previous status, new status, and mandatory reason</w:t>
      </w:r>
    </w:p>
    <w:p>
      <w:pPr>
        <w:spacing w:before="0" w:after="80"/>
      </w:pPr>
    </w:p>
    <w:p>
      <w:pPr>
        <w:pStyle w:val="Heading2"/>
        <w:spacing w:before="300" w:after="120"/>
      </w:pPr>
      <w:r>
        <w:rPr>
          <w:rFonts w:ascii="Arial" w:cs="Arial" w:eastAsia="Arial" w:hAnsi="Arial"/>
          <w:b/>
          <w:bCs/>
          <w:color w:val="1E3A6E"/>
          <w:sz w:val="30"/>
          <w:szCs w:val="30"/>
        </w:rPr>
        <w:t xml:space="preserve">10.2 Level 2 Acceptance</w:t>
      </w:r>
    </w:p>
    <w:p>
      <w:pPr>
        <w:pStyle w:val="ListParagraph"/>
        <w:numPr>
          <w:ilvl w:val="0"/>
          <w:numId w:val="2"/>
        </w:numPr>
        <w:spacing w:before="0" w:after="60"/>
      </w:pPr>
      <w:r>
        <w:rPr>
          <w:rFonts w:ascii="Arial" w:cs="Arial" w:eastAsia="Arial" w:hAnsi="Arial"/>
          <w:color w:val="374151"/>
          <w:sz w:val="21"/>
          <w:szCs w:val="21"/>
        </w:rPr>
        <w:t xml:space="preserve">Assessment Distribution Engine: population targeting, dispatch, 8-status tracking, partial save, reminder schedule, and auto-close all functional for a 50-employee population</w:t>
      </w:r>
    </w:p>
    <w:p>
      <w:pPr>
        <w:pStyle w:val="ListParagraph"/>
        <w:numPr>
          <w:ilvl w:val="0"/>
          <w:numId w:val="2"/>
        </w:numPr>
        <w:spacing w:before="0" w:after="60"/>
      </w:pPr>
      <w:r>
        <w:rPr>
          <w:rFonts w:ascii="Arial" w:cs="Arial" w:eastAsia="Arial" w:hAnsi="Arial"/>
          <w:color w:val="374151"/>
          <w:sz w:val="21"/>
          <w:szCs w:val="21"/>
        </w:rPr>
        <w:t xml:space="preserve">AI Assessment Suggestion Engine: generates a recommendation with rationale after first assessment cycle data exists</w:t>
      </w:r>
    </w:p>
    <w:p>
      <w:pPr>
        <w:pStyle w:val="ListParagraph"/>
        <w:numPr>
          <w:ilvl w:val="0"/>
          <w:numId w:val="2"/>
        </w:numPr>
        <w:spacing w:before="0" w:after="60"/>
      </w:pPr>
      <w:r>
        <w:rPr>
          <w:rFonts w:ascii="Arial" w:cs="Arial" w:eastAsia="Arial" w:hAnsi="Arial"/>
          <w:color w:val="374151"/>
          <w:sz w:val="21"/>
          <w:szCs w:val="21"/>
        </w:rPr>
        <w:t xml:space="preserve">All 6 assessment categories functional: skill/competency, psychometric, knowledge tests, 360-degree, org surveys, qualitative capture</w:t>
      </w:r>
    </w:p>
    <w:p>
      <w:pPr>
        <w:pStyle w:val="ListParagraph"/>
        <w:numPr>
          <w:ilvl w:val="0"/>
          <w:numId w:val="2"/>
        </w:numPr>
        <w:spacing w:before="0" w:after="60"/>
      </w:pPr>
      <w:r>
        <w:rPr>
          <w:rFonts w:ascii="Arial" w:cs="Arial" w:eastAsia="Arial" w:hAnsi="Arial"/>
          <w:color w:val="374151"/>
          <w:sz w:val="21"/>
          <w:szCs w:val="21"/>
        </w:rPr>
        <w:t xml:space="preserve">Skills Matrix: self + manager rating collected simultaneously, required vs current proficiency shown, perception gap flagged, heat map rendering correctly at team, dept, and org level</w:t>
      </w:r>
    </w:p>
    <w:p>
      <w:pPr>
        <w:pStyle w:val="ListParagraph"/>
        <w:numPr>
          <w:ilvl w:val="0"/>
          <w:numId w:val="2"/>
        </w:numPr>
        <w:spacing w:before="0" w:after="60"/>
      </w:pPr>
      <w:r>
        <w:rPr>
          <w:rFonts w:ascii="Arial" w:cs="Arial" w:eastAsia="Arial" w:hAnsi="Arial"/>
          <w:color w:val="374151"/>
          <w:sz w:val="21"/>
          <w:szCs w:val="21"/>
        </w:rPr>
        <w:t xml:space="preserve">Task Evaluation Layer: task × employee rating captured, task-to-skill linkage visible, task criticality flags working</w:t>
      </w:r>
    </w:p>
    <w:p>
      <w:pPr>
        <w:pStyle w:val="ListParagraph"/>
        <w:numPr>
          <w:ilvl w:val="0"/>
          <w:numId w:val="2"/>
        </w:numPr>
        <w:spacing w:before="0" w:after="60"/>
      </w:pPr>
      <w:r>
        <w:rPr>
          <w:rFonts w:ascii="Arial" w:cs="Arial" w:eastAsia="Arial" w:hAnsi="Arial"/>
          <w:color w:val="374151"/>
          <w:sz w:val="21"/>
          <w:szCs w:val="21"/>
        </w:rPr>
        <w:t xml:space="preserve">Weighted Gap Score Engine: all 5 multipliers applied correctly — verified against manual calculation for 10 employee-skill pairs</w:t>
      </w:r>
    </w:p>
    <w:p>
      <w:pPr>
        <w:pStyle w:val="ListParagraph"/>
        <w:numPr>
          <w:ilvl w:val="0"/>
          <w:numId w:val="2"/>
        </w:numPr>
        <w:spacing w:before="0" w:after="60"/>
      </w:pPr>
      <w:r>
        <w:rPr>
          <w:rFonts w:ascii="Arial" w:cs="Arial" w:eastAsia="Arial" w:hAnsi="Arial"/>
          <w:color w:val="374151"/>
          <w:sz w:val="21"/>
          <w:szCs w:val="21"/>
        </w:rPr>
        <w:t xml:space="preserve">AI Intervention Type Classification: correct intervention type assigned for each of the 7 gap characteristic types</w:t>
      </w:r>
    </w:p>
    <w:p>
      <w:pPr>
        <w:pStyle w:val="ListParagraph"/>
        <w:numPr>
          <w:ilvl w:val="0"/>
          <w:numId w:val="2"/>
        </w:numPr>
        <w:spacing w:before="0" w:after="60"/>
      </w:pPr>
      <w:r>
        <w:rPr>
          <w:rFonts w:ascii="Arial" w:cs="Arial" w:eastAsia="Arial" w:hAnsi="Arial"/>
          <w:color w:val="374151"/>
          <w:sz w:val="21"/>
          <w:szCs w:val="21"/>
        </w:rPr>
        <w:t xml:space="preserve">LNI generated per employee within 24 hours of assessment cycle close — all 8 components populated</w:t>
      </w:r>
    </w:p>
    <w:p>
      <w:pPr>
        <w:pStyle w:val="ListParagraph"/>
        <w:numPr>
          <w:ilvl w:val="0"/>
          <w:numId w:val="2"/>
        </w:numPr>
        <w:spacing w:before="0" w:after="60"/>
      </w:pPr>
      <w:r>
        <w:rPr>
          <w:rFonts w:ascii="Arial" w:cs="Arial" w:eastAsia="Arial" w:hAnsi="Arial"/>
          <w:color w:val="374151"/>
          <w:sz w:val="21"/>
          <w:szCs w:val="21"/>
        </w:rPr>
        <w:t xml:space="preserve">TNI generates from LNA output: programme matching, cohort sizing, sequencing, and budget summary all present</w:t>
      </w:r>
    </w:p>
    <w:p>
      <w:pPr>
        <w:pStyle w:val="ListParagraph"/>
        <w:numPr>
          <w:ilvl w:val="0"/>
          <w:numId w:val="2"/>
        </w:numPr>
        <w:spacing w:before="0" w:after="60"/>
      </w:pPr>
      <w:r>
        <w:rPr>
          <w:rFonts w:ascii="Arial" w:cs="Arial" w:eastAsia="Arial" w:hAnsi="Arial"/>
          <w:color w:val="374151"/>
          <w:sz w:val="21"/>
          <w:szCs w:val="21"/>
        </w:rPr>
        <w:t xml:space="preserve">Wellbeing Pulse Survey: anonymous submission, team aggregate visible (minimum 5 employees), individual score never visible to peers</w:t>
      </w:r>
    </w:p>
    <w:p>
      <w:pPr>
        <w:pStyle w:val="ListParagraph"/>
        <w:numPr>
          <w:ilvl w:val="0"/>
          <w:numId w:val="2"/>
        </w:numPr>
        <w:spacing w:before="0" w:after="60"/>
      </w:pPr>
      <w:r>
        <w:rPr>
          <w:rFonts w:ascii="Arial" w:cs="Arial" w:eastAsia="Arial" w:hAnsi="Arial"/>
          <w:color w:val="374151"/>
          <w:sz w:val="21"/>
          <w:szCs w:val="21"/>
        </w:rPr>
        <w:t xml:space="preserve">Development capacity adjustment: LNI timeline correctly extended for High burnout risk employees</w:t>
      </w:r>
    </w:p>
    <w:p>
      <w:pPr>
        <w:pStyle w:val="ListParagraph"/>
        <w:numPr>
          <w:ilvl w:val="0"/>
          <w:numId w:val="2"/>
        </w:numPr>
        <w:spacing w:before="0" w:after="60"/>
      </w:pPr>
      <w:r>
        <w:rPr>
          <w:rFonts w:ascii="Arial" w:cs="Arial" w:eastAsia="Arial" w:hAnsi="Arial"/>
          <w:color w:val="374151"/>
          <w:sz w:val="21"/>
          <w:szCs w:val="21"/>
        </w:rPr>
        <w:t xml:space="preserve">AI learning paths generate only after L2 validated data exists — gated, not a UI toggle</w:t>
      </w:r>
    </w:p>
    <w:p>
      <w:pPr>
        <w:pStyle w:val="ListParagraph"/>
        <w:numPr>
          <w:ilvl w:val="0"/>
          <w:numId w:val="2"/>
        </w:numPr>
        <w:spacing w:before="0" w:after="60"/>
      </w:pPr>
      <w:r>
        <w:rPr>
          <w:rFonts w:ascii="Arial" w:cs="Arial" w:eastAsia="Arial" w:hAnsi="Arial"/>
          <w:color w:val="374151"/>
          <w:sz w:val="21"/>
          <w:szCs w:val="21"/>
        </w:rPr>
        <w:t xml:space="preserve">Succession pipeline: critical roles designated, candidates ranked by readiness band, AI risk alerts triggering correctly</w:t>
      </w:r>
    </w:p>
    <w:p>
      <w:pPr>
        <w:pStyle w:val="ListParagraph"/>
        <w:numPr>
          <w:ilvl w:val="0"/>
          <w:numId w:val="2"/>
        </w:numPr>
        <w:spacing w:before="0" w:after="60"/>
      </w:pPr>
      <w:r>
        <w:rPr>
          <w:rFonts w:ascii="Arial" w:cs="Arial" w:eastAsia="Arial" w:hAnsi="Arial"/>
          <w:color w:val="374151"/>
          <w:sz w:val="21"/>
          <w:szCs w:val="21"/>
        </w:rPr>
        <w:t xml:space="preserve">All L2 reports generating: LNA, TNA, Skills Matrix, Wellbeing, Perception Gap</w:t>
      </w:r>
    </w:p>
    <w:p>
      <w:pPr>
        <w:pStyle w:val="ListParagraph"/>
        <w:numPr>
          <w:ilvl w:val="0"/>
          <w:numId w:val="2"/>
        </w:numPr>
        <w:spacing w:before="0" w:after="60"/>
      </w:pPr>
      <w:r>
        <w:rPr>
          <w:rFonts w:ascii="Arial" w:cs="Arial" w:eastAsia="Arial" w:hAnsi="Arial"/>
          <w:color w:val="374151"/>
          <w:sz w:val="21"/>
          <w:szCs w:val="21"/>
        </w:rPr>
        <w:t xml:space="preserve">Serving Notice lifecycle event: mark a test employee as serving notice with a last working day date — verify within 30 seconds: manager notification received, HR Head notification received (with succession pipeline status), Succession Risk Engine has recalculated bench strength, assessment cycle decision prompt available to HR Head, Skill Passport export notification sent to employee.</w:t>
      </w:r>
    </w:p>
    <w:p>
      <w:pPr>
        <w:pStyle w:val="ListParagraph"/>
        <w:numPr>
          <w:ilvl w:val="0"/>
          <w:numId w:val="2"/>
        </w:numPr>
        <w:spacing w:before="0" w:after="60"/>
      </w:pPr>
      <w:r>
        <w:rPr>
          <w:rFonts w:ascii="Arial" w:cs="Arial" w:eastAsia="Arial" w:hAnsi="Arial"/>
          <w:color w:val="374151"/>
          <w:sz w:val="21"/>
          <w:szCs w:val="21"/>
        </w:rPr>
        <w:t xml:space="preserve">Exit lifecycle event: advance last working day to today for a test employee — verify: Scope Status changes to Excluded automatically, LNA recalculated without that employee, concentration risk check fires if they were a sole practitioner, all active assessment participations closed.</w:t>
      </w:r>
    </w:p>
    <w:p>
      <w:pPr>
        <w:pStyle w:val="ListParagraph"/>
        <w:numPr>
          <w:ilvl w:val="0"/>
          <w:numId w:val="2"/>
        </w:numPr>
        <w:spacing w:before="0" w:after="60"/>
      </w:pPr>
      <w:r>
        <w:rPr>
          <w:rFonts w:ascii="Arial" w:cs="Arial" w:eastAsia="Arial" w:hAnsi="Arial"/>
          <w:color w:val="374151"/>
          <w:sz w:val="21"/>
          <w:szCs w:val="21"/>
        </w:rPr>
        <w:t xml:space="preserve">Internal Transfer lifecycle event: change department for a test employee — verify: role-skill mapping updated to new role requirements, new manager receives notification with skills profile summary.</w:t>
      </w:r>
    </w:p>
    <w:p>
      <w:pPr>
        <w:spacing w:before="0" w:after="80"/>
      </w:pPr>
    </w:p>
    <w:p>
      <w:pPr>
        <w:pStyle w:val="Heading2"/>
        <w:spacing w:before="300" w:after="120"/>
      </w:pPr>
      <w:r>
        <w:rPr>
          <w:rFonts w:ascii="Arial" w:cs="Arial" w:eastAsia="Arial" w:hAnsi="Arial"/>
          <w:b/>
          <w:bCs/>
          <w:color w:val="1E3A6E"/>
          <w:sz w:val="30"/>
          <w:szCs w:val="30"/>
        </w:rPr>
        <w:t xml:space="preserve">10.3 Level 3 Acceptance</w:t>
      </w:r>
    </w:p>
    <w:p>
      <w:pPr>
        <w:pStyle w:val="ListParagraph"/>
        <w:numPr>
          <w:ilvl w:val="0"/>
          <w:numId w:val="2"/>
        </w:numPr>
        <w:spacing w:before="0" w:after="60"/>
      </w:pPr>
      <w:r>
        <w:rPr>
          <w:rFonts w:ascii="Arial" w:cs="Arial" w:eastAsia="Arial" w:hAnsi="Arial"/>
          <w:color w:val="374151"/>
          <w:sz w:val="21"/>
          <w:szCs w:val="21"/>
        </w:rPr>
        <w:t xml:space="preserve">Course marketplace: browsable, searchable by skill/level/format, enrolment flow working end-to-end</w:t>
      </w:r>
    </w:p>
    <w:p>
      <w:pPr>
        <w:pStyle w:val="ListParagraph"/>
        <w:numPr>
          <w:ilvl w:val="0"/>
          <w:numId w:val="2"/>
        </w:numPr>
        <w:spacing w:before="0" w:after="60"/>
      </w:pPr>
      <w:r>
        <w:rPr>
          <w:rFonts w:ascii="Arial" w:cs="Arial" w:eastAsia="Arial" w:hAnsi="Arial"/>
          <w:color w:val="374151"/>
          <w:sz w:val="21"/>
          <w:szCs w:val="21"/>
        </w:rPr>
        <w:t xml:space="preserve">LMS integration: SCORM/xAPI content launches and completion data received correctly</w:t>
      </w:r>
    </w:p>
    <w:p>
      <w:pPr>
        <w:pStyle w:val="ListParagraph"/>
        <w:numPr>
          <w:ilvl w:val="0"/>
          <w:numId w:val="2"/>
        </w:numPr>
        <w:spacing w:before="0" w:after="60"/>
      </w:pPr>
      <w:r>
        <w:rPr>
          <w:rFonts w:ascii="Arial" w:cs="Arial" w:eastAsia="Arial" w:hAnsi="Arial"/>
          <w:color w:val="374151"/>
          <w:sz w:val="21"/>
          <w:szCs w:val="21"/>
        </w:rPr>
        <w:t xml:space="preserve">AI Content Outline Generation: complete outline generated for an unmatched TNA gap — all sections (audience analysis, outcomes, module structure, measurement plan) present and coherent</w:t>
      </w:r>
    </w:p>
    <w:p>
      <w:pPr>
        <w:pStyle w:val="ListParagraph"/>
        <w:numPr>
          <w:ilvl w:val="0"/>
          <w:numId w:val="2"/>
        </w:numPr>
        <w:spacing w:before="0" w:after="60"/>
      </w:pPr>
      <w:r>
        <w:rPr>
          <w:rFonts w:ascii="Arial" w:cs="Arial" w:eastAsia="Arial" w:hAnsi="Arial"/>
          <w:color w:val="374151"/>
          <w:sz w:val="21"/>
          <w:szCs w:val="21"/>
        </w:rPr>
        <w:t xml:space="preserve">Certificate Engine: auto-issuance on completion trigger, PDF with QR code generated, QR verification endpoint returns correct result</w:t>
      </w:r>
    </w:p>
    <w:p>
      <w:pPr>
        <w:pStyle w:val="ListParagraph"/>
        <w:numPr>
          <w:ilvl w:val="0"/>
          <w:numId w:val="2"/>
        </w:numPr>
        <w:spacing w:before="0" w:after="60"/>
      </w:pPr>
      <w:r>
        <w:rPr>
          <w:rFonts w:ascii="Arial" w:cs="Arial" w:eastAsia="Arial" w:hAnsi="Arial"/>
          <w:color w:val="374151"/>
          <w:sz w:val="21"/>
          <w:szCs w:val="21"/>
        </w:rPr>
        <w:t xml:space="preserve">Kirkpatrick measurement: L1–L4 data collection points all functional. Effectiveness report generating.</w:t>
      </w:r>
    </w:p>
    <w:p>
      <w:pPr>
        <w:pStyle w:val="ListParagraph"/>
        <w:numPr>
          <w:ilvl w:val="0"/>
          <w:numId w:val="2"/>
        </w:numPr>
        <w:spacing w:before="0" w:after="60"/>
      </w:pPr>
      <w:r>
        <w:rPr>
          <w:rFonts w:ascii="Arial" w:cs="Arial" w:eastAsia="Arial" w:hAnsi="Arial"/>
          <w:color w:val="374151"/>
          <w:sz w:val="21"/>
          <w:szCs w:val="21"/>
        </w:rPr>
        <w:t xml:space="preserve">L&amp;D/OD Project Management Engine: project created for each of the 8 project types, milestones tracked, budget recorded</w:t>
      </w:r>
    </w:p>
    <w:p>
      <w:pPr>
        <w:pStyle w:val="ListParagraph"/>
        <w:numPr>
          <w:ilvl w:val="0"/>
          <w:numId w:val="2"/>
        </w:numPr>
        <w:spacing w:before="0" w:after="60"/>
      </w:pPr>
      <w:r>
        <w:rPr>
          <w:rFonts w:ascii="Arial" w:cs="Arial" w:eastAsia="Arial" w:hAnsi="Arial"/>
          <w:color w:val="374151"/>
          <w:sz w:val="21"/>
          <w:szCs w:val="21"/>
        </w:rPr>
        <w:t xml:space="preserve">AI-Suggested Org-Wide Execution Plan: plan generated from TNA output, dependency sequencing correct, budget allocation shown by department</w:t>
      </w:r>
    </w:p>
    <w:p>
      <w:pPr>
        <w:pStyle w:val="ListParagraph"/>
        <w:numPr>
          <w:ilvl w:val="0"/>
          <w:numId w:val="2"/>
        </w:numPr>
        <w:spacing w:before="0" w:after="60"/>
      </w:pPr>
      <w:r>
        <w:rPr>
          <w:rFonts w:ascii="Arial" w:cs="Arial" w:eastAsia="Arial" w:hAnsi="Arial"/>
          <w:color w:val="374151"/>
          <w:sz w:val="21"/>
          <w:szCs w:val="21"/>
        </w:rPr>
        <w:t xml:space="preserve">Coaching and mentoring assignment: AI matching produces ranked coach list, booking workflow complete, AI Content Outline delivered to coach on booking confirmation</w:t>
      </w:r>
    </w:p>
    <w:p>
      <w:pPr>
        <w:spacing w:before="0" w:after="80"/>
      </w:pPr>
    </w:p>
    <w:p>
      <w:pPr>
        <w:pStyle w:val="Heading2"/>
        <w:spacing w:before="300" w:after="120"/>
      </w:pPr>
      <w:r>
        <w:rPr>
          <w:rFonts w:ascii="Arial" w:cs="Arial" w:eastAsia="Arial" w:hAnsi="Arial"/>
          <w:b/>
          <w:bCs/>
          <w:color w:val="1E3A6E"/>
          <w:sz w:val="30"/>
          <w:szCs w:val="30"/>
        </w:rPr>
        <w:t xml:space="preserve">10.4 Levels 4 &amp; 5 Acceptance</w:t>
      </w:r>
    </w:p>
    <w:p>
      <w:pPr>
        <w:pStyle w:val="ListParagraph"/>
        <w:numPr>
          <w:ilvl w:val="0"/>
          <w:numId w:val="2"/>
        </w:numPr>
        <w:spacing w:before="0" w:after="60"/>
      </w:pPr>
      <w:r>
        <w:rPr>
          <w:rFonts w:ascii="Arial" w:cs="Arial" w:eastAsia="Arial" w:hAnsi="Arial"/>
          <w:color w:val="374151"/>
          <w:sz w:val="21"/>
          <w:szCs w:val="21"/>
        </w:rPr>
        <w:t xml:space="preserve">Integration connectors: data pulling correctly from at least 2 external tools (e.g. Jira + Workday)</w:t>
      </w:r>
    </w:p>
    <w:p>
      <w:pPr>
        <w:pStyle w:val="ListParagraph"/>
        <w:numPr>
          <w:ilvl w:val="0"/>
          <w:numId w:val="2"/>
        </w:numPr>
        <w:spacing w:before="0" w:after="60"/>
      </w:pPr>
      <w:r>
        <w:rPr>
          <w:rFonts w:ascii="Arial" w:cs="Arial" w:eastAsia="Arial" w:hAnsi="Arial"/>
          <w:color w:val="374151"/>
          <w:sz w:val="21"/>
          <w:szCs w:val="21"/>
        </w:rPr>
        <w:t xml:space="preserve">Automated proficiency micro-updates visible in SkillPassport with signal source labelled</w:t>
      </w:r>
    </w:p>
    <w:p>
      <w:pPr>
        <w:pStyle w:val="ListParagraph"/>
        <w:numPr>
          <w:ilvl w:val="0"/>
          <w:numId w:val="2"/>
        </w:numPr>
        <w:spacing w:before="0" w:after="60"/>
      </w:pPr>
      <w:r>
        <w:rPr>
          <w:rFonts w:ascii="Arial" w:cs="Arial" w:eastAsia="Arial" w:hAnsi="Arial"/>
          <w:color w:val="374151"/>
          <w:sz w:val="21"/>
          <w:szCs w:val="21"/>
        </w:rPr>
        <w:t xml:space="preserve">Predictive Engine: emerging gap forecast generated with 3–12 month horizon. Early warning alert fires when threshold crossed</w:t>
      </w:r>
    </w:p>
    <w:p>
      <w:pPr>
        <w:pStyle w:val="ListParagraph"/>
        <w:numPr>
          <w:ilvl w:val="0"/>
          <w:numId w:val="2"/>
        </w:numPr>
        <w:spacing w:before="0" w:after="60"/>
      </w:pPr>
      <w:r>
        <w:rPr>
          <w:rFonts w:ascii="Arial" w:cs="Arial" w:eastAsia="Arial" w:hAnsi="Arial"/>
          <w:color w:val="374151"/>
          <w:sz w:val="21"/>
          <w:szCs w:val="21"/>
        </w:rPr>
        <w:t xml:space="preserve">Proactive Engine: LNA cycle triggered automatically on at least 3 of the 8 configured trigger types</w:t>
      </w:r>
    </w:p>
    <w:p>
      <w:pPr>
        <w:pStyle w:val="ListParagraph"/>
        <w:numPr>
          <w:ilvl w:val="0"/>
          <w:numId w:val="2"/>
        </w:numPr>
        <w:spacing w:before="0" w:after="60"/>
      </w:pPr>
      <w:r>
        <w:rPr>
          <w:rFonts w:ascii="Arial" w:cs="Arial" w:eastAsia="Arial" w:hAnsi="Arial"/>
          <w:color w:val="374151"/>
          <w:sz w:val="21"/>
          <w:szCs w:val="21"/>
        </w:rPr>
        <w:t xml:space="preserve">Transformation Dial: adjustment made, impact preview shows affected LNIs, staged rollout option working</w:t>
      </w:r>
    </w:p>
    <w:p>
      <w:pPr>
        <w:pStyle w:val="ListParagraph"/>
        <w:numPr>
          <w:ilvl w:val="0"/>
          <w:numId w:val="2"/>
        </w:numPr>
        <w:spacing w:before="0" w:after="60"/>
      </w:pPr>
      <w:r>
        <w:rPr>
          <w:rFonts w:ascii="Arial" w:cs="Arial" w:eastAsia="Arial" w:hAnsi="Arial"/>
          <w:color w:val="374151"/>
          <w:sz w:val="21"/>
          <w:szCs w:val="21"/>
        </w:rPr>
        <w:t xml:space="preserve">Transformation Meter: progress vs Year 1 targets visible in Executive Dashboard</w:t>
      </w:r>
    </w:p>
    <w:p>
      <w:pPr>
        <w:pStyle w:val="ListParagraph"/>
        <w:numPr>
          <w:ilvl w:val="0"/>
          <w:numId w:val="2"/>
        </w:numPr>
        <w:spacing w:before="0" w:after="60"/>
      </w:pPr>
      <w:r>
        <w:rPr>
          <w:rFonts w:ascii="Arial" w:cs="Arial" w:eastAsia="Arial" w:hAnsi="Arial"/>
          <w:color w:val="374151"/>
          <w:sz w:val="21"/>
          <w:szCs w:val="21"/>
        </w:rPr>
        <w:t xml:space="preserve">Scenario modelling: what-if analysis produces comparative output with actionable recommendations</w:t>
      </w:r>
    </w:p>
    <w:p>
      <w:pPr>
        <w:pStyle w:val="ListParagraph"/>
        <w:numPr>
          <w:ilvl w:val="0"/>
          <w:numId w:val="2"/>
        </w:numPr>
        <w:spacing w:before="0" w:after="60"/>
      </w:pPr>
      <w:r>
        <w:rPr>
          <w:rFonts w:ascii="Arial" w:cs="Arial" w:eastAsia="Arial" w:hAnsi="Arial"/>
          <w:color w:val="374151"/>
          <w:sz w:val="21"/>
          <w:szCs w:val="21"/>
        </w:rPr>
        <w:t xml:space="preserve">Board-level dashboard: renders with executive-ready visualisations. AI conversational layer working.</w:t>
      </w:r>
    </w:p>
    <w:p>
      <w:pPr>
        <w:pStyle w:val="ListParagraph"/>
        <w:numPr>
          <w:ilvl w:val="0"/>
          <w:numId w:val="2"/>
        </w:numPr>
        <w:spacing w:before="0" w:after="60"/>
      </w:pPr>
      <w:r>
        <w:rPr>
          <w:rFonts w:ascii="Arial" w:cs="Arial" w:eastAsia="Arial" w:hAnsi="Arial"/>
          <w:color w:val="374151"/>
          <w:sz w:val="21"/>
          <w:szCs w:val="21"/>
        </w:rPr>
        <w:t xml:space="preserve">Skill Passport Verification: hiring company verification request processed, correct tier returned, employee notified of access</w:t>
      </w:r>
    </w:p>
    <w:p>
      <w:pPr>
        <w:pStyle w:val="ListParagraph"/>
        <w:numPr>
          <w:ilvl w:val="0"/>
          <w:numId w:val="2"/>
        </w:numPr>
        <w:spacing w:before="0" w:after="60"/>
      </w:pPr>
      <w:r>
        <w:rPr>
          <w:rFonts w:ascii="Arial" w:cs="Arial" w:eastAsia="Arial" w:hAnsi="Arial"/>
          <w:color w:val="374151"/>
          <w:sz w:val="21"/>
          <w:szCs w:val="21"/>
        </w:rPr>
        <w:t xml:space="preserve">API: all documented endpoints returning correct responses with proper authentication and rate limiting</w:t>
      </w:r>
    </w:p>
    <w:p>
      <w:pPr>
        <w:pStyle w:val="ListParagraph"/>
        <w:numPr>
          <w:ilvl w:val="0"/>
          <w:numId w:val="2"/>
        </w:numPr>
        <w:spacing w:before="0" w:after="60"/>
      </w:pPr>
      <w:r>
        <w:rPr>
          <w:rFonts w:ascii="Arial" w:cs="Arial" w:eastAsia="Arial" w:hAnsi="Arial"/>
          <w:color w:val="374151"/>
          <w:sz w:val="21"/>
          <w:szCs w:val="21"/>
        </w:rPr>
        <w:t xml:space="preserve">Cross-Org Benchmarking: benchmark data visible for eligible orgs (minimum 5 orgs per cell rule enforced)</w:t>
      </w:r>
    </w:p>
    <w:p>
      <w:pPr>
        <w:pStyle w:val="ListParagraph"/>
        <w:numPr>
          <w:ilvl w:val="0"/>
          <w:numId w:val="2"/>
        </w:numPr>
        <w:spacing w:before="0" w:after="60"/>
      </w:pPr>
      <w:r>
        <w:rPr>
          <w:rFonts w:ascii="Arial" w:cs="Arial" w:eastAsia="Arial" w:hAnsi="Arial"/>
          <w:color w:val="374151"/>
          <w:sz w:val="21"/>
          <w:szCs w:val="21"/>
        </w:rPr>
        <w:t xml:space="preserve">Marketplace ecosystem: full flow from TNA gap brief → RFP → proposal → booking → content outline delivery → Kirkpatrick measurement → effectiveness data back to platform</w:t>
      </w:r>
    </w:p>
    <w:p>
      <w:pPr>
        <w:spacing w:before="0" w:after="80"/>
      </w:pPr>
    </w:p>
    <w:p>
      <w:pPr>
        <w:pStyle w:val="Heading2"/>
        <w:spacing w:before="300" w:after="120"/>
      </w:pPr>
      <w:r>
        <w:rPr>
          <w:rFonts w:ascii="Arial" w:cs="Arial" w:eastAsia="Arial" w:hAnsi="Arial"/>
          <w:b/>
          <w:bCs/>
          <w:color w:val="1E3A6E"/>
          <w:sz w:val="30"/>
          <w:szCs w:val="30"/>
        </w:rPr>
        <w:t xml:space="preserve">10.5 Cross-Cutting Acceptance Criteria</w:t>
      </w:r>
    </w:p>
    <w:p>
      <w:pPr>
        <w:pStyle w:val="ListParagraph"/>
        <w:numPr>
          <w:ilvl w:val="0"/>
          <w:numId w:val="2"/>
        </w:numPr>
        <w:spacing w:before="0" w:after="60"/>
      </w:pPr>
      <w:r>
        <w:rPr>
          <w:rFonts w:ascii="Arial" w:cs="Arial" w:eastAsia="Arial" w:hAnsi="Arial"/>
          <w:color w:val="374151"/>
          <w:sz w:val="21"/>
          <w:szCs w:val="21"/>
        </w:rPr>
        <w:t xml:space="preserve">Skill taxonomy hierarchy (Domain → Knowledge Area → Skill Category → Skill) correctly populated for all AI-generated skills, displayed in FrameworkBible and Skills Dictionary</w:t>
      </w:r>
    </w:p>
    <w:p>
      <w:pPr>
        <w:pStyle w:val="ListParagraph"/>
        <w:numPr>
          <w:ilvl w:val="0"/>
          <w:numId w:val="2"/>
        </w:numPr>
        <w:spacing w:before="0" w:after="60"/>
      </w:pPr>
      <w:r>
        <w:rPr>
          <w:rFonts w:ascii="Arial" w:cs="Arial" w:eastAsia="Arial" w:hAnsi="Arial"/>
          <w:color w:val="374151"/>
          <w:sz w:val="21"/>
          <w:szCs w:val="21"/>
        </w:rPr>
        <w:t xml:space="preserve">Skill categories correctly assigned: Technical, Functional, Behavioural, Leadership, Digital, Domain Knowledge, Tool-Specific — verified for a sample of 20 generated skills</w:t>
      </w:r>
    </w:p>
    <w:p>
      <w:pPr>
        <w:pStyle w:val="ListParagraph"/>
        <w:numPr>
          <w:ilvl w:val="0"/>
          <w:numId w:val="2"/>
        </w:numPr>
        <w:spacing w:before="0" w:after="60"/>
      </w:pPr>
      <w:r>
        <w:rPr>
          <w:rFonts w:ascii="Arial" w:cs="Arial" w:eastAsia="Arial" w:hAnsi="Arial"/>
          <w:color w:val="374151"/>
          <w:sz w:val="21"/>
          <w:szCs w:val="21"/>
        </w:rPr>
        <w:t xml:space="preserve">Competency type classification correct: Core, Behavioural, Leadership, Technical — verified for all generated competencies</w:t>
      </w:r>
    </w:p>
    <w:p>
      <w:pPr>
        <w:pStyle w:val="ListParagraph"/>
        <w:numPr>
          <w:ilvl w:val="0"/>
          <w:numId w:val="2"/>
        </w:numPr>
        <w:spacing w:before="0" w:after="60"/>
      </w:pPr>
      <w:r>
        <w:rPr>
          <w:rFonts w:ascii="Arial" w:cs="Arial" w:eastAsia="Arial" w:hAnsi="Arial"/>
          <w:color w:val="374151"/>
          <w:sz w:val="21"/>
          <w:szCs w:val="21"/>
        </w:rPr>
        <w:t xml:space="preserve">On-premise deployment: Docker Compose deployment starts successfully on clean Linux server with no internet for core features</w:t>
      </w:r>
    </w:p>
    <w:p>
      <w:pPr>
        <w:pStyle w:val="ListParagraph"/>
        <w:numPr>
          <w:ilvl w:val="0"/>
          <w:numId w:val="2"/>
        </w:numPr>
        <w:spacing w:before="0" w:after="60"/>
      </w:pPr>
      <w:r>
        <w:rPr>
          <w:rFonts w:ascii="Arial" w:cs="Arial" w:eastAsia="Arial" w:hAnsi="Arial"/>
          <w:color w:val="374151"/>
          <w:sz w:val="21"/>
          <w:szCs w:val="21"/>
        </w:rPr>
        <w:t xml:space="preserve">GDPR: right to erasure triggers complete data deletion across all tables for a test employee. Skill Passport export excludes org-proprietary data</w:t>
      </w:r>
    </w:p>
    <w:p>
      <w:pPr>
        <w:pStyle w:val="ListParagraph"/>
        <w:numPr>
          <w:ilvl w:val="0"/>
          <w:numId w:val="2"/>
        </w:numPr>
        <w:spacing w:before="0" w:after="60"/>
      </w:pPr>
      <w:r>
        <w:rPr>
          <w:rFonts w:ascii="Arial" w:cs="Arial" w:eastAsia="Arial" w:hAnsi="Arial"/>
          <w:color w:val="374151"/>
          <w:sz w:val="21"/>
          <w:szCs w:val="21"/>
        </w:rPr>
        <w:t xml:space="preserve">Audit trail: all data mutations logged with user, timestamp, and before/after values. Immutable — no delete endpoint exists</w:t>
      </w:r>
    </w:p>
    <w:p>
      <w:pPr>
        <w:pStyle w:val="ListParagraph"/>
        <w:numPr>
          <w:ilvl w:val="0"/>
          <w:numId w:val="2"/>
        </w:numPr>
        <w:spacing w:before="0" w:after="60"/>
      </w:pPr>
      <w:r>
        <w:rPr>
          <w:rFonts w:ascii="Arial" w:cs="Arial" w:eastAsia="Arial" w:hAnsi="Arial"/>
          <w:color w:val="374151"/>
          <w:sz w:val="21"/>
          <w:szCs w:val="21"/>
        </w:rPr>
        <w:t xml:space="preserve">Email notifications: all 30+ notification types deliver within 30 seconds of trigger event</w:t>
      </w:r>
    </w:p>
    <w:p>
      <w:pPr>
        <w:pStyle w:val="ListParagraph"/>
        <w:numPr>
          <w:ilvl w:val="0"/>
          <w:numId w:val="2"/>
        </w:numPr>
        <w:spacing w:before="0" w:after="60"/>
      </w:pPr>
      <w:r>
        <w:rPr>
          <w:rFonts w:ascii="Arial" w:cs="Arial" w:eastAsia="Arial" w:hAnsi="Arial"/>
          <w:color w:val="374151"/>
          <w:sz w:val="21"/>
          <w:szCs w:val="21"/>
        </w:rPr>
        <w:t xml:space="preserve">Level gating: technically enforced at data layer (not just UI) for all 5 level transitions</w:t>
      </w:r>
    </w:p>
    <w:p>
      <w:pPr>
        <w:pStyle w:val="ListParagraph"/>
        <w:numPr>
          <w:ilvl w:val="0"/>
          <w:numId w:val="2"/>
        </w:numPr>
        <w:spacing w:before="0" w:after="60"/>
      </w:pPr>
      <w:r>
        <w:rPr>
          <w:rFonts w:ascii="Arial" w:cs="Arial" w:eastAsia="Arial" w:hAnsi="Arial"/>
          <w:color w:val="374151"/>
          <w:sz w:val="21"/>
          <w:szCs w:val="21"/>
        </w:rPr>
        <w:t xml:space="preserve">ReportGen: persona-adaptive rendering verified — same underlying data produces different report structure for CHRO vs L&amp;D Manager view</w:t>
      </w:r>
    </w:p>
    <w:p>
      <w:pPr>
        <w:pStyle w:val="ListParagraph"/>
        <w:numPr>
          <w:ilvl w:val="0"/>
          <w:numId w:val="2"/>
        </w:numPr>
        <w:spacing w:before="0" w:after="60"/>
      </w:pPr>
      <w:r>
        <w:rPr>
          <w:rFonts w:ascii="Arial" w:cs="Arial" w:eastAsia="Arial" w:hAnsi="Arial"/>
          <w:color w:val="374151"/>
          <w:sz w:val="21"/>
          <w:szCs w:val="21"/>
        </w:rPr>
        <w:t xml:space="preserve">Mobile application: assessment completion, Skill Passport view, and wellbeing pulse submission all functional on iOS and Android</w:t>
      </w:r>
    </w:p>
    <w:p>
      <w:pPr>
        <w:spacing w:before="0" w:after="120"/>
      </w:pPr>
    </w:p>
    <w:p>
      <w:pPr>
        <w:pageBreakBefore/>
      </w:pPr>
      <w:r>
        <w:t xml:space="preserve"/>
      </w:r>
    </w:p>
    <w:p>
      <w:pPr>
        <w:pStyle w:val="Heading1"/>
        <w:spacing w:before="400" w:after="160"/>
      </w:pPr>
      <w:r>
        <w:rPr>
          <w:rFonts w:ascii="Arial" w:cs="Arial" w:eastAsia="Arial" w:hAnsi="Arial"/>
          <w:b/>
          <w:bCs/>
          <w:color w:val="1E3A6E"/>
          <w:sz w:val="40"/>
          <w:szCs w:val="40"/>
        </w:rPr>
        <w:t xml:space="preserve">11. Assumptions, Constraints &amp; Risks</w:t>
      </w:r>
    </w:p>
    <w:p>
      <w:pPr>
        <w:pStyle w:val="Heading2"/>
        <w:spacing w:before="300" w:after="120"/>
      </w:pPr>
      <w:r>
        <w:rPr>
          <w:rFonts w:ascii="Arial" w:cs="Arial" w:eastAsia="Arial" w:hAnsi="Arial"/>
          <w:b/>
          <w:bCs/>
          <w:color w:val="1E3A6E"/>
          <w:sz w:val="30"/>
          <w:szCs w:val="30"/>
        </w:rPr>
        <w:t xml:space="preserve">11.1 Assumptions</w:t>
      </w:r>
    </w:p>
    <w:p>
      <w:pPr>
        <w:pStyle w:val="ListParagraph"/>
        <w:numPr>
          <w:ilvl w:val="0"/>
          <w:numId w:val="2"/>
        </w:numPr>
        <w:spacing w:before="0" w:after="60"/>
      </w:pPr>
      <w:r>
        <w:rPr>
          <w:rFonts w:ascii="Arial" w:cs="Arial" w:eastAsia="Arial" w:hAnsi="Arial"/>
          <w:color w:val="374151"/>
          <w:sz w:val="21"/>
          <w:szCs w:val="21"/>
        </w:rPr>
        <w:t xml:space="preserve">Vendor has production experience with Next.js, PostgreSQL, Claude API or equivalent LLM, Docker/Kubernetes, and BullMQ.</w:t>
      </w:r>
    </w:p>
    <w:p>
      <w:pPr>
        <w:pStyle w:val="ListParagraph"/>
        <w:numPr>
          <w:ilvl w:val="0"/>
          <w:numId w:val="2"/>
        </w:numPr>
        <w:spacing w:before="0" w:after="60"/>
      </w:pPr>
      <w:r>
        <w:rPr>
          <w:rFonts w:ascii="Arial" w:cs="Arial" w:eastAsia="Arial" w:hAnsi="Arial"/>
          <w:color w:val="374151"/>
          <w:sz w:val="21"/>
          <w:szCs w:val="21"/>
        </w:rPr>
        <w:t xml:space="preserve">Edstellar provides Claude API keys and manages AI billing. All AI prompts must use Claude API (Anthropic) — not GPT or other providers.</w:t>
      </w:r>
    </w:p>
    <w:p>
      <w:pPr>
        <w:pStyle w:val="ListParagraph"/>
        <w:numPr>
          <w:ilvl w:val="0"/>
          <w:numId w:val="2"/>
        </w:numPr>
        <w:spacing w:before="0" w:after="60"/>
      </w:pPr>
      <w:r>
        <w:rPr>
          <w:rFonts w:ascii="Arial" w:cs="Arial" w:eastAsia="Arial" w:hAnsi="Arial"/>
          <w:color w:val="374151"/>
          <w:sz w:val="21"/>
          <w:szCs w:val="21"/>
        </w:rPr>
        <w:t xml:space="preserve">HTML blueprint and NovaTech sample data are the primary design references alongside this BRD. No additional wireframes will be produced.</w:t>
      </w:r>
    </w:p>
    <w:p>
      <w:pPr>
        <w:pStyle w:val="ListParagraph"/>
        <w:numPr>
          <w:ilvl w:val="0"/>
          <w:numId w:val="2"/>
        </w:numPr>
        <w:spacing w:before="0" w:after="60"/>
      </w:pPr>
      <w:r>
        <w:rPr>
          <w:rFonts w:ascii="Arial" w:cs="Arial" w:eastAsia="Arial" w:hAnsi="Arial"/>
          <w:color w:val="374151"/>
          <w:sz w:val="21"/>
          <w:szCs w:val="21"/>
        </w:rPr>
        <w:t xml:space="preserve">Vendor deploys to staging for UAT before each phase's production handover.</w:t>
      </w:r>
    </w:p>
    <w:p>
      <w:pPr>
        <w:pStyle w:val="ListParagraph"/>
        <w:numPr>
          <w:ilvl w:val="0"/>
          <w:numId w:val="2"/>
        </w:numPr>
        <w:spacing w:before="0" w:after="60"/>
      </w:pPr>
      <w:r>
        <w:rPr>
          <w:rFonts w:ascii="Arial" w:cs="Arial" w:eastAsia="Arial" w:hAnsi="Arial"/>
          <w:color w:val="374151"/>
          <w:sz w:val="21"/>
          <w:szCs w:val="21"/>
        </w:rPr>
        <w:t xml:space="preserve">Edstellar handles production deployment and maintenance post-handover.</w:t>
      </w:r>
    </w:p>
    <w:p>
      <w:pPr>
        <w:pStyle w:val="ListParagraph"/>
        <w:numPr>
          <w:ilvl w:val="0"/>
          <w:numId w:val="2"/>
        </w:numPr>
        <w:spacing w:before="0" w:after="60"/>
      </w:pPr>
      <w:r>
        <w:rPr>
          <w:rFonts w:ascii="Arial" w:cs="Arial" w:eastAsia="Arial" w:hAnsi="Arial"/>
          <w:color w:val="374151"/>
          <w:sz w:val="21"/>
          <w:szCs w:val="21"/>
        </w:rPr>
        <w:t xml:space="preserve">Third-party integrations (Jira, HRIS tools, ATS platforms) require the target org to provide API credentials — Edstellar does not provision these.</w:t>
      </w:r>
    </w:p>
    <w:p>
      <w:pPr>
        <w:pStyle w:val="ListParagraph"/>
        <w:numPr>
          <w:ilvl w:val="0"/>
          <w:numId w:val="2"/>
        </w:numPr>
        <w:spacing w:before="0" w:after="60"/>
      </w:pPr>
      <w:r>
        <w:rPr>
          <w:rFonts w:ascii="Arial" w:cs="Arial" w:eastAsia="Arial" w:hAnsi="Arial"/>
          <w:color w:val="374151"/>
          <w:sz w:val="21"/>
          <w:szCs w:val="21"/>
        </w:rPr>
        <w:t xml:space="preserve">The 35-employee NovaTech dataset is the canonical test dataset for all L1 acceptance testing. Vendor is responsible for seeding it correctly.</w:t>
      </w:r>
    </w:p>
    <w:p>
      <w:pPr>
        <w:spacing w:before="0" w:after="80"/>
      </w:pPr>
    </w:p>
    <w:p>
      <w:pPr>
        <w:pStyle w:val="Heading2"/>
        <w:spacing w:before="300" w:after="120"/>
      </w:pPr>
      <w:r>
        <w:rPr>
          <w:rFonts w:ascii="Arial" w:cs="Arial" w:eastAsia="Arial" w:hAnsi="Arial"/>
          <w:b/>
          <w:bCs/>
          <w:color w:val="1E3A6E"/>
          <w:sz w:val="30"/>
          <w:szCs w:val="30"/>
        </w:rPr>
        <w:t xml:space="preserve">11.2 Constraints</w:t>
      </w:r>
    </w:p>
    <w:p>
      <w:pPr>
        <w:pStyle w:val="ListParagraph"/>
        <w:numPr>
          <w:ilvl w:val="0"/>
          <w:numId w:val="2"/>
        </w:numPr>
        <w:spacing w:before="0" w:after="60"/>
      </w:pPr>
      <w:r>
        <w:rPr>
          <w:rFonts w:ascii="Arial" w:cs="Arial" w:eastAsia="Arial" w:hAnsi="Arial"/>
          <w:color w:val="374151"/>
          <w:sz w:val="21"/>
          <w:szCs w:val="21"/>
        </w:rPr>
        <w:t xml:space="preserve">AI prompts must use Claude API (Anthropic). Not GPT, Gemini, or other providers.</w:t>
      </w:r>
    </w:p>
    <w:p>
      <w:pPr>
        <w:pStyle w:val="ListParagraph"/>
        <w:numPr>
          <w:ilvl w:val="0"/>
          <w:numId w:val="2"/>
        </w:numPr>
        <w:spacing w:before="0" w:after="60"/>
      </w:pPr>
      <w:r>
        <w:rPr>
          <w:rFonts w:ascii="Arial" w:cs="Arial" w:eastAsia="Arial" w:hAnsi="Arial"/>
          <w:color w:val="374151"/>
          <w:sz w:val="21"/>
          <w:szCs w:val="21"/>
        </w:rPr>
        <w:t xml:space="preserve">Learning paths must not appear at L1. Gated behind L2 validated assessment data — hard technical gate.</w:t>
      </w:r>
    </w:p>
    <w:p>
      <w:pPr>
        <w:pStyle w:val="ListParagraph"/>
        <w:numPr>
          <w:ilvl w:val="0"/>
          <w:numId w:val="2"/>
        </w:numPr>
        <w:spacing w:before="0" w:after="60"/>
      </w:pPr>
      <w:r>
        <w:rPr>
          <w:rFonts w:ascii="Arial" w:cs="Arial" w:eastAsia="Arial" w:hAnsi="Arial"/>
          <w:color w:val="374151"/>
          <w:sz w:val="21"/>
          <w:szCs w:val="21"/>
        </w:rPr>
        <w:t xml:space="preserve">Skill Passport export must exclude organisation-proprietary data (internal benchmarks, project details, strategic context).</w:t>
      </w:r>
    </w:p>
    <w:p>
      <w:pPr>
        <w:pStyle w:val="ListParagraph"/>
        <w:numPr>
          <w:ilvl w:val="0"/>
          <w:numId w:val="2"/>
        </w:numPr>
        <w:spacing w:before="0" w:after="60"/>
      </w:pPr>
      <w:r>
        <w:rPr>
          <w:rFonts w:ascii="Arial" w:cs="Arial" w:eastAsia="Arial" w:hAnsi="Arial"/>
          <w:color w:val="374151"/>
          <w:sz w:val="21"/>
          <w:szCs w:val="21"/>
        </w:rPr>
        <w:t xml:space="preserve">All employee personal data must support GDPR-compliant deletion (right to erasure).</w:t>
      </w:r>
    </w:p>
    <w:p>
      <w:pPr>
        <w:pStyle w:val="ListParagraph"/>
        <w:numPr>
          <w:ilvl w:val="0"/>
          <w:numId w:val="2"/>
        </w:numPr>
        <w:spacing w:before="0" w:after="60"/>
      </w:pPr>
      <w:r>
        <w:rPr>
          <w:rFonts w:ascii="Arial" w:cs="Arial" w:eastAsia="Arial" w:hAnsi="Arial"/>
          <w:color w:val="374151"/>
          <w:sz w:val="21"/>
          <w:szCs w:val="21"/>
        </w:rPr>
        <w:t xml:space="preserve">On-premise deployment must work without internet for core features (dashboards, assessments, profiles).</w:t>
      </w:r>
    </w:p>
    <w:p>
      <w:pPr>
        <w:pStyle w:val="ListParagraph"/>
        <w:numPr>
          <w:ilvl w:val="0"/>
          <w:numId w:val="2"/>
        </w:numPr>
        <w:spacing w:before="0" w:after="60"/>
      </w:pPr>
      <w:r>
        <w:rPr>
          <w:rFonts w:ascii="Arial" w:cs="Arial" w:eastAsia="Arial" w:hAnsi="Arial"/>
          <w:color w:val="374151"/>
          <w:sz w:val="21"/>
          <w:szCs w:val="21"/>
        </w:rPr>
        <w:t xml:space="preserve">FrameworkBible edits restricted to Super Admin with Tier 3 re-approval and full audit trail.</w:t>
      </w:r>
    </w:p>
    <w:p>
      <w:pPr>
        <w:pStyle w:val="ListParagraph"/>
        <w:numPr>
          <w:ilvl w:val="0"/>
          <w:numId w:val="2"/>
        </w:numPr>
        <w:spacing w:before="0" w:after="60"/>
      </w:pPr>
      <w:r>
        <w:rPr>
          <w:rFonts w:ascii="Arial" w:cs="Arial" w:eastAsia="Arial" w:hAnsi="Arial"/>
          <w:color w:val="374151"/>
          <w:sz w:val="21"/>
          <w:szCs w:val="21"/>
        </w:rPr>
        <w:t xml:space="preserve">Wellbeing Burnout Risk Score must never be visible to the employee themselves or their peers — visible only to manager (as conversation prompt) and HR Head (in aggregate).</w:t>
      </w:r>
    </w:p>
    <w:p>
      <w:pPr>
        <w:pStyle w:val="ListParagraph"/>
        <w:numPr>
          <w:ilvl w:val="0"/>
          <w:numId w:val="2"/>
        </w:numPr>
        <w:spacing w:before="0" w:after="60"/>
      </w:pPr>
      <w:r>
        <w:rPr>
          <w:rFonts w:ascii="Arial" w:cs="Arial" w:eastAsia="Arial" w:hAnsi="Arial"/>
          <w:color w:val="374151"/>
          <w:sz w:val="21"/>
          <w:szCs w:val="21"/>
        </w:rPr>
        <w:t xml:space="preserve">Assessment anonymity for 360-degree feedback and org surveys must be technically enforced — minimum rater thresholds hardcoded, not configurable below minimum.</w:t>
      </w:r>
    </w:p>
    <w:p>
      <w:pPr>
        <w:pStyle w:val="ListParagraph"/>
        <w:numPr>
          <w:ilvl w:val="0"/>
          <w:numId w:val="2"/>
        </w:numPr>
        <w:spacing w:before="0" w:after="60"/>
      </w:pPr>
      <w:r>
        <w:rPr>
          <w:rFonts w:ascii="Arial" w:cs="Arial" w:eastAsia="Arial" w:hAnsi="Arial"/>
          <w:color w:val="374151"/>
          <w:sz w:val="21"/>
          <w:szCs w:val="21"/>
        </w:rPr>
        <w:t xml:space="preserve">Skill quantity and competency quantity are not fixed outputs — they scale with org complexity. No hardcoded minimum or maximum in the pipeline.</w:t>
      </w:r>
    </w:p>
    <w:p>
      <w:pPr>
        <w:spacing w:before="0" w:after="80"/>
      </w:pPr>
    </w:p>
    <w:p>
      <w:pPr>
        <w:pStyle w:val="Heading2"/>
        <w:spacing w:before="300" w:after="120"/>
      </w:pPr>
      <w:r>
        <w:rPr>
          <w:rFonts w:ascii="Arial" w:cs="Arial" w:eastAsia="Arial" w:hAnsi="Arial"/>
          <w:b/>
          <w:bCs/>
          <w:color w:val="1E3A6E"/>
          <w:sz w:val="30"/>
          <w:szCs w:val="30"/>
        </w:rPr>
        <w:t xml:space="preserve">11.3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3360"/>
        <w:gridCol w:w="2000"/>
      </w:tblGrid>
      <w:tr>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Early Warning</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AI output quality varies by org complexity</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3-tier human approval. Full edit/override. is_modified flag protection. Context refresh without full re-import. Quality review checklist for Tier 1 reviewers.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Approval rejection rate &gt;30% at Tier 1</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Claude API latency exceeds 3-minute target</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Low</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Async with progress UI. Retry with exponential backoff. Cache results. Partial completion resumable.</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p95 pipeline time &gt;4 minutes</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DataPort data quality — inconsistent imports or manual entry errors</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Robust validation wizard with row-level error highlighting. Skip-or-fix workflow. NovaTech sample as import template. Data Context Meter makes incompleteness visible and actionable.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Context Meter score &lt;50% on first import for &gt;20% of new orgs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Wellbeing data privacy incident</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Low</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Burnout Risk Score never shown to employee or peers. Team aggregate requires minimum 5 employees. Anonymisation enforced at data layer. Separate access control on wellbeing tables. Annual privacy audit.</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individual score visible beyond manager+HR</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Assessment fatigue from continuous cycles</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Assessment Suggestion Engine recommends optimal intervals. Short-form assessments. Only changed skills re-assessed in delta cycles. Gamification layer for engagement.</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Assessment completion rate &lt;70% in second cycle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Marketplace trust failure — trainer quality</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Edstellar quality verification badge. Effectiveness ratings after every engagement. Minimum rating threshold for continued listing. Dispute resolution escrow.</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Average trainer rating &lt;3.8 stars</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AI Content Outline quality degradation</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Low</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Content outline acceptance rate tracked as AI quality metric. L3 behaviour change score per trainer feeds back into the generation model. Manual review required for &lt;70% acceptance rate outlines.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Acceptance rate &lt;70%</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Scope creep into custom features</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Strict module boundaries in this BRD. Any additions require a separate Statement of Work with Edstellar Product sign-off. Change request log maintained.</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development starting without BRD coverage</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On-premise deployment complexity</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 Compose for simple deployments, Helm charts for enterprise. Detailed ops guide provided. CI/CD for automated image builds. Tested on clean Linux server before handover.</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On-premise deploy fails on clean server</w:t>
            </w:r>
          </w:p>
        </w:tc>
      </w:tr>
      <w:tr>
        <w:tc>
          <w:tcPr>
            <w:tcW w:type="dxa" w:w="24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Scope Status misconfiguration excludes active employees</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Employment-type rules show a preview of affected employees before applying. Individual override always available. Scope Status change requires a mandatory reason field. Audit trail enables quick identification and reversal of incorrect bulk exclusions.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Any assessment completion rate drop &gt;15% within one cycle of a rule change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Lifecycle event notification delays create a window of risk</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Low</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lifecycle notifications are in the 30-second SLA queue (same as all NotifyEngine events). Succession risk recalculation runs synchronously on the notice event trigger, not queued. Async processing for LNA recalculation is acceptable — succession alert is the critical path.</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Succession alert delivery &gt;5 minutes after notice event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Employee adoption of Skill Passport</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Value-first UX (show insights, not input requests). Mobile app for friction reduction. Gamification layer. Minimal required actions at L1.</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Passport activation &lt;50% within 30 days of credential distribution</w:t>
            </w:r>
          </w:p>
        </w:tc>
      </w:tr>
    </w:tbl>
    <w:p>
      <w:pPr>
        <w:spacing w:before="0" w:after="120"/>
      </w:pPr>
    </w:p>
    <w:p>
      <w:pPr>
        <w:pageBreakBefore/>
      </w:pPr>
      <w:r>
        <w:t xml:space="preserve"/>
      </w:r>
    </w:p>
    <w:p>
      <w:pPr>
        <w:pStyle w:val="Heading1"/>
        <w:spacing w:before="400" w:after="160"/>
      </w:pPr>
      <w:r>
        <w:rPr>
          <w:rFonts w:ascii="Arial" w:cs="Arial" w:eastAsia="Arial" w:hAnsi="Arial"/>
          <w:b/>
          <w:bCs/>
          <w:color w:val="1E3A6E"/>
          <w:sz w:val="40"/>
          <w:szCs w:val="40"/>
        </w:rPr>
        <w:t xml:space="preserve">12. Reference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41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SIP Flowchart v8</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End-to-end process flow from Context Setting through Marketplace Ecosystem. Includes Assessment Distribution Engine, ReportGen, AI Assessment Suggestion Engine, Org-Wide Execution Plan, full taxonomy hierarchy, and all v19 updates.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HTML file (interactive)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Product Document v19</w:t>
            </w:r>
          </w:p>
        </w:tc>
        <w:tc>
          <w:tcPr>
            <w:tcW w:type="dxa" w:w="4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product specification across 26 sections, 117 H2 sections, 114 tables, 1,049 bullets. Authoritative source for all module specifications, data models, and engineering requirements.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Word (.docx)</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BRD v2 (superseded)</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Original 13-module BRD. Superseded by this document. Retained for historical reference only.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Word (.docx)</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NovaTech Sample Data</w:t>
            </w:r>
          </w:p>
        </w:tc>
        <w:tc>
          <w:tcPr>
            <w:tcW w:type="dxa" w:w="4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Fictional 35-employee company for development seeding and acceptance testing. Use for DataPort import testing and AI pipeline testing.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Excel (.xlsx)</w:t>
            </w:r>
          </w:p>
        </w:tc>
      </w:tr>
      <w:tr>
        <w:tc>
          <w:tcPr>
            <w:tcW w:type="dxa" w:w="28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3A6E"/>
                <w:sz w:val="20"/>
                <w:szCs w:val="20"/>
              </w:rPr>
              <w:t xml:space="preserve">HTML Blueprint</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Screen mockups, field specifications, database schema, dashboard charts, approval workflows. Primary UI design reference.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HTML file (interactive)</w:t>
            </w:r>
          </w:p>
        </w:tc>
      </w:tr>
    </w:tbl>
    <w:p>
      <w:pPr>
        <w:spacing w:before="0" w:after="120"/>
      </w:pPr>
    </w:p>
    <w:p>
      <w:pPr>
        <w:pStyle w:val="Heading1"/>
        <w:spacing w:before="400" w:after="160"/>
      </w:pPr>
      <w:r>
        <w:rPr>
          <w:rFonts w:ascii="Arial" w:cs="Arial" w:eastAsia="Arial" w:hAnsi="Arial"/>
          <w:b/>
          <w:bCs/>
          <w:color w:val="1E3A6E"/>
          <w:sz w:val="40"/>
          <w:szCs w:val="40"/>
        </w:rPr>
        <w:t xml:space="preserve">13. Approval &amp; Sign-Off</w:t>
      </w:r>
    </w:p>
    <w:p>
      <w:pPr>
        <w:spacing w:before="0" w:after="100"/>
        <w:jc w:val="left"/>
      </w:pPr>
      <w:r>
        <w:rPr>
          <w:rFonts w:ascii="Arial" w:cs="Arial" w:eastAsia="Arial" w:hAnsi="Arial"/>
          <w:b w:val="false"/>
          <w:bCs w:val="false"/>
          <w:i w:val="false"/>
          <w:iCs w:val="false"/>
          <w:color w:val="374151"/>
          <w:sz w:val="22"/>
          <w:szCs w:val="22"/>
        </w:rPr>
        <w:t xml:space="preserve">This BRD v3.0 supersedes all previous versions. It is the authoritative requirements document for the Edstellar Skills Intelligence Platform. Development must not begin on any feature not covered by this BRD without a signed change request.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Name &amp; Signature</w:t>
            </w:r>
          </w:p>
        </w:tc>
        <w:tc>
          <w:tcPr>
            <w:tcW w:type="dxa" w:w="3000"/>
            <w:tcBorders>
              <w:top w:val="single" w:color="FFFFFF" w:sz="4"/>
              <w:left w:val="single" w:color="FFFFFF" w:sz="4"/>
              <w:bottom w:val="single" w:color="FFFFFF" w:sz="4"/>
              <w:right w:val="single" w:color="FFFFFF" w:sz="4"/>
            </w:tcBorders>
            <w:shd w:fill="1E3A6E"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40AF"/>
                <w:sz w:val="20"/>
                <w:szCs w:val="20"/>
              </w:rPr>
              <w:t xml:space="preserve">Product Owner (Edstellar)</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Head of Product &amp; AI (Edstellar)</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3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40AF"/>
                <w:sz w:val="20"/>
                <w:szCs w:val="20"/>
              </w:rPr>
              <w:t xml:space="preserve">Technical Lead (Edstellar)</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Project Manager (Vendor)</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3000"/>
            <w:tcBorders>
              <w:top w:val="single" w:color="E5E7EB" w:sz="4"/>
              <w:left w:val="single" w:color="E5E7EB" w:sz="4"/>
              <w:bottom w:val="single" w:color="E5E7EB" w:sz="4"/>
              <w:right w:val="single" w:color="E5E7EB" w:sz="4"/>
            </w:tcBorders>
            <w:shd w:fill="EFF5FF" w:val="clear"/>
            <w:tcMar>
              <w:top w:type="dxa" w:w="80"/>
              <w:left w:type="dxa" w:w="120"/>
              <w:bottom w:type="dxa" w:w="80"/>
              <w:right w:type="dxa" w:w="120"/>
            </w:tcMar>
          </w:tcPr>
          <w:p>
            <w:r>
              <w:rPr>
                <w:rFonts w:ascii="Arial" w:cs="Arial" w:eastAsia="Arial" w:hAnsi="Arial"/>
                <w:b/>
                <w:bCs/>
                <w:color w:val="1E40AF"/>
                <w:sz w:val="20"/>
                <w:szCs w:val="20"/>
              </w:rPr>
              <w:t xml:space="preserve">Technical Lead (Vendor)</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Solutions Architect (Vendor)</w:t>
            </w:r>
          </w:p>
        </w:tc>
        <w:tc>
          <w:tcPr>
            <w:tcW w:type="dxa" w:w="3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w:r>
          </w:p>
        </w:tc>
      </w:tr>
    </w:tbl>
    <w:p>
      <w:pPr>
        <w:spacing w:before="0" w:after="200"/>
      </w:pPr>
    </w:p>
    <w:p>
      <w:pPr>
        <w:spacing w:before="0" w:after="0"/>
        <w:jc w:val="center"/>
      </w:pPr>
      <w:r>
        <w:rPr>
          <w:rFonts w:ascii="Arial" w:cs="Arial" w:eastAsia="Arial" w:hAnsi="Arial"/>
          <w:color w:val="6B7280"/>
          <w:sz w:val="18"/>
          <w:szCs w:val="18"/>
        </w:rPr>
        <w:t xml:space="preserve">Confidential — Internal Use Only  ·  Edstellar Skills Intelligence Platform BRD v3.0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6E"/>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1E3A6E"/>
      <w:sz w:val="30"/>
      <w:szCs w:val="30"/>
    </w:rPr>
  </w:style>
  <w:style w:type="paragraph" w:styleId="Heading3">
    <w:name w:val="Heading 3"/>
    <w:basedOn w:val="Normal"/>
    <w:next w:val="Normal"/>
    <w:qFormat/>
    <w:pPr>
      <w:spacing w:before="220" w:after="80"/>
      <w:outlineLvl w:val="2"/>
    </w:pPr>
    <w:rPr>
      <w:rFonts w:ascii="Arial" w:cs="Arial" w:eastAsia="Arial" w:hAnsi="Arial"/>
      <w:b/>
      <w:bCs/>
      <w:color w:val="1E6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2026-03-24T10:16:43.963Z</dcterms:created>
  <dcterms:modified xsi:type="dcterms:W3CDTF">2026-03-24T10:16:44.016Z</dcterms:modified>
</cp:coreProperties>
</file>

<file path=docProps/custom.xml><?xml version="1.0" encoding="utf-8"?>
<Properties xmlns="http://schemas.openxmlformats.org/officeDocument/2006/custom-properties" xmlns:vt="http://schemas.openxmlformats.org/officeDocument/2006/docPropsVTypes"/>
</file>