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pPr>
    </w:p>
    <w:p>
      <w:pPr>
        <w:spacing w:before="0" w:after="60"/>
      </w:pPr>
      <w:r>
        <w:rPr>
          <w:rFonts w:ascii="Calibri" w:cs="Calibri" w:eastAsia="Calibri" w:hAnsi="Calibri"/>
          <w:b/>
          <w:bCs/>
          <w:caps/>
          <w:color w:val="6B7280"/>
          <w:spacing w:val="100"/>
          <w:sz w:val="22"/>
          <w:szCs w:val="22"/>
        </w:rPr>
        <w:t xml:space="preserve">EDSTELLAR SKILLS INTELLIGENCE PLATFORM</w:t>
      </w:r>
    </w:p>
    <w:p>
      <w:pPr>
        <w:pBdr>
          <w:bottom w:val="single" w:color="1D4ED8" w:sz="12" w:space="1"/>
        </w:pBdr>
        <w:spacing w:before="0" w:after="0"/>
      </w:pPr>
      <w:r>
        <w:rPr>
          <w:sz w:val="4"/>
          <w:szCs w:val="4"/>
        </w:rPr>
        <w:t xml:space="preserve"> </w:t>
      </w:r>
    </w:p>
    <w:p>
      <w:pPr>
        <w:spacing w:before="0" w:after="80"/>
      </w:pPr>
    </w:p>
    <w:p>
      <w:pPr>
        <w:spacing w:before="0" w:after="40"/>
      </w:pPr>
      <w:r>
        <w:rPr>
          <w:rFonts w:ascii="Georgia" w:cs="Georgia" w:eastAsia="Georgia" w:hAnsi="Georgia"/>
          <w:b/>
          <w:bCs/>
          <w:color w:val="0F172A"/>
          <w:sz w:val="56"/>
          <w:szCs w:val="56"/>
        </w:rPr>
        <w:t xml:space="preserve">Security and Compliance</w:t>
      </w:r>
    </w:p>
    <w:p>
      <w:pPr>
        <w:spacing w:before="0" w:after="40"/>
      </w:pPr>
      <w:r>
        <w:rPr>
          <w:rFonts w:ascii="Georgia" w:cs="Georgia" w:eastAsia="Georgia" w:hAnsi="Georgia"/>
          <w:b/>
          <w:bCs/>
          <w:color w:val="0F172A"/>
          <w:sz w:val="56"/>
          <w:szCs w:val="56"/>
        </w:rPr>
        <w:t xml:space="preserve">Specification</w:t>
      </w:r>
    </w:p>
    <w:p>
      <w:pPr>
        <w:spacing w:before="0" w:after="80"/>
      </w:pPr>
      <w:r>
        <w:rPr>
          <w:rFonts w:ascii="Georgia" w:cs="Georgia" w:eastAsia="Georgia" w:hAnsi="Georgia"/>
          <w:i/>
          <w:iCs/>
          <w:color w:val="6B7280"/>
          <w:sz w:val="22"/>
          <w:szCs w:val="22"/>
        </w:rPr>
        <w:t xml:space="preserve">Authentication · Authorisation · Encryption · Data Privacy · Regulatory Compliance · Audit Architecture</w:t>
      </w:r>
    </w:p>
    <w:p>
      <w:pPr>
        <w:spacing w:before="0" w:after="100"/>
      </w:pP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tblGrid>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Version</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1.0</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Date</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March 2026</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Classification</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Confidential — Internal</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Primary Audience</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Engineering · Legal · Compliance · Enterprise Sales</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Maintained By</w:t>
            </w:r>
          </w:p>
        </w:tc>
        <w:tc>
          <w:tcPr>
            <w:tcW w:type="dxa" w:w="36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b w:val="false"/>
                <w:bCs w:val="false"/>
                <w:color w:val="374151"/>
                <w:sz w:val="20"/>
                <w:szCs w:val="20"/>
              </w:rPr>
              <w:t xml:space="preserve">Head of Product &amp; AI + DPO</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Review Cadence</w:t>
            </w:r>
          </w:p>
        </w:tc>
        <w:tc>
          <w:tcPr>
            <w:tcW w:type="dxa" w:w="3600"/>
            <w:tcBorders>
              <w:top w:val="none" w:color="FFFFFF" w:sz="0"/>
              <w:left w:val="none" w:color="FFFFFF" w:sz="0"/>
              <w:bottom w:val="none" w:color="FFFFFF" w:sz="0"/>
              <w:right w:val="none" w:color="FFFFFF" w:sz="0"/>
            </w:tcBorders>
            <w:shd w:fill="FEF2F2" w:val="clear"/>
            <w:tcMar>
              <w:top w:type="dxa" w:w="80"/>
              <w:left w:type="dxa" w:w="120"/>
              <w:bottom w:type="dxa" w:w="80"/>
              <w:right w:type="dxa" w:w="120"/>
            </w:tcMar>
          </w:tcPr>
          <w:p>
            <w:r>
              <w:rPr>
                <w:rFonts w:ascii="Calibri" w:cs="Calibri" w:eastAsia="Calibri" w:hAnsi="Calibri"/>
                <w:b/>
                <w:bCs/>
                <w:color w:val="B91C1C"/>
                <w:sz w:val="20"/>
                <w:szCs w:val="20"/>
              </w:rPr>
              <w:t xml:space="preserve">Annually · On any regulatory change · On any security incident</w:t>
            </w:r>
          </w:p>
        </w:tc>
      </w:tr>
    </w:tbl>
    <w:p>
      <w:pPr>
        <w:spacing w:before="0" w:after="40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 Scope, Principles, and Threat Model</w:t>
      </w:r>
    </w:p>
    <w:p>
      <w:pPr>
        <w:spacing w:before="0" w:after="100"/>
      </w:pPr>
      <w:r>
        <w:rPr>
          <w:rFonts w:ascii="Calibri" w:cs="Calibri" w:eastAsia="Calibri" w:hAnsi="Calibri"/>
          <w:b w:val="false"/>
          <w:bCs w:val="false"/>
          <w:i w:val="false"/>
          <w:iCs w:val="false"/>
          <w:color w:val="374151"/>
          <w:sz w:val="22"/>
          <w:szCs w:val="22"/>
        </w:rPr>
        <w:t xml:space="preserve">This document specifies the complete security and compliance architecture for the Edstellar Skills Intelligence Platform. It covers authentication flows, authorisation model, encryption standards, data privacy implementation (GDPR, DPDP, and market-specific regulations), audit architecture, and the compliance evidence framework. It is the authoritative reference for enterprise security reviews, regulatory audits, and penetration test scoping.</w:t>
      </w:r>
    </w:p>
    <w:p>
      <w:pPr>
        <w:spacing w:before="0" w:after="80"/>
      </w:pPr>
    </w:p>
    <w:p>
      <w:pPr>
        <w:pStyle w:val="Heading2"/>
        <w:spacing w:before="280" w:after="100"/>
      </w:pPr>
      <w:r>
        <w:rPr>
          <w:rFonts w:ascii="Georgia" w:cs="Georgia" w:eastAsia="Georgia" w:hAnsi="Georgia"/>
          <w:b/>
          <w:bCs/>
          <w:color w:val="1E40AF"/>
          <w:sz w:val="28"/>
          <w:szCs w:val="28"/>
        </w:rPr>
        <w:t xml:space="preserve">1.1 Platform Security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SEC-P1  </w:t>
            </w:r>
            <w:r>
              <w:rPr>
                <w:rFonts w:ascii="Calibri" w:cs="Calibri" w:eastAsia="Calibri" w:hAnsi="Calibri"/>
                <w:b/>
                <w:bCs/>
                <w:color w:val="0F172A"/>
                <w:sz w:val="22"/>
                <w:szCs w:val="22"/>
              </w:rPr>
              <w:t xml:space="preserve">Defence in depth — no single control is sufficient</w:t>
            </w:r>
          </w:p>
          <w:p>
            <w:pPr>
              <w:spacing w:before="0" w:after="0"/>
            </w:pPr>
            <w:r>
              <w:rPr>
                <w:rFonts w:ascii="Calibri" w:cs="Calibri" w:eastAsia="Calibri" w:hAnsi="Calibri"/>
                <w:color w:val="374151"/>
                <w:sz w:val="20"/>
                <w:szCs w:val="20"/>
              </w:rPr>
              <w:t xml:space="preserve">The platform does not rely on any single security control. Multi-tenancy isolation is enforced at the database layer, not just the application layer. Access control is enforced at the database layer (RLS), the API layer (JWT + RBAC middleware), and the UI layer (feature gating). Encryption is applied at rest, in transit, and at the field level for the most sensitive data categories.</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SEC-P2  </w:t>
            </w:r>
            <w:r>
              <w:rPr>
                <w:rFonts w:ascii="Calibri" w:cs="Calibri" w:eastAsia="Calibri" w:hAnsi="Calibri"/>
                <w:b/>
                <w:bCs/>
                <w:color w:val="0F172A"/>
                <w:sz w:val="22"/>
                <w:szCs w:val="22"/>
              </w:rPr>
              <w:t xml:space="preserve">Least privilege by default — roles see only what they need</w:t>
            </w:r>
          </w:p>
          <w:p>
            <w:pPr>
              <w:spacing w:before="0" w:after="0"/>
            </w:pPr>
            <w:r>
              <w:rPr>
                <w:rFonts w:ascii="Calibri" w:cs="Calibri" w:eastAsia="Calibri" w:hAnsi="Calibri"/>
                <w:color w:val="374151"/>
                <w:sz w:val="20"/>
                <w:szCs w:val="20"/>
              </w:rPr>
              <w:t xml:space="preserve">Every user role is granted the minimum access required for their function. Elevated access (HR Head, Auditor, Edstellar Admin) requires explicit provisioning — it is never the default. API consumers are granted scoped tokens that mirror the RBAC model. AI systems read only the data their permitted input list specifies. No role, no API consumer, and no AI system has broader access than documented in this specification.</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0"/>
              <w:left w:val="single" w:color="6D28D9" w:sz="16"/>
              <w:bottom w:val="single" w:color="6D28D9" w:sz="4"/>
              <w:right w:val="single" w:color="6D28D9" w:sz="4"/>
            </w:tcBorders>
            <w:shd w:fill="F5F3FF" w:val="clear"/>
            <w:tcMar>
              <w:top w:type="dxa" w:w="120"/>
              <w:left w:type="dxa" w:w="200"/>
              <w:bottom w:type="dxa" w:w="120"/>
              <w:right w:type="dxa" w:w="160"/>
            </w:tcMar>
          </w:tcPr>
          <w:p>
            <w:pPr>
              <w:spacing w:before="0" w:after="60"/>
            </w:pPr>
            <w:r>
              <w:rPr>
                <w:rFonts w:ascii="Calibri" w:cs="Calibri" w:eastAsia="Calibri" w:hAnsi="Calibri"/>
                <w:b/>
                <w:bCs/>
                <w:caps/>
                <w:color w:val="6D28D9"/>
                <w:sz w:val="18"/>
                <w:szCs w:val="18"/>
              </w:rPr>
              <w:t xml:space="preserve">SEC-P3  </w:t>
            </w:r>
            <w:r>
              <w:rPr>
                <w:rFonts w:ascii="Calibri" w:cs="Calibri" w:eastAsia="Calibri" w:hAnsi="Calibri"/>
                <w:b/>
                <w:bCs/>
                <w:color w:val="3B0764"/>
                <w:sz w:val="22"/>
                <w:szCs w:val="22"/>
              </w:rPr>
              <w:t xml:space="preserve">Sensitive data categories receive additional controls beyond RBAC</w:t>
            </w:r>
          </w:p>
          <w:p>
            <w:pPr>
              <w:spacing w:before="0" w:after="0"/>
            </w:pPr>
            <w:r>
              <w:rPr>
                <w:rFonts w:ascii="Calibri" w:cs="Calibri" w:eastAsia="Calibri" w:hAnsi="Calibri"/>
                <w:color w:val="374151"/>
                <w:sz w:val="20"/>
                <w:szCs w:val="20"/>
              </w:rPr>
              <w:t xml:space="preserve">Four data categories — performance data, wellbeing data, psychometric results, and compensation data — carry controls beyond standard role-based access: field-level encryption, restricted audit log exposure, AI system input boundary enforcement, and access logging at the individual query level. These controls are documented in Section 6 of this specification.</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SEC-P4  </w:t>
            </w:r>
            <w:r>
              <w:rPr>
                <w:rFonts w:ascii="Calibri" w:cs="Calibri" w:eastAsia="Calibri" w:hAnsi="Calibri"/>
                <w:b/>
                <w:bCs/>
                <w:color w:val="7F1D1D"/>
                <w:sz w:val="22"/>
                <w:szCs w:val="22"/>
              </w:rPr>
              <w:t xml:space="preserve">Tenant isolation is absolute — cross-tenant data leakage is a P0 incident</w:t>
            </w:r>
          </w:p>
          <w:p>
            <w:pPr>
              <w:spacing w:before="0" w:after="0"/>
            </w:pPr>
            <w:r>
              <w:rPr>
                <w:rFonts w:ascii="Calibri" w:cs="Calibri" w:eastAsia="Calibri" w:hAnsi="Calibri"/>
                <w:color w:val="374151"/>
                <w:sz w:val="20"/>
                <w:szCs w:val="20"/>
              </w:rPr>
              <w:t xml:space="preserve">No data from Tenant A may ever appear in a response to Tenant B — in any interface, any API call, or any AI system output. Row-level security enforced on every table. Every cross-tenant query attempt is logged as a security event and triggers an immediate alert. The automated cross-tenant access test suite runs on every deployment.</w:t>
            </w:r>
          </w:p>
        </w:tc>
      </w:tr>
    </w:tbl>
    <w:p>
      <w:pPr>
        <w:spacing w:before="0" w:after="100"/>
      </w:pPr>
    </w:p>
    <w:p>
      <w:pPr>
        <w:spacing w:before="0" w:after="80"/>
      </w:pPr>
    </w:p>
    <w:p>
      <w:pPr>
        <w:pStyle w:val="Heading2"/>
        <w:spacing w:before="280" w:after="100"/>
      </w:pPr>
      <w:r>
        <w:rPr>
          <w:rFonts w:ascii="Georgia" w:cs="Georgia" w:eastAsia="Georgia" w:hAnsi="Georgia"/>
          <w:b/>
          <w:bCs/>
          <w:color w:val="1E40AF"/>
          <w:sz w:val="28"/>
          <w:szCs w:val="28"/>
        </w:rPr>
        <w:t xml:space="preserve">1.2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Threat</w:t>
            </w:r>
          </w:p>
        </w:tc>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Vector</w:t>
            </w:r>
          </w:p>
        </w:tc>
        <w:tc>
          <w:tcPr>
            <w:tcW w:type="dxa" w:w="2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Primary Control</w:t>
            </w:r>
          </w:p>
        </w:tc>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Secondary Control</w:t>
            </w:r>
          </w:p>
        </w:tc>
      </w:tr>
      <w:tr>
        <w:tc>
          <w:tcPr>
            <w:tcW w:type="dxa" w:w="2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Cross-tenant data leak</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Misconfigured query, RLS bypass, API parameter tampering</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Row-level security on every table. tenant_id enforced at DB layer.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Automated cross-tenant test suite on every deploy. Immediate alert on any violation.</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Unauthorised data access</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Credential theft, session hijacking, privilege escalation</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MFA on all admin accounts. JWT expiry (1hr access, 7d refresh). Session invalidation on logout.</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RBAC enforced at DB layer. All access logged.</w:t>
            </w:r>
          </w:p>
        </w:tc>
      </w:tr>
      <w:tr>
        <w:tc>
          <w:tcPr>
            <w:tcW w:type="dxa" w:w="2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AI data boundary breach</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Prompt injection, unexpected model behaviour, misconfigured context injection</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input boundaries enforced at application layer. Forbidden data types filtered before prompt construction.</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AI-8 prompt injection detection. All AI inputs and outputs logged.</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Sensitive data exposure</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API over-exposure, log exposure, error message leakage</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Sensitive fields excluded from API responses for non-authorised roles. Errors return generic messages, not stack traces.</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Wellbeing and psychometric data encrypted at field level. Audit logs store type flags only.</w:t>
            </w:r>
          </w:p>
        </w:tc>
      </w:tr>
      <w:tr>
        <w:tc>
          <w:tcPr>
            <w:tcW w:type="dxa" w:w="2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Insider threat</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team misuse of internal systems, Admin Console, or impersonation capability</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Admin Console access requires MFA + RBAC. Impersonation sessions are logged, time-limited, and notify the client.</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Separation of commercial and quality governance roles. Change management sign-off for pricing and feature changes.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Compliance breach</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GDPR right-to-erasure not executed, data retained beyond policy, consent not captured</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Automated erasure workflow. Data retention triggers. Consent management in Employee Portal.</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Compliance evidence package builder. Continuous audit readiness dashboard.</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Supply chain risk</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Claude API compromise, HRIS connector compromise, third-party library vulnerability</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Claude API key managed in vault. HRIS connectors use org-provided credentials (not stored). Dependencies monitored via automated scanning.</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API key rotation capability. Connector permission scoping (read-only where possible).</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2. Authentication</w:t>
      </w:r>
    </w:p>
    <w:p>
      <w:pPr>
        <w:pStyle w:val="Heading2"/>
        <w:spacing w:before="280" w:after="100"/>
      </w:pPr>
      <w:r>
        <w:rPr>
          <w:rFonts w:ascii="Georgia" w:cs="Georgia" w:eastAsia="Georgia" w:hAnsi="Georgia"/>
          <w:b/>
          <w:bCs/>
          <w:color w:val="1E40AF"/>
          <w:sz w:val="28"/>
          <w:szCs w:val="28"/>
        </w:rPr>
        <w:t xml:space="preserve">2.1 Portal Architecture — Three Separate Authentication Domains</w:t>
      </w:r>
    </w:p>
    <w:p>
      <w:pPr>
        <w:spacing w:before="0" w:after="100"/>
      </w:pPr>
      <w:r>
        <w:rPr>
          <w:rFonts w:ascii="Calibri" w:cs="Calibri" w:eastAsia="Calibri" w:hAnsi="Calibri"/>
          <w:b w:val="false"/>
          <w:bCs w:val="false"/>
          <w:i w:val="false"/>
          <w:iCs w:val="false"/>
          <w:color w:val="374151"/>
          <w:sz w:val="22"/>
          <w:szCs w:val="22"/>
        </w:rPr>
        <w:t xml:space="preserve">The platform has three distinct user-facing portals, each with its own authentication domain, login URL, and session management configuration. Mixing portal access is prevented at the authentication layer — an Employee credential cannot access the Admin portal, and vice versa.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960"/>
        <w:gridCol w:w="180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Portal</w:t>
            </w:r>
          </w:p>
        </w:tc>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Users</w:t>
            </w:r>
          </w:p>
        </w:tc>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Login URL pattern</w:t>
            </w:r>
          </w:p>
        </w:tc>
        <w:tc>
          <w:tcPr>
            <w:tcW w:type="dxa" w:w="1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MFA policy</w:t>
            </w:r>
          </w:p>
        </w:tc>
        <w:tc>
          <w:tcPr>
            <w:tcW w:type="dxa" w:w="1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Session timeout</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Admin Portal</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Super Admin, HR Head, Dept Head, L&amp;D Manager, HRBP, Auditor</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app.edstellar.com/admin</w:t>
            </w:r>
          </w:p>
        </w:tc>
        <w:tc>
          <w:tcPr>
            <w:tcW w:type="dxa" w:w="1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Mandatory for Super Admin, HR Head, Auditor. Prompted for all others.</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4 hours inactive. Absolute 12-hour limit.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Manager Portal</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Managers, Dept Heads with team scope</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app.edstellar.com/manager</w:t>
            </w:r>
          </w:p>
        </w:tc>
        <w:tc>
          <w:tcPr>
            <w:tcW w:type="dxa" w:w="1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Strongly recommended. Configurable mandatory by HR Head.</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2 hours inactive. Absolute 8-hour limit.</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Employee Portal</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employees with Active Participant or View Only scope</w:t>
            </w:r>
          </w:p>
        </w:tc>
        <w:tc>
          <w:tcPr>
            <w:tcW w:type="dxa" w:w="2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app.edstellar.com/me  OR  custom subdomain for enterprise</w:t>
            </w:r>
          </w:p>
        </w:tc>
        <w:tc>
          <w:tcPr>
            <w:tcW w:type="dxa" w:w="1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Optional. HR Head can mandate for their org.</w:t>
            </w:r>
          </w:p>
        </w:tc>
        <w:tc>
          <w:tcPr>
            <w:tcW w:type="dxa" w:w="1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8 hours inactive. No absolute limit for employee portal.</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Edstellar Admin Console</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internal team only</w:t>
            </w:r>
          </w:p>
        </w:tc>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admin-internal.edstellar.com (separate domain)</w:t>
            </w:r>
          </w:p>
        </w:tc>
        <w:tc>
          <w:tcPr>
            <w:tcW w:type="dxa" w:w="1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Mandatory for all users. Non-negotiable.</w:t>
            </w:r>
          </w:p>
        </w:tc>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4 hours inactive. Absolute 8-hour limit.</w:t>
            </w:r>
          </w:p>
        </w:tc>
      </w:tr>
    </w:tbl>
    <w:p>
      <w:pPr>
        <w:spacing w:before="0" w:after="80"/>
      </w:pPr>
    </w:p>
    <w:p>
      <w:pPr>
        <w:pStyle w:val="Heading2"/>
        <w:spacing w:before="280" w:after="100"/>
      </w:pPr>
      <w:r>
        <w:rPr>
          <w:rFonts w:ascii="Georgia" w:cs="Georgia" w:eastAsia="Georgia" w:hAnsi="Georgia"/>
          <w:b/>
          <w:bCs/>
          <w:color w:val="1E40AF"/>
          <w:sz w:val="28"/>
          <w:szCs w:val="28"/>
        </w:rPr>
        <w:t xml:space="preserve">2.2 Authentication Methods</w:t>
      </w:r>
    </w:p>
    <w:p>
      <w:pPr>
        <w:pStyle w:val="Heading3"/>
        <w:spacing w:before="200" w:after="80"/>
      </w:pPr>
      <w:r>
        <w:rPr>
          <w:rFonts w:ascii="Calibri" w:cs="Calibri" w:eastAsia="Calibri" w:hAnsi="Calibri"/>
          <w:b/>
          <w:bCs/>
          <w:color w:val="1D4ED8"/>
          <w:sz w:val="24"/>
          <w:szCs w:val="24"/>
        </w:rPr>
        <w:t xml:space="preserve">Primary: SSO — SAML 2.0 and OIDC</w:t>
      </w:r>
    </w:p>
    <w:p>
      <w:pPr>
        <w:pStyle w:val="ListParagraph"/>
        <w:numPr>
          <w:ilvl w:val="0"/>
          <w:numId w:val="2"/>
        </w:numPr>
        <w:spacing w:before="0" w:after="60"/>
      </w:pPr>
      <w:r>
        <w:rPr>
          <w:rFonts w:ascii="Calibri" w:cs="Calibri" w:eastAsia="Calibri" w:hAnsi="Calibri"/>
          <w:color w:val="374151"/>
          <w:sz w:val="21"/>
          <w:szCs w:val="21"/>
        </w:rPr>
        <w:t xml:space="preserve">SAML 2.0 and OpenID Connect (OIDC) both supported for enterprise SSO integration.</w:t>
      </w:r>
    </w:p>
    <w:p>
      <w:pPr>
        <w:pStyle w:val="ListParagraph"/>
        <w:numPr>
          <w:ilvl w:val="0"/>
          <w:numId w:val="2"/>
        </w:numPr>
        <w:spacing w:before="0" w:after="60"/>
      </w:pPr>
      <w:r>
        <w:rPr>
          <w:rFonts w:ascii="Calibri" w:cs="Calibri" w:eastAsia="Calibri" w:hAnsi="Calibri"/>
          <w:color w:val="374151"/>
          <w:sz w:val="21"/>
          <w:szCs w:val="21"/>
        </w:rPr>
        <w:t xml:space="preserve">Supported Identity Providers: Okta, Azure Active Directory, Google Workspace, OneLogin, PingIdentity, and any SAML 2.0-compliant IdP.</w:t>
      </w:r>
    </w:p>
    <w:p>
      <w:pPr>
        <w:pStyle w:val="ListParagraph"/>
        <w:numPr>
          <w:ilvl w:val="0"/>
          <w:numId w:val="2"/>
        </w:numPr>
        <w:spacing w:before="0" w:after="60"/>
      </w:pPr>
      <w:r>
        <w:rPr>
          <w:rFonts w:ascii="Calibri" w:cs="Calibri" w:eastAsia="Calibri" w:hAnsi="Calibri"/>
          <w:color w:val="374151"/>
          <w:sz w:val="21"/>
          <w:szCs w:val="21"/>
        </w:rPr>
        <w:t xml:space="preserve">SSO is the recommended authentication method for all enterprise clients. When SSO is configured, email/password login is disabled for that portal by default (configurable — HR Head can re-enable as fallback).</w:t>
      </w:r>
    </w:p>
    <w:p>
      <w:pPr>
        <w:pStyle w:val="ListParagraph"/>
        <w:numPr>
          <w:ilvl w:val="0"/>
          <w:numId w:val="2"/>
        </w:numPr>
        <w:spacing w:before="0" w:after="60"/>
      </w:pPr>
      <w:r>
        <w:rPr>
          <w:rFonts w:ascii="Calibri" w:cs="Calibri" w:eastAsia="Calibri" w:hAnsi="Calibri"/>
          <w:color w:val="374151"/>
          <w:sz w:val="21"/>
          <w:szCs w:val="21"/>
        </w:rPr>
        <w:t xml:space="preserve">SP-initiated SSO flow: user navigates to the Edstellar portal, is redirected to IdP for authentication, IdP posts SAML assertion or OIDC token back to Edstellar callback endpoint, Edstellar validates the assertion/token and creates an authenticated session.</w:t>
      </w:r>
    </w:p>
    <w:p>
      <w:pPr>
        <w:pStyle w:val="ListParagraph"/>
        <w:numPr>
          <w:ilvl w:val="0"/>
          <w:numId w:val="2"/>
        </w:numPr>
        <w:spacing w:before="0" w:after="60"/>
      </w:pPr>
      <w:r>
        <w:rPr>
          <w:rFonts w:ascii="Calibri" w:cs="Calibri" w:eastAsia="Calibri" w:hAnsi="Calibri"/>
          <w:color w:val="374151"/>
          <w:sz w:val="21"/>
          <w:szCs w:val="21"/>
        </w:rPr>
        <w:t xml:space="preserve">IdP-initiated SSO flow: user authenticates at IdP first, then navigates to the Edstellar application tile. Edstellar validates the SSO assertion on arrival.</w:t>
      </w:r>
    </w:p>
    <w:p>
      <w:pPr>
        <w:pStyle w:val="ListParagraph"/>
        <w:numPr>
          <w:ilvl w:val="0"/>
          <w:numId w:val="2"/>
        </w:numPr>
        <w:spacing w:before="0" w:after="60"/>
      </w:pPr>
      <w:r>
        <w:rPr>
          <w:rFonts w:ascii="Calibri" w:cs="Calibri" w:eastAsia="Calibri" w:hAnsi="Calibri"/>
          <w:color w:val="374151"/>
          <w:sz w:val="21"/>
          <w:szCs w:val="21"/>
        </w:rPr>
        <w:t xml:space="preserve">Just-in-time (JIT) provisioning: when an SSO user authenticates for the first time and no matching employee record exists, JIT provisioning creates a limited-access record. Full access is granted only after HR Admin maps the SSO identity to an existing employee record.</w:t>
      </w:r>
    </w:p>
    <w:p>
      <w:pPr>
        <w:spacing w:before="0" w:after="60"/>
      </w:pPr>
    </w:p>
    <w:p>
      <w:pPr>
        <w:pStyle w:val="Heading3"/>
        <w:spacing w:before="200" w:after="80"/>
      </w:pPr>
      <w:r>
        <w:rPr>
          <w:rFonts w:ascii="Calibri" w:cs="Calibri" w:eastAsia="Calibri" w:hAnsi="Calibri"/>
          <w:b/>
          <w:bCs/>
          <w:color w:val="1D4ED8"/>
          <w:sz w:val="24"/>
          <w:szCs w:val="24"/>
        </w:rPr>
        <w:t xml:space="preserve">Fallback: Email and Password</w:t>
      </w:r>
    </w:p>
    <w:p>
      <w:pPr>
        <w:pStyle w:val="ListParagraph"/>
        <w:numPr>
          <w:ilvl w:val="0"/>
          <w:numId w:val="2"/>
        </w:numPr>
        <w:spacing w:before="0" w:after="60"/>
      </w:pPr>
      <w:r>
        <w:rPr>
          <w:rFonts w:ascii="Calibri" w:cs="Calibri" w:eastAsia="Calibri" w:hAnsi="Calibri"/>
          <w:color w:val="374151"/>
          <w:sz w:val="21"/>
          <w:szCs w:val="21"/>
        </w:rPr>
        <w:t xml:space="preserve">Available when SSO is not configured or is explicitly re-enabled as fallback.</w:t>
      </w:r>
    </w:p>
    <w:p>
      <w:pPr>
        <w:pStyle w:val="ListParagraph"/>
        <w:numPr>
          <w:ilvl w:val="0"/>
          <w:numId w:val="2"/>
        </w:numPr>
        <w:spacing w:before="0" w:after="60"/>
      </w:pPr>
      <w:r>
        <w:rPr>
          <w:rFonts w:ascii="Calibri" w:cs="Calibri" w:eastAsia="Calibri" w:hAnsi="Calibri"/>
          <w:color w:val="374151"/>
          <w:sz w:val="21"/>
          <w:szCs w:val="21"/>
        </w:rPr>
        <w:t xml:space="preserve">Password requirements: minimum 12 characters, minimum 1 uppercase, 1 lowercase, 1 digit, 1 special character. Password strength meter shown during creation.</w:t>
      </w:r>
    </w:p>
    <w:p>
      <w:pPr>
        <w:pStyle w:val="ListParagraph"/>
        <w:numPr>
          <w:ilvl w:val="0"/>
          <w:numId w:val="2"/>
        </w:numPr>
        <w:spacing w:before="0" w:after="60"/>
      </w:pPr>
      <w:r>
        <w:rPr>
          <w:rFonts w:ascii="Calibri" w:cs="Calibri" w:eastAsia="Calibri" w:hAnsi="Calibri"/>
          <w:color w:val="374151"/>
          <w:sz w:val="21"/>
          <w:szCs w:val="21"/>
        </w:rPr>
        <w:t xml:space="preserve">Passwords stored exclusively as bcrypt hashes (work factor 12). Plaintext passwords are never stored, logged, or transmitted.</w:t>
      </w:r>
    </w:p>
    <w:p>
      <w:pPr>
        <w:pStyle w:val="ListParagraph"/>
        <w:numPr>
          <w:ilvl w:val="0"/>
          <w:numId w:val="2"/>
        </w:numPr>
        <w:spacing w:before="0" w:after="60"/>
      </w:pPr>
      <w:r>
        <w:rPr>
          <w:rFonts w:ascii="Calibri" w:cs="Calibri" w:eastAsia="Calibri" w:hAnsi="Calibri"/>
          <w:color w:val="374151"/>
          <w:sz w:val="21"/>
          <w:szCs w:val="21"/>
        </w:rPr>
        <w:t xml:space="preserve">Password reset: time-limited token (15-minute expiry) delivered to the registered email address. Reset tokens are single-use.</w:t>
      </w:r>
    </w:p>
    <w:p>
      <w:pPr>
        <w:pStyle w:val="ListParagraph"/>
        <w:numPr>
          <w:ilvl w:val="0"/>
          <w:numId w:val="2"/>
        </w:numPr>
        <w:spacing w:before="0" w:after="60"/>
      </w:pPr>
      <w:r>
        <w:rPr>
          <w:rFonts w:ascii="Calibri" w:cs="Calibri" w:eastAsia="Calibri" w:hAnsi="Calibri"/>
          <w:color w:val="374151"/>
          <w:sz w:val="21"/>
          <w:szCs w:val="21"/>
        </w:rPr>
        <w:t xml:space="preserve">Credential stuffing protection: rate limiting on login attempts. After 5 failed attempts within 10 minutes, the account is locked for 30 minutes. After 10 failed attempts in 1 hour, the account is locked until HR Admin or Edstellar Support unlocks it manually.</w:t>
      </w:r>
    </w:p>
    <w:p>
      <w:pPr>
        <w:spacing w:before="0" w:after="60"/>
      </w:pPr>
    </w:p>
    <w:p>
      <w:pPr>
        <w:pStyle w:val="Heading3"/>
        <w:spacing w:before="200" w:after="80"/>
      </w:pPr>
      <w:r>
        <w:rPr>
          <w:rFonts w:ascii="Calibri" w:cs="Calibri" w:eastAsia="Calibri" w:hAnsi="Calibri"/>
          <w:b/>
          <w:bCs/>
          <w:color w:val="1D4ED8"/>
          <w:sz w:val="24"/>
          <w:szCs w:val="24"/>
        </w:rPr>
        <w:t xml:space="preserve">Multi-Factor Authentication (MFA)</w:t>
      </w:r>
    </w:p>
    <w:p>
      <w:pPr>
        <w:pStyle w:val="ListParagraph"/>
        <w:numPr>
          <w:ilvl w:val="0"/>
          <w:numId w:val="2"/>
        </w:numPr>
        <w:spacing w:before="0" w:after="60"/>
      </w:pPr>
      <w:r>
        <w:rPr>
          <w:rFonts w:ascii="Calibri" w:cs="Calibri" w:eastAsia="Calibri" w:hAnsi="Calibri"/>
          <w:color w:val="374151"/>
          <w:sz w:val="21"/>
          <w:szCs w:val="21"/>
        </w:rPr>
        <w:t xml:space="preserve">Supported MFA methods: TOTP (Google Authenticator, Authy, any RFC 6238-compliant app), SMS OTP (fallback only — not recommended for high-security accounts), email OTP (fallback only), and hardware security keys (FIDO2/WebAuthn) for Admin portal users.</w:t>
      </w:r>
    </w:p>
    <w:p>
      <w:pPr>
        <w:pStyle w:val="ListParagraph"/>
        <w:numPr>
          <w:ilvl w:val="0"/>
          <w:numId w:val="2"/>
        </w:numPr>
        <w:spacing w:before="0" w:after="60"/>
      </w:pPr>
      <w:r>
        <w:rPr>
          <w:rFonts w:ascii="Calibri" w:cs="Calibri" w:eastAsia="Calibri" w:hAnsi="Calibri"/>
          <w:color w:val="374151"/>
          <w:sz w:val="21"/>
          <w:szCs w:val="21"/>
        </w:rPr>
        <w:t xml:space="preserve">MFA enforcement levels: Mandatory (enforced — user cannot access portal without MFA enrolled), Prompted (user is prompted to set up MFA on first login — can be skipped but is tracked), Optional (user can enable MFA from their profile settings).</w:t>
      </w:r>
    </w:p>
    <w:p>
      <w:pPr>
        <w:pStyle w:val="ListParagraph"/>
        <w:numPr>
          <w:ilvl w:val="0"/>
          <w:numId w:val="2"/>
        </w:numPr>
        <w:spacing w:before="0" w:after="60"/>
      </w:pPr>
      <w:r>
        <w:rPr>
          <w:rFonts w:ascii="Calibri" w:cs="Calibri" w:eastAsia="Calibri" w:hAnsi="Calibri"/>
          <w:color w:val="374151"/>
          <w:sz w:val="21"/>
          <w:szCs w:val="21"/>
        </w:rPr>
        <w:t xml:space="preserve">MFA reset: only HR Admin or Edstellar Support can reset a user's MFA. The reset generates a single-use recovery code delivered to the user's registered email. MFA reset actions are logged in the audit trail.</w:t>
      </w:r>
    </w:p>
    <w:p>
      <w:pPr>
        <w:pStyle w:val="ListParagraph"/>
        <w:numPr>
          <w:ilvl w:val="0"/>
          <w:numId w:val="2"/>
        </w:numPr>
        <w:spacing w:before="0" w:after="60"/>
      </w:pPr>
      <w:r>
        <w:rPr>
          <w:rFonts w:ascii="Calibri" w:cs="Calibri" w:eastAsia="Calibri" w:hAnsi="Calibri"/>
          <w:color w:val="374151"/>
          <w:sz w:val="21"/>
          <w:szCs w:val="21"/>
        </w:rPr>
        <w:t xml:space="preserve">Backup codes: users are issued 8 single-use backup codes on MFA enrollment. Codes can be regenerated in the security settings — regeneration invalidates all previous codes and is logged.</w:t>
      </w:r>
    </w:p>
    <w:p>
      <w:pPr>
        <w:spacing w:before="0" w:after="80"/>
      </w:pPr>
    </w:p>
    <w:p>
      <w:pPr>
        <w:pStyle w:val="Heading2"/>
        <w:spacing w:before="280" w:after="100"/>
      </w:pPr>
      <w:r>
        <w:rPr>
          <w:rFonts w:ascii="Georgia" w:cs="Georgia" w:eastAsia="Georgia" w:hAnsi="Georgia"/>
          <w:b/>
          <w:bCs/>
          <w:color w:val="1E40AF"/>
          <w:sz w:val="28"/>
          <w:szCs w:val="28"/>
        </w:rPr>
        <w:t xml:space="preserve">2.3 Session Management</w:t>
      </w:r>
    </w:p>
    <w:p>
      <w:pPr>
        <w:pStyle w:val="ListParagraph"/>
        <w:numPr>
          <w:ilvl w:val="0"/>
          <w:numId w:val="2"/>
        </w:numPr>
        <w:spacing w:before="0" w:after="60"/>
      </w:pPr>
      <w:r>
        <w:rPr>
          <w:rFonts w:ascii="Calibri" w:cs="Calibri" w:eastAsia="Calibri" w:hAnsi="Calibri"/>
          <w:color w:val="374151"/>
          <w:sz w:val="21"/>
          <w:szCs w:val="21"/>
        </w:rPr>
        <w:t xml:space="preserve">Access tokens: JWT format, signed with RS256 (2048-bit RSA). Expiry: 1 hour. Contain: user_id, tenant_id, role, portal, issued_at, expires_at. No sensitive data in token payload.</w:t>
      </w:r>
    </w:p>
    <w:p>
      <w:pPr>
        <w:pStyle w:val="ListParagraph"/>
        <w:numPr>
          <w:ilvl w:val="0"/>
          <w:numId w:val="2"/>
        </w:numPr>
        <w:spacing w:before="0" w:after="60"/>
      </w:pPr>
      <w:r>
        <w:rPr>
          <w:rFonts w:ascii="Calibri" w:cs="Calibri" w:eastAsia="Calibri" w:hAnsi="Calibri"/>
          <w:color w:val="374151"/>
          <w:sz w:val="21"/>
          <w:szCs w:val="21"/>
        </w:rPr>
        <w:t xml:space="preserve">Refresh tokens: opaque, cryptographically random (256-bit). Stored server-side in Redis with expiry. Valid for 7 days (Admin portal), 14 days (Manager portal), 30 days (Employee portal). Refresh token rotation: each refresh issues a new refresh token and invalidates the previous one.</w:t>
      </w:r>
    </w:p>
    <w:p>
      <w:pPr>
        <w:pStyle w:val="ListParagraph"/>
        <w:numPr>
          <w:ilvl w:val="0"/>
          <w:numId w:val="2"/>
        </w:numPr>
        <w:spacing w:before="0" w:after="60"/>
      </w:pPr>
      <w:r>
        <w:rPr>
          <w:rFonts w:ascii="Calibri" w:cs="Calibri" w:eastAsia="Calibri" w:hAnsi="Calibri"/>
          <w:color w:val="374151"/>
          <w:sz w:val="21"/>
          <w:szCs w:val="21"/>
        </w:rPr>
        <w:t xml:space="preserve">Session invalidation: immediate on logout. Also invalidated on: password change, MFA reset, HR Admin account lock, scope_status change to 'excluded', and Edstellar Admin suspension of the org.</w:t>
      </w:r>
    </w:p>
    <w:p>
      <w:pPr>
        <w:pStyle w:val="ListParagraph"/>
        <w:numPr>
          <w:ilvl w:val="0"/>
          <w:numId w:val="2"/>
        </w:numPr>
        <w:spacing w:before="0" w:after="60"/>
      </w:pPr>
      <w:r>
        <w:rPr>
          <w:rFonts w:ascii="Calibri" w:cs="Calibri" w:eastAsia="Calibri" w:hAnsi="Calibri"/>
          <w:color w:val="374151"/>
          <w:sz w:val="21"/>
          <w:szCs w:val="21"/>
        </w:rPr>
        <w:t xml:space="preserve">Concurrent sessions: configurable per org. Default: allow up to 3 concurrent sessions per user (useful for mobile + desktop). HR Head can restrict to 1 for higher-security orgs.</w:t>
      </w:r>
    </w:p>
    <w:p>
      <w:pPr>
        <w:pStyle w:val="ListParagraph"/>
        <w:numPr>
          <w:ilvl w:val="0"/>
          <w:numId w:val="2"/>
        </w:numPr>
        <w:spacing w:before="0" w:after="60"/>
      </w:pPr>
      <w:r>
        <w:rPr>
          <w:rFonts w:ascii="Calibri" w:cs="Calibri" w:eastAsia="Calibri" w:hAnsi="Calibri"/>
          <w:color w:val="374151"/>
          <w:sz w:val="21"/>
          <w:szCs w:val="21"/>
        </w:rPr>
        <w:t xml:space="preserve">Device fingerprinting: sessions include a device fingerprint (browser agent, screen resolution, timezone offset). Significant fingerprint changes on refresh token use trigger a step-up authentication prompt.</w:t>
      </w:r>
    </w:p>
    <w:p>
      <w:pPr>
        <w:spacing w:before="0" w:after="80"/>
      </w:pPr>
    </w:p>
    <w:p>
      <w:pPr>
        <w:pStyle w:val="Heading2"/>
        <w:spacing w:before="280" w:after="100"/>
      </w:pPr>
      <w:r>
        <w:rPr>
          <w:rFonts w:ascii="Georgia" w:cs="Georgia" w:eastAsia="Georgia" w:hAnsi="Georgia"/>
          <w:b/>
          <w:bCs/>
          <w:color w:val="1E40AF"/>
          <w:sz w:val="28"/>
          <w:szCs w:val="28"/>
        </w:rPr>
        <w:t xml:space="preserve">2.4 API Authentication</w:t>
      </w:r>
    </w:p>
    <w:p>
      <w:pPr>
        <w:pStyle w:val="ListParagraph"/>
        <w:numPr>
          <w:ilvl w:val="0"/>
          <w:numId w:val="2"/>
        </w:numPr>
        <w:spacing w:before="0" w:after="60"/>
      </w:pPr>
      <w:r>
        <w:rPr>
          <w:rFonts w:ascii="Calibri" w:cs="Calibri" w:eastAsia="Calibri" w:hAnsi="Calibri"/>
          <w:color w:val="374151"/>
          <w:sz w:val="21"/>
          <w:szCs w:val="21"/>
        </w:rPr>
        <w:t xml:space="preserve">All API requests must include a Bearer token in the Authorization header: Authorization: Bearer {access_token}.</w:t>
      </w:r>
    </w:p>
    <w:p>
      <w:pPr>
        <w:pStyle w:val="ListParagraph"/>
        <w:numPr>
          <w:ilvl w:val="0"/>
          <w:numId w:val="2"/>
        </w:numPr>
        <w:spacing w:before="0" w:after="60"/>
      </w:pPr>
      <w:r>
        <w:rPr>
          <w:rFonts w:ascii="Calibri" w:cs="Calibri" w:eastAsia="Calibri" w:hAnsi="Calibri"/>
          <w:color w:val="374151"/>
          <w:sz w:val="21"/>
          <w:szCs w:val="21"/>
        </w:rPr>
        <w:t xml:space="preserve">API keys (for machine-to-machine integration): generated in the Developer Portal or Admin Console. API keys are equivalent to long-lived access tokens scoped to a specific role and set of endpoints. API keys are stored as hashed values — the plaintext key is shown only once at generation time and cannot be retrieved afterwards.</w:t>
      </w:r>
    </w:p>
    <w:p>
      <w:pPr>
        <w:pStyle w:val="ListParagraph"/>
        <w:numPr>
          <w:ilvl w:val="0"/>
          <w:numId w:val="2"/>
        </w:numPr>
        <w:spacing w:before="0" w:after="60"/>
      </w:pPr>
      <w:r>
        <w:rPr>
          <w:rFonts w:ascii="Calibri" w:cs="Calibri" w:eastAsia="Calibri" w:hAnsi="Calibri"/>
          <w:color w:val="374151"/>
          <w:sz w:val="21"/>
          <w:szCs w:val="21"/>
        </w:rPr>
        <w:t xml:space="preserve">API key rotation: API keys can be rotated (new key generated, old key invalidated) from the Admin Console without service interruption if the consuming application updates its key before the old one is invalidated. Old key grace period: 24 hours configurable.</w:t>
      </w:r>
    </w:p>
    <w:p>
      <w:pPr>
        <w:pStyle w:val="ListParagraph"/>
        <w:numPr>
          <w:ilvl w:val="0"/>
          <w:numId w:val="2"/>
        </w:numPr>
        <w:spacing w:before="0" w:after="60"/>
      </w:pPr>
      <w:r>
        <w:rPr>
          <w:rFonts w:ascii="Calibri" w:cs="Calibri" w:eastAsia="Calibri" w:hAnsi="Calibri"/>
          <w:color w:val="374151"/>
          <w:sz w:val="21"/>
          <w:szCs w:val="21"/>
        </w:rPr>
        <w:t xml:space="preserve">Webhook signatures: all outbound webhooks are signed with an HMAC-SHA256 signature using a per-endpoint secret. The receiving application must verify the signature before processing the payload.</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3. Authorisation and Role-Based Access Control</w:t>
      </w:r>
    </w:p>
    <w:p>
      <w:pPr>
        <w:pStyle w:val="Heading2"/>
        <w:spacing w:before="280" w:after="100"/>
      </w:pPr>
      <w:r>
        <w:rPr>
          <w:rFonts w:ascii="Georgia" w:cs="Georgia" w:eastAsia="Georgia" w:hAnsi="Georgia"/>
          <w:b/>
          <w:bCs/>
          <w:color w:val="1E40AF"/>
          <w:sz w:val="28"/>
          <w:szCs w:val="28"/>
        </w:rPr>
        <w:t xml:space="preserve">3.1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320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Who holds it</w:t>
            </w:r>
          </w:p>
        </w:tc>
        <w:tc>
          <w:tcPr>
            <w:tcW w:type="dxa" w:w="2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Data scope</w:t>
            </w:r>
          </w:p>
        </w:tc>
        <w:tc>
          <w:tcPr>
            <w:tcW w:type="dxa" w:w="3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Key permissions</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Super Admin</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Edstellar team or client IT admin. Provisioned by Edstellar.</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Full org — all data, all modules</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OrgSetup config · DataPort import · AI pipeline trigger · FrameworkBible edits (with re-approval) · User management · Level gate management · API key management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HR Head</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Senior HR leader. Tier 3 approver.</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Full org — all HR data including Highly Restricted</w:t>
            </w:r>
          </w:p>
        </w:tc>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Tier 3 approval · Assessment cycle config · LNA review · Succession pipeline · Board dashboards · Wellbeing individual scores · GDPR erasure · Level unlock</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Dept Head</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Department or BU leader. Tier 2 approver.</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Department scope only</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Tier 2 review · Dept gap analysis · Team dashboards · Succession (dept scope)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Manager</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Line manager of direct reports.</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Team scope — own direct reports only</w:t>
            </w:r>
          </w:p>
        </w:tc>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assessment for direct reports · Team Skills Matrix · IDP review · Wellbeing team aggregate (not individual scores)</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L&amp;D Manager / HRBP</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L&amp;D or HR Business Partner.</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Configurable: org-wide or department-scoped</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Assessment design · LNA review · Content outlines · Training calendar · Vendor management · L&amp;D project management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Employee</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Active Participant and View Only employees.</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Own data only</w:t>
            </w:r>
          </w:p>
        </w:tc>
        <w:tc>
          <w:tcPr>
            <w:tcW w:type="dxa" w:w="3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Self-assessment · IDP · Learning path · Wellbeing pulse · Skill Passport view and export · Own certifications</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Auditor</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Internal or external auditor. Provisioned by Super Admin with time and scope limits.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Audit trail and evidence packages only — configurable scope</w:t>
            </w:r>
          </w:p>
        </w:tc>
        <w:tc>
          <w:tcPr>
            <w:tcW w:type="dxa" w:w="3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View audit trail · Download evidence packages · Access compliance dashboard · Cannot view individual assessment responses or personal data beyond compliance scope</w:t>
            </w:r>
          </w:p>
        </w:tc>
      </w:tr>
    </w:tbl>
    <w:p>
      <w:pPr>
        <w:spacing w:before="0" w:after="80"/>
      </w:pPr>
    </w:p>
    <w:p>
      <w:pPr>
        <w:pStyle w:val="Heading2"/>
        <w:spacing w:before="280" w:after="100"/>
      </w:pPr>
      <w:r>
        <w:rPr>
          <w:rFonts w:ascii="Georgia" w:cs="Georgia" w:eastAsia="Georgia" w:hAnsi="Georgia"/>
          <w:b/>
          <w:bCs/>
          <w:color w:val="1E40AF"/>
          <w:sz w:val="28"/>
          <w:szCs w:val="28"/>
        </w:rPr>
        <w:t xml:space="preserve">3.2 RBAC Feature Permission Matrix</w:t>
      </w:r>
    </w:p>
    <w:p>
      <w:pPr>
        <w:spacing w:before="0" w:after="100"/>
      </w:pPr>
      <w:r>
        <w:rPr>
          <w:rFonts w:ascii="Calibri" w:cs="Calibri" w:eastAsia="Calibri" w:hAnsi="Calibri"/>
          <w:b w:val="false"/>
          <w:bCs w:val="false"/>
          <w:i w:val="false"/>
          <w:iCs w:val="false"/>
          <w:color w:val="374151"/>
          <w:sz w:val="22"/>
          <w:szCs w:val="22"/>
        </w:rPr>
        <w:t xml:space="preserve">The following matrix defines which roles can access which platform capabilities. This matrix is enforced at three layers: the database (RLS), the API middleware (JWT role check), and the UI (feature visibility gating).</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960"/>
        <w:gridCol w:w="960"/>
        <w:gridCol w:w="960"/>
        <w:gridCol w:w="960"/>
        <w:gridCol w:w="960"/>
        <w:gridCol w:w="960"/>
        <w:gridCol w:w="960"/>
        <w:gridCol w:w="960"/>
      </w:tblGrid>
      <w:tr>
        <w:tc>
          <w:tcPr>
            <w:tcW w:type="dxa" w:w="2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Feature / Data</w:t>
            </w:r>
          </w:p>
        </w:tc>
        <w:tc>
          <w:tcPr>
            <w:tcW w:type="dxa" w:w="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S.Adm</w:t>
            </w:r>
          </w:p>
        </w:tc>
        <w:tc>
          <w:tcPr>
            <w:tcW w:type="dxa" w:w="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HR Hd</w:t>
            </w:r>
          </w:p>
        </w:tc>
        <w:tc>
          <w:tcPr>
            <w:tcW w:type="dxa" w:w="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Dept Hd</w:t>
            </w:r>
          </w:p>
        </w:tc>
        <w:tc>
          <w:tcPr>
            <w:tcW w:type="dxa" w:w="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Mgr</w:t>
            </w:r>
          </w:p>
        </w:tc>
        <w:tc>
          <w:tcPr>
            <w:tcW w:type="dxa" w:w="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L&amp;D/BP</w:t>
            </w:r>
          </w:p>
        </w:tc>
        <w:tc>
          <w:tcPr>
            <w:tcW w:type="dxa" w:w="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Emp</w:t>
            </w:r>
          </w:p>
        </w:tc>
        <w:tc>
          <w:tcPr>
            <w:tcW w:type="dxa" w:w="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Audit</w:t>
            </w:r>
          </w:p>
        </w:tc>
        <w:tc>
          <w:tcPr>
            <w:tcW w:type="dxa" w:w="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Ed.Int</w:t>
            </w:r>
          </w:p>
        </w:tc>
      </w:tr>
      <w:tr>
        <w:tc>
          <w:tcPr>
            <w:tcW w:type="dxa" w:w="2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OrgSetup configuration</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Read</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Read</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r>
      <w:tr>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DataPort import and manual entry</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r>
      <w:tr>
        <w:tc>
          <w:tcPr>
            <w:tcW w:type="dxa" w:w="2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Employee records (aggregate)</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Team</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Scoped</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r>
      <w:tr>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Skills Matrix (validated)</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Team</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Scoped</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r>
      <w:tr>
        <w:tc>
          <w:tcPr>
            <w:tcW w:type="dxa" w:w="2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LNA / LNI outputs</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Team</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Scoped</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 LNI</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Aggregate</w:t>
            </w:r>
          </w:p>
        </w:tc>
      </w:tr>
      <w:tr>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Wellbeing individual score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HR Hd only</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r>
      <w:tr>
        <w:tc>
          <w:tcPr>
            <w:tcW w:type="dxa" w:w="2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Wellbeing team aggregate</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Org</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Org</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Team (≥5)</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Scoped</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r>
      <w:tr>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Psychometric results</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Org</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Scoped HR</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 only</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r>
      <w:tr>
        <w:tc>
          <w:tcPr>
            <w:tcW w:type="dxa" w:w="2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Performance correlation data</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scope</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r>
      <w:tr>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Succession pipeline — names</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r>
      <w:tr>
        <w:tc>
          <w:tcPr>
            <w:tcW w:type="dxa" w:w="2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Assessment raw responses</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Scoped</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 only</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r>
      <w:tr>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Audit trail</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Full</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Full</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Scoped</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Internal</w:t>
            </w:r>
          </w:p>
        </w:tc>
      </w:tr>
      <w:tr>
        <w:tc>
          <w:tcPr>
            <w:tcW w:type="dxa" w:w="236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InsightBoard dashboards</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All</w:t>
            </w:r>
          </w:p>
        </w:tc>
        <w:tc>
          <w:tcPr>
            <w:tcW w:type="dxa" w:w="96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All</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Dept</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Team</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Scoped</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w:t>
            </w:r>
          </w:p>
        </w:tc>
        <w:tc>
          <w:tcPr>
            <w:tcW w:type="dxa" w:w="9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Internal</w:t>
            </w:r>
          </w:p>
        </w:tc>
      </w:tr>
      <w:tr>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Opportunity Intelligence (internal)</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 Acct Mgr</w:t>
            </w:r>
          </w:p>
        </w:tc>
      </w:tr>
    </w:tbl>
    <w:p>
      <w:pPr>
        <w:spacing w:before="0" w:after="60"/>
      </w:pPr>
    </w:p>
    <w:p>
      <w:pPr>
        <w:spacing w:before="0" w:after="100"/>
      </w:pPr>
      <w:r>
        <w:rPr>
          <w:rFonts w:ascii="Calibri" w:cs="Calibri" w:eastAsia="Calibri" w:hAnsi="Calibri"/>
          <w:b w:val="false"/>
          <w:bCs w:val="false"/>
          <w:i/>
          <w:iCs/>
          <w:color w:val="6B7280"/>
          <w:sz w:val="19"/>
          <w:szCs w:val="19"/>
        </w:rPr>
        <w:t xml:space="preserve">Key: ✓ = full access · Dept = department-scoped · Team = direct report team only · Self = own data only · Scoped = configured scope (org-wide or dept) · ✗ = no access · Ed.Int = Edstellar Internal (account managers, commercial directors, marketplace ops)</w:t>
      </w:r>
    </w:p>
    <w:p>
      <w:pPr>
        <w:spacing w:before="0" w:after="80"/>
      </w:pPr>
    </w:p>
    <w:p>
      <w:pPr>
        <w:pStyle w:val="Heading2"/>
        <w:spacing w:before="280" w:after="100"/>
      </w:pPr>
      <w:r>
        <w:rPr>
          <w:rFonts w:ascii="Georgia" w:cs="Georgia" w:eastAsia="Georgia" w:hAnsi="Georgia"/>
          <w:b/>
          <w:bCs/>
          <w:color w:val="1E40AF"/>
          <w:sz w:val="28"/>
          <w:szCs w:val="28"/>
        </w:rPr>
        <w:t xml:space="preserve">3.3 Level Gating — Technical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0"/>
              <w:left w:val="single" w:color="1D4ED8" w:sz="16"/>
              <w:bottom w:val="single" w:color="1D4ED8" w:sz="4"/>
              <w:right w:val="single" w:color="1D4ED8" w:sz="4"/>
            </w:tcBorders>
            <w:shd w:fill="EFF6FF" w:val="clear"/>
            <w:tcMar>
              <w:top w:type="dxa" w:w="120"/>
              <w:left w:type="dxa" w:w="200"/>
              <w:bottom w:type="dxa" w:w="120"/>
              <w:right w:type="dxa" w:w="160"/>
            </w:tcMar>
          </w:tcPr>
          <w:p>
            <w:pPr>
              <w:spacing w:before="0" w:after="60"/>
            </w:pPr>
            <w:r>
              <w:rPr>
                <w:rFonts w:ascii="Calibri" w:cs="Calibri" w:eastAsia="Calibri" w:hAnsi="Calibri"/>
                <w:b/>
                <w:bCs/>
                <w:caps/>
                <w:color w:val="1D4ED8"/>
                <w:sz w:val="18"/>
                <w:szCs w:val="18"/>
              </w:rPr>
              <w:t xml:space="preserve">SEC-AUTH-L1  </w:t>
            </w:r>
            <w:r>
              <w:rPr>
                <w:rFonts w:ascii="Calibri" w:cs="Calibri" w:eastAsia="Calibri" w:hAnsi="Calibri"/>
                <w:b/>
                <w:bCs/>
                <w:color w:val="0F172A"/>
                <w:sz w:val="22"/>
                <w:szCs w:val="22"/>
              </w:rPr>
              <w:t xml:space="preserve">L2 features are technically invisible until L1 is complete</w:t>
            </w:r>
          </w:p>
          <w:p>
            <w:pPr>
              <w:spacing w:before="0" w:after="0"/>
            </w:pPr>
            <w:r>
              <w:rPr>
                <w:rFonts w:ascii="Calibri" w:cs="Calibri" w:eastAsia="Calibri" w:hAnsi="Calibri"/>
                <w:color w:val="374151"/>
                <w:sz w:val="20"/>
                <w:szCs w:val="20"/>
              </w:rPr>
              <w:t xml:space="preserve">Level gating is enforced at the database query layer — not the UI. When the org's current_level = 1, all API endpoints that return L2 data return a 403 Forbidden response with error code LEVEL_GATE_LOCKED. The feature is not hidden in the UI after a data check — the data layer prevents it from being served. Attempting to access L2 endpoints at L1 is a security event logged in the audit trail.</w:t>
            </w:r>
          </w:p>
        </w:tc>
      </w:tr>
    </w:tbl>
    <w:p>
      <w:pPr>
        <w:spacing w:before="0" w:after="10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4. Encryption</w:t>
      </w:r>
    </w:p>
    <w:p>
      <w:pPr>
        <w:pStyle w:val="Heading2"/>
        <w:spacing w:before="280" w:after="100"/>
      </w:pPr>
      <w:r>
        <w:rPr>
          <w:rFonts w:ascii="Georgia" w:cs="Georgia" w:eastAsia="Georgia" w:hAnsi="Georgia"/>
          <w:b/>
          <w:bCs/>
          <w:color w:val="1E40AF"/>
          <w:sz w:val="28"/>
          <w:szCs w:val="28"/>
        </w:rPr>
        <w:t xml:space="preserve">4.1 Encryption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What is encrypted</w:t>
            </w:r>
          </w:p>
        </w:tc>
        <w:tc>
          <w:tcPr>
            <w:tcW w:type="dxa" w:w="2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Algorithm and key</w:t>
            </w:r>
          </w:p>
        </w:tc>
        <w:tc>
          <w:tcPr>
            <w:tcW w:type="dxa" w:w="4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Key management</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Database — all tables</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AES-256 (transparent database encryption)</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AWS RDS storage-level encryption. Keys managed by AWS KMS. Key rotation every 365 days.</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File storage (S3)</w:t>
            </w:r>
          </w:p>
        </w:tc>
        <w:tc>
          <w:tcPr>
            <w:tcW w:type="dxa" w:w="2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AES-256 (SSE-S3 or SSE-KMS)</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SSE-KMS for all buckets containing employee data. Each tenant's files in a prefix-isolated path.</w:t>
            </w:r>
          </w:p>
        </w:tc>
      </w:tr>
      <w:tr>
        <w:tc>
          <w:tcPr>
            <w:tcW w:type="dxa" w:w="24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Highly Restricted fields (field-level)</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AES-256-GCM (application-level field encryption)</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Per-tenant encryption keys stored in HashiCorp Vault or AWS Secrets Manager. Keys never stored in the database. Key rotation capability required.</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Passwords</w:t>
            </w:r>
          </w:p>
        </w:tc>
        <w:tc>
          <w:tcPr>
            <w:tcW w:type="dxa" w:w="2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bcrypt (work factor 12)</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Salted per-password hash. No master key. Irreversible by design.</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API keys and secrets</w:t>
            </w:r>
          </w:p>
        </w:tc>
        <w:tc>
          <w:tcPr>
            <w:tcW w:type="dxa" w:w="2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SHA-256 hash of the key stored</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Vault stores the hash. Plaintext shown once on generation only. Key not recoverable — only regeneratable.</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Backup data</w:t>
            </w:r>
          </w:p>
        </w:tc>
        <w:tc>
          <w:tcPr>
            <w:tcW w:type="dxa" w:w="2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AES-256</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Separate KMS keys for backup encryption. Backup keys stored in a different region from primary data.</w:t>
            </w:r>
          </w:p>
        </w:tc>
      </w:tr>
    </w:tbl>
    <w:p>
      <w:pPr>
        <w:spacing w:before="0" w:after="80"/>
      </w:pPr>
    </w:p>
    <w:p>
      <w:pPr>
        <w:pStyle w:val="Heading2"/>
        <w:spacing w:before="280" w:after="100"/>
      </w:pPr>
      <w:r>
        <w:rPr>
          <w:rFonts w:ascii="Georgia" w:cs="Georgia" w:eastAsia="Georgia" w:hAnsi="Georgia"/>
          <w:b/>
          <w:bCs/>
          <w:color w:val="1E40AF"/>
          <w:sz w:val="28"/>
          <w:szCs w:val="28"/>
        </w:rPr>
        <w:t xml:space="preserve">4.2 Field-Level Encryption — Highly Restricted Data</w:t>
      </w:r>
    </w:p>
    <w:p>
      <w:pPr>
        <w:spacing w:before="0" w:after="100"/>
      </w:pPr>
      <w:r>
        <w:rPr>
          <w:rFonts w:ascii="Calibri" w:cs="Calibri" w:eastAsia="Calibri" w:hAnsi="Calibri"/>
          <w:b w:val="false"/>
          <w:bCs w:val="false"/>
          <w:i w:val="false"/>
          <w:iCs w:val="false"/>
          <w:color w:val="374151"/>
          <w:sz w:val="22"/>
          <w:szCs w:val="22"/>
        </w:rPr>
        <w:t xml:space="preserve">The following fields are encrypted at the application layer before writing to the database, using per-tenant AES-256-GCM keys. This means even a direct database read (e.g. by a compromised DBA account) returns ciphertext, not the sensitive value.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Table.Field</w:t>
            </w:r>
          </w:p>
        </w:tc>
        <w:tc>
          <w:tcPr>
            <w:tcW w:type="dxa" w:w="2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Sensitivity category</w:t>
            </w:r>
          </w:p>
        </w:tc>
        <w:tc>
          <w:tcPr>
            <w:tcW w:type="dxa" w:w="4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Rationale</w:t>
            </w:r>
          </w:p>
        </w:tc>
      </w:tr>
      <w:tr>
        <w:tc>
          <w:tcPr>
            <w:tcW w:type="dxa" w:w="2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wellbeing_scores.risk_score</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Highly Restricted — Wellbeing</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Individual Burnout Risk Score. Highest privacy sensitivity. Even database administrators must not be able to read individual scores.</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wellbeing_scores.contributing_signals.*</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Highly Restricted — Wellbeing</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The raw signal values (pulse trend, meeting hours) that drive the risk score.</w:t>
            </w:r>
          </w:p>
        </w:tc>
      </w:tr>
      <w:tr>
        <w:tc>
          <w:tcPr>
            <w:tcW w:type="dxa" w:w="2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assessment_responses.responses (JSONB)</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Highly Restricted — where psychometric</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Psychometric and personality assessment raw responses. Applied selectively based on cycle_type.</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employees.clearance_level</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Restricted</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Security clearance level. Applicable in government and defence deployments.</w:t>
            </w:r>
          </w:p>
        </w:tc>
      </w:tr>
    </w:tbl>
    <w:p>
      <w:pPr>
        <w:spacing w:before="0" w:after="80"/>
      </w:pPr>
    </w:p>
    <w:p>
      <w:pPr>
        <w:pStyle w:val="Heading2"/>
        <w:spacing w:before="280" w:after="100"/>
      </w:pPr>
      <w:r>
        <w:rPr>
          <w:rFonts w:ascii="Georgia" w:cs="Georgia" w:eastAsia="Georgia" w:hAnsi="Georgia"/>
          <w:b/>
          <w:bCs/>
          <w:color w:val="1E40AF"/>
          <w:sz w:val="28"/>
          <w:szCs w:val="28"/>
        </w:rPr>
        <w:t xml:space="preserve">4.3 Encryption in Transit</w:t>
      </w:r>
    </w:p>
    <w:p>
      <w:pPr>
        <w:pStyle w:val="ListParagraph"/>
        <w:numPr>
          <w:ilvl w:val="0"/>
          <w:numId w:val="2"/>
        </w:numPr>
        <w:spacing w:before="0" w:after="60"/>
      </w:pPr>
      <w:r>
        <w:rPr>
          <w:rFonts w:ascii="Calibri" w:cs="Calibri" w:eastAsia="Calibri" w:hAnsi="Calibri"/>
          <w:color w:val="374151"/>
          <w:sz w:val="21"/>
          <w:szCs w:val="21"/>
        </w:rPr>
        <w:t xml:space="preserve">All client-server communication: TLS 1.3 mandatory. TLS 1.2 permitted as fallback for legacy integrations only, with a sunset plan. TLS 1.0 and 1.1 are not supported.</w:t>
      </w:r>
    </w:p>
    <w:p>
      <w:pPr>
        <w:pStyle w:val="ListParagraph"/>
        <w:numPr>
          <w:ilvl w:val="0"/>
          <w:numId w:val="2"/>
        </w:numPr>
        <w:spacing w:before="0" w:after="60"/>
      </w:pPr>
      <w:r>
        <w:rPr>
          <w:rFonts w:ascii="Calibri" w:cs="Calibri" w:eastAsia="Calibri" w:hAnsi="Calibri"/>
          <w:color w:val="374151"/>
          <w:sz w:val="21"/>
          <w:szCs w:val="21"/>
        </w:rPr>
        <w:t xml:space="preserve">Certificate management: TLS certificates issued by a trusted CA (Let's Encrypt for SaaS deployment, or client-provided for on-premise). Certificate expiry monitored with a 30-day advance alert.</w:t>
      </w:r>
    </w:p>
    <w:p>
      <w:pPr>
        <w:pStyle w:val="ListParagraph"/>
        <w:numPr>
          <w:ilvl w:val="0"/>
          <w:numId w:val="2"/>
        </w:numPr>
        <w:spacing w:before="0" w:after="60"/>
      </w:pPr>
      <w:r>
        <w:rPr>
          <w:rFonts w:ascii="Calibri" w:cs="Calibri" w:eastAsia="Calibri" w:hAnsi="Calibri"/>
          <w:color w:val="374151"/>
          <w:sz w:val="21"/>
          <w:szCs w:val="21"/>
        </w:rPr>
        <w:t xml:space="preserve">HSTS: HTTP Strict Transport Security header with max-age=31536000 and includeSubDomains on all portal domains. Prevents protocol downgrade attacks.</w:t>
      </w:r>
    </w:p>
    <w:p>
      <w:pPr>
        <w:pStyle w:val="ListParagraph"/>
        <w:numPr>
          <w:ilvl w:val="0"/>
          <w:numId w:val="2"/>
        </w:numPr>
        <w:spacing w:before="0" w:after="60"/>
      </w:pPr>
      <w:r>
        <w:rPr>
          <w:rFonts w:ascii="Calibri" w:cs="Calibri" w:eastAsia="Calibri" w:hAnsi="Calibri"/>
          <w:color w:val="374151"/>
          <w:sz w:val="21"/>
          <w:szCs w:val="21"/>
        </w:rPr>
        <w:t xml:space="preserve">Internal service communication (microservices): all internal API calls use mutual TLS (mTLS) where services communicate over a private network. No plaintext internal HTTP.</w:t>
      </w:r>
    </w:p>
    <w:p>
      <w:pPr>
        <w:pStyle w:val="ListParagraph"/>
        <w:numPr>
          <w:ilvl w:val="0"/>
          <w:numId w:val="2"/>
        </w:numPr>
        <w:spacing w:before="0" w:after="60"/>
      </w:pPr>
      <w:r>
        <w:rPr>
          <w:rFonts w:ascii="Calibri" w:cs="Calibri" w:eastAsia="Calibri" w:hAnsi="Calibri"/>
          <w:color w:val="374151"/>
          <w:sz w:val="21"/>
          <w:szCs w:val="21"/>
        </w:rPr>
        <w:t xml:space="preserve">Claude API communication: all calls to the Anthropic Claude API use TLS 1.3. API keys are transmitted in the Authorization header (HTTPS only — never in query parameters or logs).</w:t>
      </w:r>
    </w:p>
    <w:p>
      <w:pPr>
        <w:pStyle w:val="ListParagraph"/>
        <w:numPr>
          <w:ilvl w:val="0"/>
          <w:numId w:val="2"/>
        </w:numPr>
        <w:spacing w:before="0" w:after="60"/>
      </w:pPr>
      <w:r>
        <w:rPr>
          <w:rFonts w:ascii="Calibri" w:cs="Calibri" w:eastAsia="Calibri" w:hAnsi="Calibri"/>
          <w:color w:val="374151"/>
          <w:sz w:val="21"/>
          <w:szCs w:val="21"/>
        </w:rPr>
        <w:t xml:space="preserve">Database connections: all application-to-database connections use TLS. Connection strings never contain plaintext credentials — credentials injected from Vault at application startup.</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5. Data Privacy — GDPR, DPDP, and Market-Specific Requirements</w:t>
      </w:r>
    </w:p>
    <w:p>
      <w:pPr>
        <w:pStyle w:val="Heading2"/>
        <w:spacing w:before="280" w:after="100"/>
      </w:pPr>
      <w:r>
        <w:rPr>
          <w:rFonts w:ascii="Georgia" w:cs="Georgia" w:eastAsia="Georgia" w:hAnsi="Georgia"/>
          <w:b/>
          <w:bCs/>
          <w:color w:val="1E40AF"/>
          <w:sz w:val="28"/>
          <w:szCs w:val="28"/>
        </w:rPr>
        <w:t xml:space="preserve">5.1 Data Controller and Processor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Entity</w:t>
            </w:r>
          </w:p>
        </w:tc>
        <w:tc>
          <w:tcPr>
            <w:tcW w:type="dxa" w:w="6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Role and Obligation</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Client Organisation</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Controller. Determines the purposes and means of processing employee personal data. Responsible for obtaining employee consent where required, managing employee rights requests, and maintaining their own Record of Processing Activities (ROPA). Edstellar provides the Data Processing Agreement (DPA) as part of the commercial contract.</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Edstellar</w:t>
            </w:r>
          </w:p>
        </w:tc>
        <w:tc>
          <w:tcPr>
            <w:tcW w:type="dxa" w:w="6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Processor for client employee data. Processes personal data only on documented instructions from the Controller (the client). Maintains its own sub-processor list. Provides technical and organisational measures (TOMs) to support the Controller's compliance obligations. Signs the DPA with each client.</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Anthropic (Claude API)</w:t>
            </w:r>
          </w:p>
        </w:tc>
        <w:tc>
          <w:tcPr>
            <w:tcW w:type="dxa" w:w="6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Sub-processor for AI processing. Edstellar's use of the Claude API for employee data processing is covered in the sub-processor schedule of the DPA. Edstellar uses the zero data retention (ZDR) API configuration where available — prompts and completions are not stored by Anthropic for training purposes.</w:t>
            </w:r>
          </w:p>
        </w:tc>
      </w:tr>
    </w:tbl>
    <w:p>
      <w:pPr>
        <w:spacing w:before="0" w:after="80"/>
      </w:pPr>
    </w:p>
    <w:p>
      <w:pPr>
        <w:pStyle w:val="Heading2"/>
        <w:spacing w:before="280" w:after="100"/>
      </w:pPr>
      <w:r>
        <w:rPr>
          <w:rFonts w:ascii="Georgia" w:cs="Georgia" w:eastAsia="Georgia" w:hAnsi="Georgia"/>
          <w:b/>
          <w:bCs/>
          <w:color w:val="1E40AF"/>
          <w:sz w:val="28"/>
          <w:szCs w:val="28"/>
        </w:rPr>
        <w:t xml:space="preserve">5.2 Lawful Basis for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Processing Activity</w:t>
            </w:r>
          </w:p>
        </w:tc>
        <w:tc>
          <w:tcPr>
            <w:tcW w:type="dxa" w:w="2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Lawful Basis</w:t>
            </w:r>
          </w:p>
        </w:tc>
        <w:tc>
          <w:tcPr>
            <w:tcW w:type="dxa" w:w="4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Employee master data (HR records)</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Legitimate interests / Contract</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Processing necessary for employment administration. Client org is the employer.</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Skills assessment (manager + self)</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Legitimate interests</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Performance and development management. Employees informed via platform onboarding. Organisation can configure opt-out for non-mandatory assessments.</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Psychometric and personality assessments</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Explicit consent</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Consent required before psychometric data is collected. Consent captured in the Employee Portal before assessment is launched. Consent is granular — employee can consent to psychometric but not personality, etc. Consent log stored in consent_records table.</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Wellbeing pulse survey</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Legitimate interests (anonymous) / Consent (if personalised)</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Anonymous surveys: legitimate interests. If any personalisation is applied to results (e.g. individual trend tracking), explicit consent is required.</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Resume / CV data</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Contract / Legitimate interests</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Resume data collected as part of employment onboarding or role evaluation. Employee informed when their resume is parsed. Employee can review and reject extracted data points.</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Skill Passport verification (external)</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Explicit consent</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must explicitly consent before verification is enabled. Consent is granular and revocable. Employee is notified on every verification access event.</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AI-generated framework (org-level)</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Legitimate interests</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SkillForge uses workforce data to generate org-level skills and competency frameworks. No individual is identified in the AI output at this stage.</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AI-generated employee baselines</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Legitimate interests</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Estimates stored as AI-estimated and clearly labelled. Employee can view and dispute their baseline via the Employee Portal.</w:t>
            </w:r>
          </w:p>
        </w:tc>
      </w:tr>
    </w:tbl>
    <w:p>
      <w:pPr>
        <w:spacing w:before="0" w:after="80"/>
      </w:pPr>
    </w:p>
    <w:p>
      <w:pPr>
        <w:pStyle w:val="Heading2"/>
        <w:spacing w:before="280" w:after="100"/>
      </w:pPr>
      <w:r>
        <w:rPr>
          <w:rFonts w:ascii="Georgia" w:cs="Georgia" w:eastAsia="Georgia" w:hAnsi="Georgia"/>
          <w:b/>
          <w:bCs/>
          <w:color w:val="1E40AF"/>
          <w:sz w:val="28"/>
          <w:szCs w:val="28"/>
        </w:rPr>
        <w:t xml:space="preserve">5.3 Individual Rights Implementation</w:t>
      </w:r>
    </w:p>
    <w:p>
      <w:pPr>
        <w:pStyle w:val="Heading3"/>
        <w:spacing w:before="200" w:after="80"/>
      </w:pPr>
      <w:r>
        <w:rPr>
          <w:rFonts w:ascii="Calibri" w:cs="Calibri" w:eastAsia="Calibri" w:hAnsi="Calibri"/>
          <w:b/>
          <w:bCs/>
          <w:color w:val="1D4ED8"/>
          <w:sz w:val="24"/>
          <w:szCs w:val="24"/>
        </w:rPr>
        <w:t xml:space="preserve">Right to Access (Article 15 GDPR)</w:t>
      </w:r>
    </w:p>
    <w:p>
      <w:pPr>
        <w:pStyle w:val="ListParagraph"/>
        <w:numPr>
          <w:ilvl w:val="0"/>
          <w:numId w:val="2"/>
        </w:numPr>
        <w:spacing w:before="0" w:after="60"/>
      </w:pPr>
      <w:r>
        <w:rPr>
          <w:rFonts w:ascii="Calibri" w:cs="Calibri" w:eastAsia="Calibri" w:hAnsi="Calibri"/>
          <w:color w:val="374151"/>
          <w:sz w:val="21"/>
          <w:szCs w:val="21"/>
        </w:rPr>
        <w:t xml:space="preserve">Employees can export their complete personal data package at any time from the Employee Portal — not just on exit. The export includes: personal identifiers, skill levels (estimated and validated), assessment responses (own responses only), development plan history, training records, certifications, and wellbeing pulse responses.</w:t>
      </w:r>
    </w:p>
    <w:p>
      <w:pPr>
        <w:pStyle w:val="ListParagraph"/>
        <w:numPr>
          <w:ilvl w:val="0"/>
          <w:numId w:val="2"/>
        </w:numPr>
        <w:spacing w:before="0" w:after="60"/>
      </w:pPr>
      <w:r>
        <w:rPr>
          <w:rFonts w:ascii="Calibri" w:cs="Calibri" w:eastAsia="Calibri" w:hAnsi="Calibri"/>
          <w:color w:val="374151"/>
          <w:sz w:val="21"/>
          <w:szCs w:val="21"/>
        </w:rPr>
        <w:t xml:space="preserve">The export is generated as a structured JSON file and a human-readable PDF. Available within 24 hours of request (automated — not manual).</w:t>
      </w:r>
    </w:p>
    <w:p>
      <w:pPr>
        <w:pStyle w:val="ListParagraph"/>
        <w:numPr>
          <w:ilvl w:val="0"/>
          <w:numId w:val="2"/>
        </w:numPr>
        <w:spacing w:before="0" w:after="60"/>
      </w:pPr>
      <w:r>
        <w:rPr>
          <w:rFonts w:ascii="Calibri" w:cs="Calibri" w:eastAsia="Calibri" w:hAnsi="Calibri"/>
          <w:color w:val="374151"/>
          <w:sz w:val="21"/>
          <w:szCs w:val="21"/>
        </w:rPr>
        <w:t xml:space="preserve">What is excluded from the subject access export: assessment responses submitted about this employee by other people (e.g. manager assessment scores are accessible to the employee, but the manager's free-text observation notes require a manual review by HR before inclusion).</w:t>
      </w:r>
    </w:p>
    <w:p>
      <w:pPr>
        <w:spacing w:before="0" w:after="60"/>
      </w:pPr>
    </w:p>
    <w:p>
      <w:pPr>
        <w:pStyle w:val="Heading3"/>
        <w:spacing w:before="200" w:after="80"/>
      </w:pPr>
      <w:r>
        <w:rPr>
          <w:rFonts w:ascii="Calibri" w:cs="Calibri" w:eastAsia="Calibri" w:hAnsi="Calibri"/>
          <w:b/>
          <w:bCs/>
          <w:color w:val="1D4ED8"/>
          <w:sz w:val="24"/>
          <w:szCs w:val="24"/>
        </w:rPr>
        <w:t xml:space="preserve">Right to Erasure (Article 17 GDPR)</w:t>
      </w:r>
    </w:p>
    <w:p>
      <w:pPr>
        <w:pStyle w:val="ListParagraph"/>
        <w:numPr>
          <w:ilvl w:val="0"/>
          <w:numId w:val="2"/>
        </w:numPr>
        <w:spacing w:before="0" w:after="60"/>
      </w:pPr>
      <w:r>
        <w:rPr>
          <w:rFonts w:ascii="Calibri" w:cs="Calibri" w:eastAsia="Calibri" w:hAnsi="Calibri"/>
          <w:color w:val="374151"/>
          <w:sz w:val="21"/>
          <w:szCs w:val="21"/>
        </w:rPr>
        <w:t xml:space="preserve">Trigger: HR Admin initiates a GDPR erasure request from the employee's record, or the employee submits a deletion request from their Employee Portal. The employee must confirm the request (the platform warns that deletion is irreversible and includes what will be deleted and what will be retained).</w:t>
      </w:r>
    </w:p>
    <w:p>
      <w:pPr>
        <w:pStyle w:val="ListParagraph"/>
        <w:numPr>
          <w:ilvl w:val="0"/>
          <w:numId w:val="2"/>
        </w:numPr>
        <w:spacing w:before="0" w:after="60"/>
      </w:pPr>
      <w:r>
        <w:rPr>
          <w:rFonts w:ascii="Calibri" w:cs="Calibri" w:eastAsia="Calibri" w:hAnsi="Calibri"/>
          <w:color w:val="374151"/>
          <w:sz w:val="21"/>
          <w:szCs w:val="21"/>
        </w:rPr>
        <w:t xml:space="preserve">What is deleted: all personal identifiers (name, email, employee code), all skill level records attributed to this individual, all assessment responses, all development plan records, all training records linked to this individual, the Skill Passport, resume data, and wellbeing data.</w:t>
      </w:r>
    </w:p>
    <w:p>
      <w:pPr>
        <w:pStyle w:val="ListParagraph"/>
        <w:numPr>
          <w:ilvl w:val="0"/>
          <w:numId w:val="2"/>
        </w:numPr>
        <w:spacing w:before="0" w:after="60"/>
      </w:pPr>
      <w:r>
        <w:rPr>
          <w:rFonts w:ascii="Calibri" w:cs="Calibri" w:eastAsia="Calibri" w:hAnsi="Calibri"/>
          <w:color w:val="374151"/>
          <w:sz w:val="21"/>
          <w:szCs w:val="21"/>
        </w:rPr>
        <w:t xml:space="preserve">What is retained (anonymised): the employee's contribution to aggregate analytics (e.g. their proficiency scores are retained in aggregate skill coverage counts as an anonymous data point). The audit trail entries for this employee's data changes are retained in anonymised form (employee_id replaced with a hash). Certificates that were issued and shared externally are retained in the certificate registry but the employee_id is anonymised.</w:t>
      </w:r>
    </w:p>
    <w:p>
      <w:pPr>
        <w:pStyle w:val="ListParagraph"/>
        <w:numPr>
          <w:ilvl w:val="0"/>
          <w:numId w:val="2"/>
        </w:numPr>
        <w:spacing w:before="0" w:after="60"/>
      </w:pPr>
      <w:r>
        <w:rPr>
          <w:rFonts w:ascii="Calibri" w:cs="Calibri" w:eastAsia="Calibri" w:hAnsi="Calibri"/>
          <w:color w:val="374151"/>
          <w:sz w:val="21"/>
          <w:szCs w:val="21"/>
        </w:rPr>
        <w:t xml:space="preserve">Execution timeline: deletion of personal data fields is executed within 72 hours of a confirmed erasure request. The erasure is logged in the audit trail with the legal basis, the data categories deleted, and the data categories retained with anonymisation applied.</w:t>
      </w:r>
    </w:p>
    <w:p>
      <w:pPr>
        <w:pStyle w:val="ListParagraph"/>
        <w:numPr>
          <w:ilvl w:val="0"/>
          <w:numId w:val="2"/>
        </w:numPr>
        <w:spacing w:before="0" w:after="60"/>
      </w:pPr>
      <w:r>
        <w:rPr>
          <w:rFonts w:ascii="Calibri" w:cs="Calibri" w:eastAsia="Calibri" w:hAnsi="Calibri"/>
          <w:color w:val="374151"/>
          <w:sz w:val="21"/>
          <w:szCs w:val="21"/>
        </w:rPr>
        <w:t xml:space="preserve">Verification: on completion, HR Admin receives a deletion confirmation report listing what was deleted and what was retained, with the anonymisation applied described. This report is the compliance evidence for the erasure obligation.</w:t>
      </w:r>
    </w:p>
    <w:p>
      <w:pPr>
        <w:spacing w:before="0" w:after="60"/>
      </w:pPr>
    </w:p>
    <w:p>
      <w:pPr>
        <w:pStyle w:val="Heading3"/>
        <w:spacing w:before="200" w:after="80"/>
      </w:pPr>
      <w:r>
        <w:rPr>
          <w:rFonts w:ascii="Calibri" w:cs="Calibri" w:eastAsia="Calibri" w:hAnsi="Calibri"/>
          <w:b/>
          <w:bCs/>
          <w:color w:val="1D4ED8"/>
          <w:sz w:val="24"/>
          <w:szCs w:val="24"/>
        </w:rPr>
        <w:t xml:space="preserve">Right to Portability (Article 20 GDPR)</w:t>
      </w:r>
    </w:p>
    <w:p>
      <w:pPr>
        <w:pStyle w:val="ListParagraph"/>
        <w:numPr>
          <w:ilvl w:val="0"/>
          <w:numId w:val="2"/>
        </w:numPr>
        <w:spacing w:before="0" w:after="60"/>
      </w:pPr>
      <w:r>
        <w:rPr>
          <w:rFonts w:ascii="Calibri" w:cs="Calibri" w:eastAsia="Calibri" w:hAnsi="Calibri"/>
          <w:color w:val="374151"/>
          <w:sz w:val="21"/>
          <w:szCs w:val="21"/>
        </w:rPr>
        <w:t xml:space="preserve">The full personal data export (described under Right to Access) is the portability mechanism. Format: machine-readable JSON.</w:t>
      </w:r>
    </w:p>
    <w:p>
      <w:pPr>
        <w:pStyle w:val="ListParagraph"/>
        <w:numPr>
          <w:ilvl w:val="0"/>
          <w:numId w:val="2"/>
        </w:numPr>
        <w:spacing w:before="0" w:after="60"/>
      </w:pPr>
      <w:r>
        <w:rPr>
          <w:rFonts w:ascii="Calibri" w:cs="Calibri" w:eastAsia="Calibri" w:hAnsi="Calibri"/>
          <w:color w:val="374151"/>
          <w:sz w:val="21"/>
          <w:szCs w:val="21"/>
        </w:rPr>
        <w:t xml:space="preserve">The Skill Passport PDF export is a human-readable version of the same data — not a full portability export.</w:t>
      </w:r>
    </w:p>
    <w:p>
      <w:pPr>
        <w:spacing w:before="0" w:after="60"/>
      </w:pPr>
    </w:p>
    <w:p>
      <w:pPr>
        <w:pStyle w:val="Heading3"/>
        <w:spacing w:before="200" w:after="80"/>
      </w:pPr>
      <w:r>
        <w:rPr>
          <w:rFonts w:ascii="Calibri" w:cs="Calibri" w:eastAsia="Calibri" w:hAnsi="Calibri"/>
          <w:b/>
          <w:bCs/>
          <w:color w:val="1D4ED8"/>
          <w:sz w:val="24"/>
          <w:szCs w:val="24"/>
        </w:rPr>
        <w:t xml:space="preserve">Right to Rectification (Article 16 GDPR)</w:t>
      </w:r>
    </w:p>
    <w:p>
      <w:pPr>
        <w:pStyle w:val="ListParagraph"/>
        <w:numPr>
          <w:ilvl w:val="0"/>
          <w:numId w:val="2"/>
        </w:numPr>
        <w:spacing w:before="0" w:after="60"/>
      </w:pPr>
      <w:r>
        <w:rPr>
          <w:rFonts w:ascii="Calibri" w:cs="Calibri" w:eastAsia="Calibri" w:hAnsi="Calibri"/>
          <w:color w:val="374151"/>
          <w:sz w:val="21"/>
          <w:szCs w:val="21"/>
        </w:rPr>
        <w:t xml:space="preserve">Employee can update their own preferred name, contact details, and career aspirations from the Employee Portal.</w:t>
      </w:r>
    </w:p>
    <w:p>
      <w:pPr>
        <w:pStyle w:val="ListParagraph"/>
        <w:numPr>
          <w:ilvl w:val="0"/>
          <w:numId w:val="2"/>
        </w:numPr>
        <w:spacing w:before="0" w:after="60"/>
      </w:pPr>
      <w:r>
        <w:rPr>
          <w:rFonts w:ascii="Calibri" w:cs="Calibri" w:eastAsia="Calibri" w:hAnsi="Calibri"/>
          <w:color w:val="374151"/>
          <w:sz w:val="21"/>
          <w:szCs w:val="21"/>
        </w:rPr>
        <w:t xml:space="preserve">For fields controlled by HR Admin (employment type, seniority, department), employees can submit a correction request from the portal. HR Admin receives a notification and confirms or rejects the correction.</w:t>
      </w:r>
    </w:p>
    <w:p>
      <w:pPr>
        <w:pStyle w:val="ListParagraph"/>
        <w:numPr>
          <w:ilvl w:val="0"/>
          <w:numId w:val="2"/>
        </w:numPr>
        <w:spacing w:before="0" w:after="60"/>
      </w:pPr>
      <w:r>
        <w:rPr>
          <w:rFonts w:ascii="Calibri" w:cs="Calibri" w:eastAsia="Calibri" w:hAnsi="Calibri"/>
          <w:color w:val="374151"/>
          <w:sz w:val="21"/>
          <w:szCs w:val="21"/>
        </w:rPr>
        <w:t xml:space="preserve">Skill level corrections: employees can dispute an AI-estimated baseline or a validated assessment result. The dispute is routed to the L&amp;D Manager for review. All disputes and their outcomes are logged in the audit trail.</w:t>
      </w:r>
    </w:p>
    <w:p>
      <w:pPr>
        <w:spacing w:before="0" w:after="80"/>
      </w:pPr>
    </w:p>
    <w:p>
      <w:pPr>
        <w:pStyle w:val="Heading2"/>
        <w:spacing w:before="280" w:after="100"/>
      </w:pPr>
      <w:r>
        <w:rPr>
          <w:rFonts w:ascii="Georgia" w:cs="Georgia" w:eastAsia="Georgia" w:hAnsi="Georgia"/>
          <w:b/>
          <w:bCs/>
          <w:color w:val="1E40AF"/>
          <w:sz w:val="28"/>
          <w:szCs w:val="28"/>
        </w:rPr>
        <w:t xml:space="preserve">5.4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Data Category</w:t>
            </w:r>
          </w:p>
        </w:tc>
        <w:tc>
          <w:tcPr>
            <w:tcW w:type="dxa" w:w="2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Retention Period</w:t>
            </w:r>
          </w:p>
        </w:tc>
        <w:tc>
          <w:tcPr>
            <w:tcW w:type="dxa" w:w="4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Post-Retention Action</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Active employee personal data</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Duration of employment + 2 years</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After 2 years post-exit: personal identifiers anonymised. Aggregate contributions retained.</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Alumni Skill Passport (verification endpoint)</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2 years post-exit (configurable by org)</w:t>
            </w:r>
          </w:p>
        </w:tc>
        <w:tc>
          <w:tcPr>
            <w:tcW w:type="dxa" w:w="4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Verification endpoint deactivated. QR codes resolve to 'expired'. Employee optionally notified 30 days before expiry.</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Assessment raw responses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Duration of employment + 2 years</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Deleted as part of GDPR erasure flow or 2-year post-exit anonymisation.</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Wellbeing data (individual scores)</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13 months (rolling)</w:t>
            </w:r>
          </w:p>
        </w:tc>
        <w:tc>
          <w:tcPr>
            <w:tcW w:type="dxa" w:w="4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Scores older than 13 months are deleted. Team aggregates retained for trend analysis.</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Audit trail</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7 years (immutable)</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Entries with personal data are anonymised after the employment + 2 year period. The event and field records are retained.</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Certificates issued</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7 years (compliance record)</w:t>
            </w:r>
          </w:p>
        </w:tc>
        <w:tc>
          <w:tcPr>
            <w:tcW w:type="dxa" w:w="4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Certificate records retained for compliance purposes. Employee_id anonymised 2 years post-exit.</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AI pipeline outputs (SkillForge runs)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Duration of tenant contract + 1 year</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Deleted on tenant deactivation after the contract retention period.</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Deactivated tenant data (full org)</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Configurable: standard 2 years, enterprise up to 7 years</w:t>
            </w:r>
          </w:p>
        </w:tc>
        <w:tc>
          <w:tcPr>
            <w:tcW w:type="dxa" w:w="4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On retention period end: full data deletion including backups. Deletion confirmation report issued to former client contact.</w:t>
            </w:r>
          </w:p>
        </w:tc>
      </w:tr>
    </w:tbl>
    <w:p>
      <w:pPr>
        <w:spacing w:before="0" w:after="80"/>
      </w:pPr>
    </w:p>
    <w:p>
      <w:pPr>
        <w:pStyle w:val="Heading2"/>
        <w:spacing w:before="280" w:after="100"/>
      </w:pPr>
      <w:r>
        <w:rPr>
          <w:rFonts w:ascii="Georgia" w:cs="Georgia" w:eastAsia="Georgia" w:hAnsi="Georgia"/>
          <w:b/>
          <w:bCs/>
          <w:color w:val="1E40AF"/>
          <w:sz w:val="28"/>
          <w:szCs w:val="28"/>
        </w:rPr>
        <w:t xml:space="preserve">5.5 Data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60"/>
        <w:gridCol w:w="5200"/>
      </w:tblGrid>
      <w:tr>
        <w:tc>
          <w:tcPr>
            <w:tcW w:type="dxa" w:w="1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Region</w:t>
            </w:r>
          </w:p>
        </w:tc>
        <w:tc>
          <w:tcPr>
            <w:tcW w:type="dxa" w:w="2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Markets served</w:t>
            </w:r>
          </w:p>
        </w:tc>
        <w:tc>
          <w:tcPr>
            <w:tcW w:type="dxa" w:w="5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Data centre and compliance notes</w:t>
            </w:r>
          </w:p>
        </w:tc>
      </w:tr>
      <w:tr>
        <w:tc>
          <w:tcPr>
            <w:tcW w:type="dxa" w:w="1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EU (Frankfurt)</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Germany, Netherlands, France, and all EU clients</w:t>
            </w:r>
          </w:p>
        </w:tc>
        <w:tc>
          <w:tcPr>
            <w:tcW w:type="dxa" w:w="5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AWS eu-central-1. GDPR Article 44+ compliant. Data transfer to non-EU sub-processors governed by Standard Contractual Clauses (SCCs). Works Council consultation document generated for DE/NL deployments.</w:t>
            </w:r>
          </w:p>
        </w:tc>
      </w:tr>
      <w:tr>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India (Mumbai)</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India</w:t>
            </w:r>
          </w:p>
        </w:tc>
        <w:tc>
          <w:tcPr>
            <w:tcW w:type="dxa" w:w="5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AWS ap-south-1. India Digital Personal Data Protection Act (DPDP) 2023 compliant. Data localisation: all personal data of Indian employees stored exclusively in India region.</w:t>
            </w:r>
          </w:p>
        </w:tc>
      </w:tr>
      <w:tr>
        <w:tc>
          <w:tcPr>
            <w:tcW w:type="dxa" w:w="1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US (Virginia)</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United States, Canada</w:t>
            </w:r>
          </w:p>
        </w:tc>
        <w:tc>
          <w:tcPr>
            <w:tcW w:type="dxa" w:w="5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AWS us-east-1. EEOC compliance requirements applied to assessment instruments. CCPA compliance for California employees.</w:t>
            </w:r>
          </w:p>
        </w:tc>
      </w:tr>
      <w:tr>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UAE (Dubai)</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UAE, Saudi Arabia, wider GCC</w:t>
            </w:r>
          </w:p>
        </w:tc>
        <w:tc>
          <w:tcPr>
            <w:tcW w:type="dxa" w:w="5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AWS me-south-1 (Bahrain) or UAE region. UAE PDPL compliance. Saudi Arabia PDPL compliance for KSA clients.</w:t>
            </w:r>
          </w:p>
        </w:tc>
      </w:tr>
      <w:tr>
        <w:tc>
          <w:tcPr>
            <w:tcW w:type="dxa" w:w="1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Singapore (AP-Southeast)</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Singapore, Australia, wider APAC</w:t>
            </w:r>
          </w:p>
        </w:tc>
        <w:tc>
          <w:tcPr>
            <w:tcW w:type="dxa" w:w="5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AWS ap-southeast-1. PDPA (Singapore) compliance. Australian Privacy Act compliance.</w:t>
            </w:r>
          </w:p>
        </w:tc>
      </w:tr>
      <w:tr>
        <w:tc>
          <w:tcPr>
            <w:tcW w:type="dxa" w:w="1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On-Premise</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Enterprise clients with data sovereignty requirements</w:t>
            </w:r>
          </w:p>
        </w:tc>
        <w:tc>
          <w:tcPr>
            <w:tcW w:type="dxa" w:w="5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Docker/Kubernetes deployment on client infrastructure. No data ever leaves the client's environment. Edstellar provides the application package — not access to the data. Core features operate fully offline.</w:t>
            </w:r>
          </w:p>
        </w:tc>
      </w:tr>
    </w:tbl>
    <w:p>
      <w:pPr>
        <w:spacing w:before="0" w:after="80"/>
      </w:pPr>
    </w:p>
    <w:p>
      <w:pPr>
        <w:pStyle w:val="Heading2"/>
        <w:spacing w:before="280" w:after="100"/>
      </w:pPr>
      <w:r>
        <w:rPr>
          <w:rFonts w:ascii="Georgia" w:cs="Georgia" w:eastAsia="Georgia" w:hAnsi="Georgia"/>
          <w:b/>
          <w:bCs/>
          <w:color w:val="1E40AF"/>
          <w:sz w:val="28"/>
          <w:szCs w:val="28"/>
        </w:rPr>
        <w:t xml:space="preserve">5.6 Market-Specific Compliance Requirements</w:t>
      </w:r>
    </w:p>
    <w:p>
      <w:pPr>
        <w:pStyle w:val="Heading3"/>
        <w:spacing w:before="200" w:after="80"/>
      </w:pPr>
      <w:r>
        <w:rPr>
          <w:rFonts w:ascii="Calibri" w:cs="Calibri" w:eastAsia="Calibri" w:hAnsi="Calibri"/>
          <w:b/>
          <w:bCs/>
          <w:color w:val="1D4ED8"/>
          <w:sz w:val="24"/>
          <w:szCs w:val="24"/>
        </w:rPr>
        <w:t xml:space="preserve">GDPR — EU and UK</w:t>
      </w:r>
    </w:p>
    <w:p>
      <w:pPr>
        <w:pStyle w:val="ListParagraph"/>
        <w:numPr>
          <w:ilvl w:val="0"/>
          <w:numId w:val="2"/>
        </w:numPr>
        <w:spacing w:before="0" w:after="60"/>
      </w:pPr>
      <w:r>
        <w:rPr>
          <w:rFonts w:ascii="Calibri" w:cs="Calibri" w:eastAsia="Calibri" w:hAnsi="Calibri"/>
          <w:color w:val="374151"/>
          <w:sz w:val="21"/>
          <w:szCs w:val="21"/>
        </w:rPr>
        <w:t xml:space="preserve">Data Processing Agreement (DPA) signed with every EU and UK client before data is imported.</w:t>
      </w:r>
    </w:p>
    <w:p>
      <w:pPr>
        <w:pStyle w:val="ListParagraph"/>
        <w:numPr>
          <w:ilvl w:val="0"/>
          <w:numId w:val="2"/>
        </w:numPr>
        <w:spacing w:before="0" w:after="60"/>
      </w:pPr>
      <w:r>
        <w:rPr>
          <w:rFonts w:ascii="Calibri" w:cs="Calibri" w:eastAsia="Calibri" w:hAnsi="Calibri"/>
          <w:color w:val="374151"/>
          <w:sz w:val="21"/>
          <w:szCs w:val="21"/>
        </w:rPr>
        <w:t xml:space="preserve">Data Protection Impact Assessment (DPIA) completed for high-risk processing activities: AI-generated skill baselines, psychometric assessments, and Burnout Risk Scoring. DPIAs maintained and reviewed annually.</w:t>
      </w:r>
    </w:p>
    <w:p>
      <w:pPr>
        <w:pStyle w:val="ListParagraph"/>
        <w:numPr>
          <w:ilvl w:val="0"/>
          <w:numId w:val="2"/>
        </w:numPr>
        <w:spacing w:before="0" w:after="60"/>
      </w:pPr>
      <w:r>
        <w:rPr>
          <w:rFonts w:ascii="Calibri" w:cs="Calibri" w:eastAsia="Calibri" w:hAnsi="Calibri"/>
          <w:color w:val="374151"/>
          <w:sz w:val="21"/>
          <w:szCs w:val="21"/>
        </w:rPr>
        <w:t xml:space="preserve">Article 22 (automated individual decision-making): the platform's AI outputs are used as inputs to human decisions — they are not autonomous decisions. The 3-tier ApprovalHub workflow and the is_modified flag ensure humans review and approve all AI-generated framework outputs. LNA outputs and IDP recommendations are human-reviewed before action. This is documented in the DPIA as a safeguard against automated decision-making concerns.</w:t>
      </w:r>
    </w:p>
    <w:p>
      <w:pPr>
        <w:pStyle w:val="ListParagraph"/>
        <w:numPr>
          <w:ilvl w:val="0"/>
          <w:numId w:val="2"/>
        </w:numPr>
        <w:spacing w:before="0" w:after="60"/>
      </w:pPr>
      <w:r>
        <w:rPr>
          <w:rFonts w:ascii="Calibri" w:cs="Calibri" w:eastAsia="Calibri" w:hAnsi="Calibri"/>
          <w:color w:val="374151"/>
          <w:sz w:val="21"/>
          <w:szCs w:val="21"/>
        </w:rPr>
        <w:t xml:space="preserve">Data subject rights response time: 30 days from request receipt (platform automates most responses within 24 hours).</w:t>
      </w:r>
    </w:p>
    <w:p>
      <w:pPr>
        <w:spacing w:before="0" w:after="60"/>
      </w:pPr>
    </w:p>
    <w:p>
      <w:pPr>
        <w:pStyle w:val="Heading3"/>
        <w:spacing w:before="200" w:after="80"/>
      </w:pPr>
      <w:r>
        <w:rPr>
          <w:rFonts w:ascii="Calibri" w:cs="Calibri" w:eastAsia="Calibri" w:hAnsi="Calibri"/>
          <w:b/>
          <w:bCs/>
          <w:color w:val="1D4ED8"/>
          <w:sz w:val="24"/>
          <w:szCs w:val="24"/>
        </w:rPr>
        <w:t xml:space="preserve">India — Digital Personal Data Protection Act (DPDP) 2023</w:t>
      </w:r>
    </w:p>
    <w:p>
      <w:pPr>
        <w:pStyle w:val="ListParagraph"/>
        <w:numPr>
          <w:ilvl w:val="0"/>
          <w:numId w:val="2"/>
        </w:numPr>
        <w:spacing w:before="0" w:after="60"/>
      </w:pPr>
      <w:r>
        <w:rPr>
          <w:rFonts w:ascii="Calibri" w:cs="Calibri" w:eastAsia="Calibri" w:hAnsi="Calibri"/>
          <w:color w:val="374151"/>
          <w:sz w:val="21"/>
          <w:szCs w:val="21"/>
        </w:rPr>
        <w:t xml:space="preserve">Consent for data processing is captured in writing (in-platform consent mechanism). Consent is specific, informed, unconditional, and revocable.</w:t>
      </w:r>
    </w:p>
    <w:p>
      <w:pPr>
        <w:pStyle w:val="ListParagraph"/>
        <w:numPr>
          <w:ilvl w:val="0"/>
          <w:numId w:val="2"/>
        </w:numPr>
        <w:spacing w:before="0" w:after="60"/>
      </w:pPr>
      <w:r>
        <w:rPr>
          <w:rFonts w:ascii="Calibri" w:cs="Calibri" w:eastAsia="Calibri" w:hAnsi="Calibri"/>
          <w:color w:val="374151"/>
          <w:sz w:val="21"/>
          <w:szCs w:val="21"/>
        </w:rPr>
        <w:t xml:space="preserve">Data Fiduciary obligations: Edstellar (as Data Fiduciary for processing on behalf of the client org) maintains a notice to data principals (employees) describing the processing purposes, data categories, and rights available.</w:t>
      </w:r>
    </w:p>
    <w:p>
      <w:pPr>
        <w:pStyle w:val="ListParagraph"/>
        <w:numPr>
          <w:ilvl w:val="0"/>
          <w:numId w:val="2"/>
        </w:numPr>
        <w:spacing w:before="0" w:after="60"/>
      </w:pPr>
      <w:r>
        <w:rPr>
          <w:rFonts w:ascii="Calibri" w:cs="Calibri" w:eastAsia="Calibri" w:hAnsi="Calibri"/>
          <w:color w:val="374151"/>
          <w:sz w:val="21"/>
          <w:szCs w:val="21"/>
        </w:rPr>
        <w:t xml:space="preserve">Data localisation: all personal data of Indian employees is stored in AWS ap-south-1 (Mumbai). No personal data of Indian employees is transferred outside India without explicit consent or a legal basis.</w:t>
      </w:r>
    </w:p>
    <w:p>
      <w:pPr>
        <w:pStyle w:val="ListParagraph"/>
        <w:numPr>
          <w:ilvl w:val="0"/>
          <w:numId w:val="2"/>
        </w:numPr>
        <w:spacing w:before="0" w:after="60"/>
      </w:pPr>
      <w:r>
        <w:rPr>
          <w:rFonts w:ascii="Calibri" w:cs="Calibri" w:eastAsia="Calibri" w:hAnsi="Calibri"/>
          <w:color w:val="374151"/>
          <w:sz w:val="21"/>
          <w:szCs w:val="21"/>
        </w:rPr>
        <w:t xml:space="preserve">Data Principal rights: access, correction, erasure, and grievance redress. All implemented via the Employee Portal.</w:t>
      </w:r>
    </w:p>
    <w:p>
      <w:pPr>
        <w:spacing w:before="0" w:after="60"/>
      </w:pPr>
    </w:p>
    <w:p>
      <w:pPr>
        <w:pStyle w:val="Heading3"/>
        <w:spacing w:before="200" w:after="80"/>
      </w:pPr>
      <w:r>
        <w:rPr>
          <w:rFonts w:ascii="Calibri" w:cs="Calibri" w:eastAsia="Calibri" w:hAnsi="Calibri"/>
          <w:b/>
          <w:bCs/>
          <w:color w:val="1D4ED8"/>
          <w:sz w:val="24"/>
          <w:szCs w:val="24"/>
        </w:rPr>
        <w:t xml:space="preserve">United States — EEOC and State Laws</w:t>
      </w:r>
    </w:p>
    <w:p>
      <w:pPr>
        <w:pStyle w:val="ListParagraph"/>
        <w:numPr>
          <w:ilvl w:val="0"/>
          <w:numId w:val="2"/>
        </w:numPr>
        <w:spacing w:before="0" w:after="60"/>
      </w:pPr>
      <w:r>
        <w:rPr>
          <w:rFonts w:ascii="Calibri" w:cs="Calibri" w:eastAsia="Calibri" w:hAnsi="Calibri"/>
          <w:color w:val="374151"/>
          <w:sz w:val="21"/>
          <w:szCs w:val="21"/>
        </w:rPr>
        <w:t xml:space="preserve">Assessment instruments used in the US market are reviewed for EEOC disparate impact risk before deployment. Assessment content is reviewed for adverse impact on protected classes.</w:t>
      </w:r>
    </w:p>
    <w:p>
      <w:pPr>
        <w:pStyle w:val="ListParagraph"/>
        <w:numPr>
          <w:ilvl w:val="0"/>
          <w:numId w:val="2"/>
        </w:numPr>
        <w:spacing w:before="0" w:after="60"/>
      </w:pPr>
      <w:r>
        <w:rPr>
          <w:rFonts w:ascii="Calibri" w:cs="Calibri" w:eastAsia="Calibri" w:hAnsi="Calibri"/>
          <w:color w:val="374151"/>
          <w:sz w:val="21"/>
          <w:szCs w:val="21"/>
        </w:rPr>
        <w:t xml:space="preserve">CCPA: California employees have the right to know what data is collected and to request deletion. Implemented via the existing GDPR right-to-access and right-to-erasure flows (same technical implementation, different legal framing).</w:t>
      </w:r>
    </w:p>
    <w:p>
      <w:pPr>
        <w:pStyle w:val="ListParagraph"/>
        <w:numPr>
          <w:ilvl w:val="0"/>
          <w:numId w:val="2"/>
        </w:numPr>
        <w:spacing w:before="0" w:after="60"/>
      </w:pPr>
      <w:r>
        <w:rPr>
          <w:rFonts w:ascii="Calibri" w:cs="Calibri" w:eastAsia="Calibri" w:hAnsi="Calibri"/>
          <w:color w:val="374151"/>
          <w:sz w:val="21"/>
          <w:szCs w:val="21"/>
        </w:rPr>
        <w:t xml:space="preserve">Illinois BIPA: biometric data is not collected. The platform does not use facial recognition, fingerprint scanning, or any biometric identifier.</w:t>
      </w:r>
    </w:p>
    <w:p>
      <w:pPr>
        <w:spacing w:before="0" w:after="60"/>
      </w:pPr>
    </w:p>
    <w:p>
      <w:pPr>
        <w:pStyle w:val="Heading3"/>
        <w:spacing w:before="200" w:after="80"/>
      </w:pPr>
      <w:r>
        <w:rPr>
          <w:rFonts w:ascii="Calibri" w:cs="Calibri" w:eastAsia="Calibri" w:hAnsi="Calibri"/>
          <w:b/>
          <w:bCs/>
          <w:color w:val="1D4ED8"/>
          <w:sz w:val="24"/>
          <w:szCs w:val="24"/>
        </w:rPr>
        <w:t xml:space="preserve">Germany — Works Council (Betriebsrat)</w:t>
      </w:r>
    </w:p>
    <w:p>
      <w:pPr>
        <w:pStyle w:val="ListParagraph"/>
        <w:numPr>
          <w:ilvl w:val="0"/>
          <w:numId w:val="2"/>
        </w:numPr>
        <w:spacing w:before="0" w:after="60"/>
      </w:pPr>
      <w:r>
        <w:rPr>
          <w:rFonts w:ascii="Calibri" w:cs="Calibri" w:eastAsia="Calibri" w:hAnsi="Calibri"/>
          <w:color w:val="374151"/>
          <w:sz w:val="21"/>
          <w:szCs w:val="21"/>
        </w:rPr>
        <w:t xml:space="preserve">The platform generates a Works Council consultation document summarising the data processing activities, assessment instruments used, and AI systems deployed. Generated from the platform's own configuration — not a generic template.</w:t>
      </w:r>
    </w:p>
    <w:p>
      <w:pPr>
        <w:pStyle w:val="ListParagraph"/>
        <w:numPr>
          <w:ilvl w:val="0"/>
          <w:numId w:val="2"/>
        </w:numPr>
        <w:spacing w:before="0" w:after="60"/>
      </w:pPr>
      <w:r>
        <w:rPr>
          <w:rFonts w:ascii="Calibri" w:cs="Calibri" w:eastAsia="Calibri" w:hAnsi="Calibri"/>
          <w:color w:val="374151"/>
          <w:sz w:val="21"/>
          <w:szCs w:val="21"/>
        </w:rPr>
        <w:t xml:space="preserve">Works Council approval may be required before employee assessment data is collected. The platform supports a delayed activation model: the org can configure the platform and prepare assessments without dispatching them, pending Works Council approval.</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6. Sensitive Data Controls</w:t>
      </w:r>
    </w:p>
    <w:p>
      <w:pPr>
        <w:pStyle w:val="Heading2"/>
        <w:spacing w:before="280" w:after="100"/>
      </w:pPr>
      <w:r>
        <w:rPr>
          <w:rFonts w:ascii="Georgia" w:cs="Georgia" w:eastAsia="Georgia" w:hAnsi="Georgia"/>
          <w:b/>
          <w:bCs/>
          <w:color w:val="1E40AF"/>
          <w:sz w:val="28"/>
          <w:szCs w:val="28"/>
        </w:rPr>
        <w:t xml:space="preserve">6.1 Wellbeing Data — Strictest Controls on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SEC-SENS-W1  </w:t>
            </w:r>
            <w:r>
              <w:rPr>
                <w:rFonts w:ascii="Calibri" w:cs="Calibri" w:eastAsia="Calibri" w:hAnsi="Calibri"/>
                <w:b/>
                <w:bCs/>
                <w:color w:val="7F1D1D"/>
                <w:sz w:val="22"/>
                <w:szCs w:val="22"/>
              </w:rPr>
              <w:t xml:space="preserve">Burnout Risk Score is never accessible to the employee themselves, peers, or line managers</w:t>
            </w:r>
          </w:p>
          <w:p>
            <w:pPr>
              <w:spacing w:before="0" w:after="0"/>
            </w:pPr>
            <w:r>
              <w:rPr>
                <w:rFonts w:ascii="Calibri" w:cs="Calibri" w:eastAsia="Calibri" w:hAnsi="Calibri"/>
                <w:color w:val="374151"/>
                <w:sz w:val="20"/>
                <w:szCs w:val="20"/>
              </w:rPr>
              <w:t xml:space="preserve">The individual Burnout Risk Score (wellbeing_scores.risk_score) is accessible only to HR Head and above. No API endpoint, no UI component, and no AI system output (except AI-5 which generates it, and AI-5's capacity adjustment output to the LNI engine) may expose this value to any other role. The manager receives a conversation starter prompt — not the score. The employee receives a development timeline adjustment — not the score. These restrictions are enforced at the database RLS layer, not only in the API or UI.</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SEC-SENS-W2  </w:t>
            </w:r>
            <w:r>
              <w:rPr>
                <w:rFonts w:ascii="Calibri" w:cs="Calibri" w:eastAsia="Calibri" w:hAnsi="Calibri"/>
                <w:b/>
                <w:bCs/>
                <w:color w:val="7F1D1D"/>
                <w:sz w:val="22"/>
                <w:szCs w:val="22"/>
              </w:rPr>
              <w:t xml:space="preserve">Team aggregates require a minimum of 5 Active Participants</w:t>
            </w:r>
          </w:p>
          <w:p>
            <w:pPr>
              <w:spacing w:before="0" w:after="0"/>
            </w:pPr>
            <w:r>
              <w:rPr>
                <w:rFonts w:ascii="Calibri" w:cs="Calibri" w:eastAsia="Calibri" w:hAnsi="Calibri"/>
                <w:color w:val="374151"/>
                <w:sz w:val="20"/>
                <w:szCs w:val="20"/>
              </w:rPr>
              <w:t xml:space="preserve">The wellbeing_team_aggregates.is_eligible field is set to false for any team with fewer than 5 Active Participants. When is_eligible = false, the avg_risk_score field is null and must never be populated or exposed. This is a hard anonymity protection — it prevents reverse-engineering individual scores from small team aggregates.</w:t>
            </w:r>
          </w:p>
        </w:tc>
      </w:tr>
    </w:tbl>
    <w:p>
      <w:pPr>
        <w:spacing w:before="0" w:after="100"/>
      </w:pPr>
    </w:p>
    <w:p>
      <w:pPr>
        <w:spacing w:before="0" w:after="80"/>
      </w:pPr>
    </w:p>
    <w:p>
      <w:pPr>
        <w:pStyle w:val="Heading2"/>
        <w:spacing w:before="280" w:after="100"/>
      </w:pPr>
      <w:r>
        <w:rPr>
          <w:rFonts w:ascii="Georgia" w:cs="Georgia" w:eastAsia="Georgia" w:hAnsi="Georgia"/>
          <w:b/>
          <w:bCs/>
          <w:color w:val="1E40AF"/>
          <w:sz w:val="28"/>
          <w:szCs w:val="28"/>
        </w:rPr>
        <w:t xml:space="preserve">6.2 Performance Data — Controlled Separation from Development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SEC-SENS-P1  </w:t>
            </w:r>
            <w:r>
              <w:rPr>
                <w:rFonts w:ascii="Calibri" w:cs="Calibri" w:eastAsia="Calibri" w:hAnsi="Calibri"/>
                <w:b/>
                <w:bCs/>
                <w:color w:val="78350F"/>
                <w:sz w:val="22"/>
                <w:szCs w:val="22"/>
              </w:rPr>
              <w:t xml:space="preserve">Performance correlation in LNA requires explicit human confirmation</w:t>
            </w:r>
          </w:p>
          <w:p>
            <w:pPr>
              <w:spacing w:before="0" w:after="0"/>
            </w:pPr>
            <w:r>
              <w:rPr>
                <w:rFonts w:ascii="Calibri" w:cs="Calibri" w:eastAsia="Calibri" w:hAnsi="Calibri"/>
                <w:color w:val="374151"/>
                <w:sz w:val="20"/>
                <w:szCs w:val="20"/>
              </w:rPr>
              <w:t xml:space="preserve">When performance data from HRIS indicates an active PIP or performance risk flag, the AI-3 weighted gap score engine surfaces a classification suggestion to the L&amp;D Manager: 'This gap appears to have a performance signal.' The human must confirm before the 1.8x or 1.4x multiplier is applied. The performance_multiplier_applied field on validated_levels records whether this confirmation occurred. The multiplier cannot be applied silently by the AI.</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6"/>
              <w:bottom w:val="single" w:color="B45309" w:sz="4"/>
              <w:right w:val="single" w:color="B45309" w:sz="4"/>
            </w:tcBorders>
            <w:shd w:fill="FFFBEB" w:val="clear"/>
            <w:tcMar>
              <w:top w:type="dxa" w:w="120"/>
              <w:left w:type="dxa" w:w="200"/>
              <w:bottom w:type="dxa" w:w="120"/>
              <w:right w:type="dxa" w:w="160"/>
            </w:tcMar>
          </w:tcPr>
          <w:p>
            <w:pPr>
              <w:spacing w:before="0" w:after="60"/>
            </w:pPr>
            <w:r>
              <w:rPr>
                <w:rFonts w:ascii="Calibri" w:cs="Calibri" w:eastAsia="Calibri" w:hAnsi="Calibri"/>
                <w:b/>
                <w:bCs/>
                <w:caps/>
                <w:color w:val="B45309"/>
                <w:sz w:val="18"/>
                <w:szCs w:val="18"/>
              </w:rPr>
              <w:t xml:space="preserve">SEC-SENS-P2  </w:t>
            </w:r>
            <w:r>
              <w:rPr>
                <w:rFonts w:ascii="Calibri" w:cs="Calibri" w:eastAsia="Calibri" w:hAnsi="Calibri"/>
                <w:b/>
                <w:bCs/>
                <w:color w:val="78350F"/>
                <w:sz w:val="22"/>
                <w:szCs w:val="22"/>
              </w:rPr>
              <w:t xml:space="preserve">Performance correlation reason is access-controlled in LNA outputs</w:t>
            </w:r>
          </w:p>
          <w:p>
            <w:pPr>
              <w:spacing w:before="0" w:after="0"/>
            </w:pPr>
            <w:r>
              <w:rPr>
                <w:rFonts w:ascii="Calibri" w:cs="Calibri" w:eastAsia="Calibri" w:hAnsi="Calibri"/>
                <w:color w:val="374151"/>
                <w:sz w:val="20"/>
                <w:szCs w:val="20"/>
              </w:rPr>
              <w:t xml:space="preserve">The weighted gap score (a number) is visible to all authorised LNA viewers. The multiplier breakdown showing the performance correlation component is restricted to HR Head access only. Managers see the priority ranking and intervention type — not the multiplier values. This prevents LNA outputs from being used as informal performance management tools below the HR Head level.</w:t>
            </w:r>
          </w:p>
        </w:tc>
      </w:tr>
    </w:tbl>
    <w:p>
      <w:pPr>
        <w:spacing w:before="0" w:after="100"/>
      </w:pPr>
    </w:p>
    <w:p>
      <w:pPr>
        <w:spacing w:before="0" w:after="80"/>
      </w:pPr>
    </w:p>
    <w:p>
      <w:pPr>
        <w:pStyle w:val="Heading2"/>
        <w:spacing w:before="280" w:after="100"/>
      </w:pPr>
      <w:r>
        <w:rPr>
          <w:rFonts w:ascii="Georgia" w:cs="Georgia" w:eastAsia="Georgia" w:hAnsi="Georgia"/>
          <w:b/>
          <w:bCs/>
          <w:color w:val="1E40AF"/>
          <w:sz w:val="28"/>
          <w:szCs w:val="28"/>
        </w:rPr>
        <w:t xml:space="preserve">6.3 Psychometric Data — Consent First, Restricted Access</w:t>
      </w:r>
    </w:p>
    <w:p>
      <w:pPr>
        <w:pStyle w:val="ListParagraph"/>
        <w:numPr>
          <w:ilvl w:val="0"/>
          <w:numId w:val="2"/>
        </w:numPr>
        <w:spacing w:before="0" w:after="60"/>
      </w:pPr>
      <w:r>
        <w:rPr>
          <w:rFonts w:ascii="Calibri" w:cs="Calibri" w:eastAsia="Calibri" w:hAnsi="Calibri"/>
          <w:color w:val="374151"/>
          <w:sz w:val="21"/>
          <w:szCs w:val="21"/>
        </w:rPr>
        <w:t xml:space="preserve">Psychometric and personality assessment data is collected only after explicit, granular consent from the employee.</w:t>
      </w:r>
    </w:p>
    <w:p>
      <w:pPr>
        <w:pStyle w:val="ListParagraph"/>
        <w:numPr>
          <w:ilvl w:val="0"/>
          <w:numId w:val="2"/>
        </w:numPr>
        <w:spacing w:before="0" w:after="60"/>
      </w:pPr>
      <w:r>
        <w:rPr>
          <w:rFonts w:ascii="Calibri" w:cs="Calibri" w:eastAsia="Calibri" w:hAnsi="Calibri"/>
          <w:color w:val="374151"/>
          <w:sz w:val="21"/>
          <w:szCs w:val="21"/>
        </w:rPr>
        <w:t xml:space="preserve">Psychometric results are stored in the Skill Passport and visible to the employee themselves, HR Head, and — where the HR Head explicitly configures this — the employee's line manager.</w:t>
      </w:r>
    </w:p>
    <w:p>
      <w:pPr>
        <w:pStyle w:val="ListParagraph"/>
        <w:numPr>
          <w:ilvl w:val="0"/>
          <w:numId w:val="2"/>
        </w:numPr>
        <w:spacing w:before="0" w:after="60"/>
      </w:pPr>
      <w:r>
        <w:rPr>
          <w:rFonts w:ascii="Calibri" w:cs="Calibri" w:eastAsia="Calibri" w:hAnsi="Calibri"/>
          <w:color w:val="374151"/>
          <w:sz w:val="21"/>
          <w:szCs w:val="21"/>
        </w:rPr>
        <w:t xml:space="preserve">Psychometric data is never accessible to the AI Proposal Engine (AI-9), the Opportunity Intelligence Dashboard, or any Edstellar commercial system.</w:t>
      </w:r>
    </w:p>
    <w:p>
      <w:pPr>
        <w:pStyle w:val="ListParagraph"/>
        <w:numPr>
          <w:ilvl w:val="0"/>
          <w:numId w:val="2"/>
        </w:numPr>
        <w:spacing w:before="0" w:after="60"/>
      </w:pPr>
      <w:r>
        <w:rPr>
          <w:rFonts w:ascii="Calibri" w:cs="Calibri" w:eastAsia="Calibri" w:hAnsi="Calibri"/>
          <w:color w:val="374151"/>
          <w:sz w:val="21"/>
          <w:szCs w:val="21"/>
        </w:rPr>
        <w:t xml:space="preserve">Assessment instruments with a psychometric component are reviewed by the Assessment Governance Framework (a mandatory approval workflow) before deployment. The review considers: scientific validity, cultural bias risk, EEOC compliance (for US deployments), and consent adequacy.</w:t>
      </w:r>
    </w:p>
    <w:p>
      <w:pPr>
        <w:spacing w:before="0" w:after="80"/>
      </w:pPr>
    </w:p>
    <w:p>
      <w:pPr>
        <w:pStyle w:val="Heading2"/>
        <w:spacing w:before="280" w:after="100"/>
      </w:pPr>
      <w:r>
        <w:rPr>
          <w:rFonts w:ascii="Georgia" w:cs="Georgia" w:eastAsia="Georgia" w:hAnsi="Georgia"/>
          <w:b/>
          <w:bCs/>
          <w:color w:val="1E40AF"/>
          <w:sz w:val="28"/>
          <w:szCs w:val="28"/>
        </w:rPr>
        <w:t xml:space="preserve">6.4 AI System Data Boundaries — Reference Summary</w:t>
      </w:r>
    </w:p>
    <w:p>
      <w:pPr>
        <w:spacing w:before="0" w:after="100"/>
      </w:pPr>
      <w:r>
        <w:rPr>
          <w:rFonts w:ascii="Calibri" w:cs="Calibri" w:eastAsia="Calibri" w:hAnsi="Calibri"/>
          <w:b w:val="false"/>
          <w:bCs w:val="false"/>
          <w:i/>
          <w:iCs/>
          <w:color w:val="6B7280"/>
          <w:sz w:val="22"/>
          <w:szCs w:val="22"/>
        </w:rPr>
        <w:t xml:space="preserve">The following table summarises which sensitive data categories each AI system is permitted to read. The full specification is in the AI Rules Document Section 4 and Section 5.</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000"/>
        <w:gridCol w:w="1000"/>
        <w:gridCol w:w="1000"/>
        <w:gridCol w:w="1000"/>
        <w:gridCol w:w="1000"/>
        <w:gridCol w:w="1000"/>
        <w:gridCol w:w="1000"/>
      </w:tblGrid>
      <w:tr>
        <w:tc>
          <w:tcPr>
            <w:tcW w:type="dxa" w:w="2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Sensitive Data Category</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AI-1</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AI-3</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AI-5</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AI-6</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AI-7</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AI-8</w:t>
            </w:r>
          </w:p>
        </w:tc>
        <w:tc>
          <w:tcPr>
            <w:tcW w:type="dxa" w:w="1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AI-9</w:t>
            </w:r>
          </w:p>
        </w:tc>
      </w:tr>
      <w:tr>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Performance data</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Flag only</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RBAC</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r>
      <w:tr>
        <w:tc>
          <w:tcPr>
            <w:tcW w:type="dxa" w:w="23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Burnout Risk Score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0FDF4" w:val="clear"/>
            <w:tcMar>
              <w:top w:type="dxa" w:w="80"/>
              <w:left w:type="dxa" w:w="120"/>
              <w:bottom w:type="dxa" w:w="80"/>
              <w:right w:type="dxa" w:w="120"/>
            </w:tcMar>
          </w:tcPr>
          <w:p>
            <w:r>
              <w:rPr>
                <w:rFonts w:ascii="Calibri" w:cs="Calibri" w:eastAsia="Calibri" w:hAnsi="Calibri"/>
                <w:b w:val="false"/>
                <w:bCs w:val="false"/>
                <w:color w:val="15803D"/>
                <w:sz w:val="19"/>
                <w:szCs w:val="19"/>
              </w:rPr>
              <w:t xml:space="preserve">Generates</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r>
      <w:tr>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Psychometric results</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scope</w:t>
            </w:r>
          </w:p>
        </w:tc>
        <w:tc>
          <w:tcPr>
            <w:tcW w:type="dxa" w:w="1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t>
            </w:r>
          </w:p>
        </w:tc>
      </w:tr>
      <w:tr>
        <w:tc>
          <w:tcPr>
            <w:tcW w:type="dxa" w:w="23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Compensation / salary</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c>
          <w:tcPr>
            <w:tcW w:type="dxa" w:w="1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B91C1C"/>
                <w:sz w:val="19"/>
                <w:szCs w:val="19"/>
              </w:rPr>
              <w:t xml:space="preserve">✗</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7. Audit Architecture and Compliance Evidence</w:t>
      </w:r>
    </w:p>
    <w:p>
      <w:pPr>
        <w:pStyle w:val="Heading2"/>
        <w:spacing w:before="280" w:after="100"/>
      </w:pPr>
      <w:r>
        <w:rPr>
          <w:rFonts w:ascii="Georgia" w:cs="Georgia" w:eastAsia="Georgia" w:hAnsi="Georgia"/>
          <w:b/>
          <w:bCs/>
          <w:color w:val="1E40AF"/>
          <w:sz w:val="28"/>
          <w:szCs w:val="28"/>
        </w:rPr>
        <w:t xml:space="preserve">7.1 Audit Trail — What Is Logged</w:t>
      </w:r>
    </w:p>
    <w:p>
      <w:pPr>
        <w:spacing w:before="0" w:after="100"/>
      </w:pPr>
      <w:r>
        <w:rPr>
          <w:rFonts w:ascii="Calibri" w:cs="Calibri" w:eastAsia="Calibri" w:hAnsi="Calibri"/>
          <w:b w:val="false"/>
          <w:bCs w:val="false"/>
          <w:i w:val="false"/>
          <w:iCs w:val="false"/>
          <w:color w:val="374151"/>
          <w:sz w:val="22"/>
          <w:szCs w:val="22"/>
        </w:rPr>
        <w:t xml:space="preserve">The audit trail is written exclusively by database triggers. It is immutable and append-only. No application code writes to the audit trail directly. No UPDATE or DELETE is permitted on the audit_log table.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Event Category</w:t>
            </w:r>
          </w:p>
        </w:tc>
        <w:tc>
          <w:tcPr>
            <w:tcW w:type="dxa" w:w="3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Events Captured</w:t>
            </w:r>
          </w:p>
        </w:tc>
        <w:tc>
          <w:tcPr>
            <w:tcW w:type="dxa" w:w="4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Fields Logged</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Identity and Access</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Login (success/fail/MFA), logout, session timeout, role assignment/revocation, password reset, SSO assertion</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User ID, timestamp, IP address, device fingerprint, outcome, role before/after</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Data Mutations</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Create, update, soft-delete on every entity. Excel import batch events. HRIS sync events.</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User ID, timestamp, entity type, entity ID, field name, value before, value after (sensitive fields store type flag only), source (UI/API/import/system)</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Framework Governance</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generation run, Tier 1/2/3 approval decisions, FrameworkBible publish, framework edit, version creation</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User ID, timestamp, action, items affected, approval tier, approval outcome, comments, model_version, prompt_template_version</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Assessment Events</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Cycle created/dispatched/closed, assessment submitted, proficiency override, results published</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User ID, cycle ID, assessment ID, employee ID, action, previous value, new value, override reason (mandatory on override)</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Training and Compliance</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Enrolment, completion, certificate issued, compliance obligation assigned, deadline missed</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User ID, course ID, employee ID, completion status, score, certificate ID, compliance standard linked</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Data Lifecycle</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GDPR deletion request, deletion executed, data export, retention period triggered, anonymisation applied</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User ID, employee ID, action, data categories affected, legal basis cited, what was deleted, what was retained</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AI Actions</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system run, model version used, output produced, human review status, is_modified flag set</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system ID (AI-1 to AI-9), run_id, tenant_id, prompt_template_version, model_version, input_data_types (not values), output_summary, human_review_status</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Lifecycle Events</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Serving notice trigger, exit, scope status change, internal transfer, long-term leave, contract end</w:t>
            </w:r>
          </w:p>
        </w:tc>
        <w:tc>
          <w:tcPr>
            <w:tcW w:type="dxa" w:w="4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ID, event type, previous status, new status, triggered by user or system, reason captured</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Security Events</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Cross-tenant query attempt, prompt injection detected, failed login lockout, MFA reset, impersonation session</w:t>
            </w:r>
          </w:p>
        </w:tc>
        <w:tc>
          <w:tcPr>
            <w:tcW w:type="dxa" w:w="4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Full context including IP, session ID, trigger condition. All security events trigger an alert to Edstellar engineering.</w:t>
            </w:r>
          </w:p>
        </w:tc>
      </w:tr>
    </w:tbl>
    <w:p>
      <w:pPr>
        <w:spacing w:before="0" w:after="80"/>
      </w:pPr>
    </w:p>
    <w:p>
      <w:pPr>
        <w:pStyle w:val="Heading2"/>
        <w:spacing w:before="280" w:after="100"/>
      </w:pPr>
      <w:r>
        <w:rPr>
          <w:rFonts w:ascii="Georgia" w:cs="Georgia" w:eastAsia="Georgia" w:hAnsi="Georgia"/>
          <w:b/>
          <w:bCs/>
          <w:color w:val="1E40AF"/>
          <w:sz w:val="28"/>
          <w:szCs w:val="28"/>
        </w:rPr>
        <w:t xml:space="preserve">7.2 Compliance Evidence Package Builder</w:t>
      </w:r>
    </w:p>
    <w:p>
      <w:pPr>
        <w:spacing w:before="0" w:after="100"/>
      </w:pPr>
      <w:r>
        <w:rPr>
          <w:rFonts w:ascii="Calibri" w:cs="Calibri" w:eastAsia="Calibri" w:hAnsi="Calibri"/>
          <w:b w:val="false"/>
          <w:bCs w:val="false"/>
          <w:i w:val="false"/>
          <w:iCs w:val="false"/>
          <w:color w:val="374151"/>
          <w:sz w:val="22"/>
          <w:szCs w:val="22"/>
        </w:rPr>
        <w:t xml:space="preserve">The Evidence Package Builder assembles audit-ready evidence bundles on demand. Each package type is pre-configured to pull the exact data required for a specific audit question.</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Package Type</w:t>
            </w:r>
          </w:p>
        </w:tc>
        <w:tc>
          <w:tcPr>
            <w:tcW w:type="dxa" w:w="35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Audit Question Answered</w:t>
            </w:r>
          </w:p>
        </w:tc>
        <w:tc>
          <w:tcPr>
            <w:tcW w:type="dxa" w:w="3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Data Included</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Training Compliance Audit</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Were all required employees trained on mandatory programmes before applicable deadlines?</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Compliance obligation records, target population, completion records with timestamps, certificate IDs, non-completion flags with reasons, notification log</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Skills Framework Governance</w:t>
            </w:r>
          </w:p>
        </w:tc>
        <w:tc>
          <w:tcPr>
            <w:tcW w:type="dxa" w:w="3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How was the framework created and approved? Who made changes? Were all changes authorised?</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generation run log, 3-tier approval decisions with timestamps and identities, post-publish edits with before/after values and approver identities</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Assessment Fairness Audit</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Were assessments conducted consistently? Were results overridden? Evidence of systematic bias?</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Assessment cycle config, population, manager differentiation scores, override log with reasons, perception gap analysis, assessment governance approvals</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Data Protection Compliance</w:t>
            </w:r>
          </w:p>
        </w:tc>
        <w:tc>
          <w:tcPr>
            <w:tcW w:type="dxa" w:w="3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Is personal data handled per GDPR/DPDP? Evidence of consent, deletion, and portability?</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processing records by category, consent logs, erasure requests and execution records, portability export logs, data residency configuration</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L&amp;D Investment Audit</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Was L&amp;D budget spent appropriately? Evidence of outcomes against investment?</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Budget allocation records, actual spend by project and activity, Kirkpatrick scores (all 4 levels), cost-per-gap-closed data, authorisation chain</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Certification Currency Audit</w:t>
            </w:r>
          </w:p>
        </w:tc>
        <w:tc>
          <w:tcPr>
            <w:tcW w:type="dxa" w:w="3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Do employees in regulated roles hold current, valid certifications?</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Certification registry per employee, current status, expiry notifications sent, renewal completions, mandatory certification gap report</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SEBI / IRDAI / RBI (India Financial)</w:t>
            </w:r>
          </w:p>
        </w:tc>
        <w:tc>
          <w:tcPr>
            <w:tcW w:type="dxa" w:w="3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Do employees in regulated roles meet prescribed training and certification obligations?</w:t>
            </w:r>
          </w:p>
        </w:tc>
        <w:tc>
          <w:tcPr>
            <w:tcW w:type="dxa" w:w="3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Regulatory standard mappings, affected employee population, training completion with evidence, certification validity, non-compliance flags</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Board Governance</w:t>
            </w:r>
          </w:p>
        </w:tc>
        <w:tc>
          <w:tcPr>
            <w:tcW w:type="dxa" w:w="3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Does the board have visibility of workforce capability, succession risk, and L&amp;D investment?</w:t>
            </w:r>
          </w:p>
        </w:tc>
        <w:tc>
          <w:tcPr>
            <w:tcW w:type="dxa" w:w="3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Succession readiness reports, critical role risk register, board dashboard outputs, L&amp;D investment summary, transformation progress</w:t>
            </w:r>
          </w:p>
        </w:tc>
      </w:tr>
    </w:tbl>
    <w:p>
      <w:pPr>
        <w:spacing w:before="0" w:after="80"/>
      </w:pPr>
    </w:p>
    <w:p>
      <w:pPr>
        <w:pStyle w:val="Heading2"/>
        <w:spacing w:before="280" w:after="100"/>
      </w:pPr>
      <w:r>
        <w:rPr>
          <w:rFonts w:ascii="Georgia" w:cs="Georgia" w:eastAsia="Georgia" w:hAnsi="Georgia"/>
          <w:b/>
          <w:bCs/>
          <w:color w:val="1E40AF"/>
          <w:sz w:val="28"/>
          <w:szCs w:val="28"/>
        </w:rPr>
        <w:t xml:space="preserve">7.3 Auditor Access Role — Technical Specification</w:t>
      </w:r>
    </w:p>
    <w:p>
      <w:pPr>
        <w:pStyle w:val="ListParagraph"/>
        <w:numPr>
          <w:ilvl w:val="0"/>
          <w:numId w:val="2"/>
        </w:numPr>
        <w:spacing w:before="0" w:after="60"/>
      </w:pPr>
      <w:r>
        <w:rPr>
          <w:rFonts w:ascii="Calibri" w:cs="Calibri" w:eastAsia="Calibri" w:hAnsi="Calibri"/>
          <w:color w:val="374151"/>
          <w:sz w:val="21"/>
          <w:szCs w:val="21"/>
        </w:rPr>
        <w:t xml:space="preserve">Auditor access is always named — no shared accounts. Each access grant is linked to a named individual with a specified purpose.</w:t>
      </w:r>
    </w:p>
    <w:p>
      <w:pPr>
        <w:pStyle w:val="ListParagraph"/>
        <w:numPr>
          <w:ilvl w:val="0"/>
          <w:numId w:val="2"/>
        </w:numPr>
        <w:spacing w:before="0" w:after="60"/>
      </w:pPr>
      <w:r>
        <w:rPr>
          <w:rFonts w:ascii="Calibri" w:cs="Calibri" w:eastAsia="Calibri" w:hAnsi="Calibri"/>
          <w:color w:val="374151"/>
          <w:sz w:val="21"/>
          <w:szCs w:val="21"/>
        </w:rPr>
        <w:t xml:space="preserve">MFA is mandatory for all Auditor logins, regardless of org-level MFA settings. This is a hard requirement that cannot be waived.</w:t>
      </w:r>
    </w:p>
    <w:p>
      <w:pPr>
        <w:pStyle w:val="ListParagraph"/>
        <w:numPr>
          <w:ilvl w:val="0"/>
          <w:numId w:val="2"/>
        </w:numPr>
        <w:spacing w:before="0" w:after="60"/>
      </w:pPr>
      <w:r>
        <w:rPr>
          <w:rFonts w:ascii="Calibri" w:cs="Calibri" w:eastAsia="Calibri" w:hAnsi="Calibri"/>
          <w:color w:val="374151"/>
          <w:sz w:val="21"/>
          <w:szCs w:val="21"/>
        </w:rPr>
        <w:t xml:space="preserve">Scope boundaries: Auditor access is configured with: (a) data domain scope (e.g. compliance training only, or full platform), (b) hierarchy scope (e.g. one BU only), (c) time boundary (access expires at a configured date, default 30 days, extendable by Super Admin).</w:t>
      </w:r>
    </w:p>
    <w:p>
      <w:pPr>
        <w:pStyle w:val="ListParagraph"/>
        <w:numPr>
          <w:ilvl w:val="0"/>
          <w:numId w:val="2"/>
        </w:numPr>
        <w:spacing w:before="0" w:after="60"/>
      </w:pPr>
      <w:r>
        <w:rPr>
          <w:rFonts w:ascii="Calibri" w:cs="Calibri" w:eastAsia="Calibri" w:hAnsi="Calibri"/>
          <w:color w:val="374151"/>
          <w:sz w:val="21"/>
          <w:szCs w:val="21"/>
        </w:rPr>
        <w:t xml:space="preserve">Read-only enforcement: the Auditor role has no INSERT, UPDATE, or DELETE permissions on any table at the database layer. Attempts to write through the Auditor session fail at the RLS layer and are logged as a security event.</w:t>
      </w:r>
    </w:p>
    <w:p>
      <w:pPr>
        <w:pStyle w:val="ListParagraph"/>
        <w:numPr>
          <w:ilvl w:val="0"/>
          <w:numId w:val="2"/>
        </w:numPr>
        <w:spacing w:before="0" w:after="60"/>
      </w:pPr>
      <w:r>
        <w:rPr>
          <w:rFonts w:ascii="Calibri" w:cs="Calibri" w:eastAsia="Calibri" w:hAnsi="Calibri"/>
          <w:color w:val="374151"/>
          <w:sz w:val="21"/>
          <w:szCs w:val="21"/>
        </w:rPr>
        <w:t xml:space="preserve">Audit of the auditor: every action taken by an Auditor session is logged — every record viewed, every report downloaded, every search query executed. This log is visible to the Super Admin and HR Head and cannot be altered by the Auditor.</w:t>
      </w:r>
    </w:p>
    <w:p>
      <w:pPr>
        <w:pStyle w:val="ListParagraph"/>
        <w:numPr>
          <w:ilvl w:val="0"/>
          <w:numId w:val="2"/>
        </w:numPr>
        <w:spacing w:before="0" w:after="60"/>
      </w:pPr>
      <w:r>
        <w:rPr>
          <w:rFonts w:ascii="Calibri" w:cs="Calibri" w:eastAsia="Calibri" w:hAnsi="Calibri"/>
          <w:color w:val="374151"/>
          <w:sz w:val="21"/>
          <w:szCs w:val="21"/>
        </w:rPr>
        <w:t xml:space="preserve">Audit log freeze: during a formal audit, HR Head can activate an Audit Log Freeze flag. Any data changes made during the active audit window are flagged with a note indicating they occurred during an active audit period. This flag is itself logged.</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8. Infrastructure Security</w:t>
      </w:r>
    </w:p>
    <w:p>
      <w:pPr>
        <w:pStyle w:val="Heading2"/>
        <w:spacing w:before="280" w:after="100"/>
      </w:pPr>
      <w:r>
        <w:rPr>
          <w:rFonts w:ascii="Georgia" w:cs="Georgia" w:eastAsia="Georgia" w:hAnsi="Georgia"/>
          <w:b/>
          <w:bCs/>
          <w:color w:val="1E40AF"/>
          <w:sz w:val="28"/>
          <w:szCs w:val="28"/>
        </w:rPr>
        <w:t xml:space="preserve">8.1 Multi-Tenancy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0"/>
              <w:left w:val="single" w:color="B91C1C" w:sz="16"/>
              <w:bottom w:val="single" w:color="B91C1C" w:sz="4"/>
              <w:right w:val="single" w:color="B91C1C" w:sz="4"/>
            </w:tcBorders>
            <w:shd w:fill="FEF2F2" w:val="clear"/>
            <w:tcMar>
              <w:top w:type="dxa" w:w="120"/>
              <w:left w:type="dxa" w:w="200"/>
              <w:bottom w:type="dxa" w:w="120"/>
              <w:right w:type="dxa" w:w="160"/>
            </w:tcMar>
          </w:tcPr>
          <w:p>
            <w:pPr>
              <w:spacing w:before="0" w:after="60"/>
            </w:pPr>
            <w:r>
              <w:rPr>
                <w:rFonts w:ascii="Calibri" w:cs="Calibri" w:eastAsia="Calibri" w:hAnsi="Calibri"/>
                <w:b/>
                <w:bCs/>
                <w:caps/>
                <w:color w:val="B91C1C"/>
                <w:sz w:val="18"/>
                <w:szCs w:val="18"/>
              </w:rPr>
              <w:t xml:space="preserve">SEC-INFRA-MT1  </w:t>
            </w:r>
            <w:r>
              <w:rPr>
                <w:rFonts w:ascii="Calibri" w:cs="Calibri" w:eastAsia="Calibri" w:hAnsi="Calibri"/>
                <w:b/>
                <w:bCs/>
                <w:color w:val="7F1D1D"/>
                <w:sz w:val="22"/>
                <w:szCs w:val="22"/>
              </w:rPr>
              <w:t xml:space="preserve">Row-level security enforced at the database layer — not the application layer</w:t>
            </w:r>
          </w:p>
          <w:p>
            <w:pPr>
              <w:spacing w:before="0" w:after="0"/>
            </w:pPr>
            <w:r>
              <w:rPr>
                <w:rFonts w:ascii="Calibri" w:cs="Calibri" w:eastAsia="Calibri" w:hAnsi="Calibri"/>
                <w:color w:val="374151"/>
                <w:sz w:val="20"/>
                <w:szCs w:val="20"/>
              </w:rPr>
              <w:t xml:space="preserve">Every table in the platform has PostgreSQL Row-Level Security (RLS) policies that enforce tenant isolation. A query running in the context of Tenant A's session cannot return rows from Tenant B — even if the query is malformed, the application layer has a bug, or an engineer runs a direct database query. The database itself rejects cross-tenant access. This is the last line of defence.</w:t>
            </w:r>
          </w:p>
        </w:tc>
      </w:tr>
    </w:tbl>
    <w:p>
      <w:pPr>
        <w:spacing w:before="0" w:after="100"/>
      </w:pPr>
    </w:p>
    <w:p>
      <w:pPr>
        <w:pStyle w:val="ListParagraph"/>
        <w:numPr>
          <w:ilvl w:val="0"/>
          <w:numId w:val="2"/>
        </w:numPr>
        <w:spacing w:before="0" w:after="60"/>
      </w:pPr>
      <w:r>
        <w:rPr>
          <w:rFonts w:ascii="Calibri" w:cs="Calibri" w:eastAsia="Calibri" w:hAnsi="Calibri"/>
          <w:color w:val="374151"/>
          <w:sz w:val="21"/>
          <w:szCs w:val="21"/>
        </w:rPr>
        <w:t xml:space="preserve">Schema-per-tenant option: for the highest-security enterprise deployments, a schema-per-tenant model can be configured. Each tenant's tables live in a separate PostgreSQL schema. Row-level security still applies within the schema as an additional layer.</w:t>
      </w:r>
    </w:p>
    <w:p>
      <w:pPr>
        <w:pStyle w:val="ListParagraph"/>
        <w:numPr>
          <w:ilvl w:val="0"/>
          <w:numId w:val="2"/>
        </w:numPr>
        <w:spacing w:before="0" w:after="60"/>
      </w:pPr>
      <w:r>
        <w:rPr>
          <w:rFonts w:ascii="Calibri" w:cs="Calibri" w:eastAsia="Calibri" w:hAnsi="Calibri"/>
          <w:color w:val="374151"/>
          <w:sz w:val="21"/>
          <w:szCs w:val="21"/>
        </w:rPr>
        <w:t xml:space="preserve">Automated cross-tenant access test suite: a test suite runs on every deployment that attempts to access Tenant B's data from Tenant A's session across 50+ critical endpoints. Any test failure blocks the deployment. Results are logged.</w:t>
      </w:r>
    </w:p>
    <w:p>
      <w:pPr>
        <w:spacing w:before="0" w:after="80"/>
      </w:pPr>
    </w:p>
    <w:p>
      <w:pPr>
        <w:pStyle w:val="Heading2"/>
        <w:spacing w:before="280" w:after="100"/>
      </w:pPr>
      <w:r>
        <w:rPr>
          <w:rFonts w:ascii="Georgia" w:cs="Georgia" w:eastAsia="Georgia" w:hAnsi="Georgia"/>
          <w:b/>
          <w:bCs/>
          <w:color w:val="1E40AF"/>
          <w:sz w:val="28"/>
          <w:szCs w:val="28"/>
        </w:rPr>
        <w:t xml:space="preserve">8.2 Network Security</w:t>
      </w:r>
    </w:p>
    <w:p>
      <w:pPr>
        <w:pStyle w:val="ListParagraph"/>
        <w:numPr>
          <w:ilvl w:val="0"/>
          <w:numId w:val="2"/>
        </w:numPr>
        <w:spacing w:before="0" w:after="60"/>
      </w:pPr>
      <w:r>
        <w:rPr>
          <w:rFonts w:ascii="Calibri" w:cs="Calibri" w:eastAsia="Calibri" w:hAnsi="Calibri"/>
          <w:color w:val="374151"/>
          <w:sz w:val="21"/>
          <w:szCs w:val="21"/>
        </w:rPr>
        <w:t xml:space="preserve">All traffic to the platform terminates at an AWS Application Load Balancer (ALB) with AWS WAF rules enabled. WAF rules include: SQL injection protection, XSS filtering, rate limiting by IP, and geographic blocking (configurable per org for on-premise deployments).</w:t>
      </w:r>
    </w:p>
    <w:p>
      <w:pPr>
        <w:pStyle w:val="ListParagraph"/>
        <w:numPr>
          <w:ilvl w:val="0"/>
          <w:numId w:val="2"/>
        </w:numPr>
        <w:spacing w:before="0" w:after="60"/>
      </w:pPr>
      <w:r>
        <w:rPr>
          <w:rFonts w:ascii="Calibri" w:cs="Calibri" w:eastAsia="Calibri" w:hAnsi="Calibri"/>
          <w:color w:val="374151"/>
          <w:sz w:val="21"/>
          <w:szCs w:val="21"/>
        </w:rPr>
        <w:t xml:space="preserve">Private VPC: the application servers and database are in a private subnet — not directly accessible from the internet. Only the ALB has a public-facing IP. Database connections from the application layer go through private network routing.</w:t>
      </w:r>
    </w:p>
    <w:p>
      <w:pPr>
        <w:pStyle w:val="ListParagraph"/>
        <w:numPr>
          <w:ilvl w:val="0"/>
          <w:numId w:val="2"/>
        </w:numPr>
        <w:spacing w:before="0" w:after="60"/>
      </w:pPr>
      <w:r>
        <w:rPr>
          <w:rFonts w:ascii="Calibri" w:cs="Calibri" w:eastAsia="Calibri" w:hAnsi="Calibri"/>
          <w:color w:val="374151"/>
          <w:sz w:val="21"/>
          <w:szCs w:val="21"/>
        </w:rPr>
        <w:t xml:space="preserve">Security groups: principle of least network privilege. Each service (web servers, API servers, database, Redis, AI queue workers) has a security group that allows inbound traffic only from the services that need to communicate with it.</w:t>
      </w:r>
    </w:p>
    <w:p>
      <w:pPr>
        <w:pStyle w:val="ListParagraph"/>
        <w:numPr>
          <w:ilvl w:val="0"/>
          <w:numId w:val="2"/>
        </w:numPr>
        <w:spacing w:before="0" w:after="60"/>
      </w:pPr>
      <w:r>
        <w:rPr>
          <w:rFonts w:ascii="Calibri" w:cs="Calibri" w:eastAsia="Calibri" w:hAnsi="Calibri"/>
          <w:color w:val="374151"/>
          <w:sz w:val="21"/>
          <w:szCs w:val="21"/>
        </w:rPr>
        <w:t xml:space="preserve">DDoS protection: AWS Shield Standard for all deployments. AWS Shield Advanced for enterprise clients with SLA requirements.</w:t>
      </w:r>
    </w:p>
    <w:p>
      <w:pPr>
        <w:spacing w:before="0" w:after="80"/>
      </w:pPr>
    </w:p>
    <w:p>
      <w:pPr>
        <w:pStyle w:val="Heading2"/>
        <w:spacing w:before="280" w:after="100"/>
      </w:pPr>
      <w:r>
        <w:rPr>
          <w:rFonts w:ascii="Georgia" w:cs="Georgia" w:eastAsia="Georgia" w:hAnsi="Georgia"/>
          <w:b/>
          <w:bCs/>
          <w:color w:val="1E40AF"/>
          <w:sz w:val="28"/>
          <w:szCs w:val="28"/>
        </w:rPr>
        <w:t xml:space="preserve">8.3 On-Premise Deployment Security</w:t>
      </w:r>
    </w:p>
    <w:p>
      <w:pPr>
        <w:pStyle w:val="ListParagraph"/>
        <w:numPr>
          <w:ilvl w:val="0"/>
          <w:numId w:val="2"/>
        </w:numPr>
        <w:spacing w:before="0" w:after="60"/>
      </w:pPr>
      <w:r>
        <w:rPr>
          <w:rFonts w:ascii="Calibri" w:cs="Calibri" w:eastAsia="Calibri" w:hAnsi="Calibri"/>
          <w:color w:val="374151"/>
          <w:sz w:val="21"/>
          <w:szCs w:val="21"/>
        </w:rPr>
        <w:t xml:space="preserve">The on-premise deployment package is a Docker Compose file (simple deployments) or Helm chart (enterprise Kubernetes deployments). The package contains only the application — no Edstellar team access credentials or back-channels of any kind.</w:t>
      </w:r>
    </w:p>
    <w:p>
      <w:pPr>
        <w:pStyle w:val="ListParagraph"/>
        <w:numPr>
          <w:ilvl w:val="0"/>
          <w:numId w:val="2"/>
        </w:numPr>
        <w:spacing w:before="0" w:after="60"/>
      </w:pPr>
      <w:r>
        <w:rPr>
          <w:rFonts w:ascii="Calibri" w:cs="Calibri" w:eastAsia="Calibri" w:hAnsi="Calibri"/>
          <w:color w:val="374151"/>
          <w:sz w:val="21"/>
          <w:szCs w:val="21"/>
        </w:rPr>
        <w:t xml:space="preserve">Air-gapped operation: all core platform features (dashboards, assessments, LNA, FrameworkBible) operate without internet connectivity. Only AI pipeline calls (SkillForge) and HRIS sync require outbound internet. These can be disabled for full air-gap operation — the platform retains all data and runs all features except AI generation.</w:t>
      </w:r>
    </w:p>
    <w:p>
      <w:pPr>
        <w:pStyle w:val="ListParagraph"/>
        <w:numPr>
          <w:ilvl w:val="0"/>
          <w:numId w:val="2"/>
        </w:numPr>
        <w:spacing w:before="0" w:after="60"/>
      </w:pPr>
      <w:r>
        <w:rPr>
          <w:rFonts w:ascii="Calibri" w:cs="Calibri" w:eastAsia="Calibri" w:hAnsi="Calibri"/>
          <w:color w:val="374151"/>
          <w:sz w:val="21"/>
          <w:szCs w:val="21"/>
        </w:rPr>
        <w:t xml:space="preserve">Image signing: all Docker images in the on-premise package are signed with Edstellar's code signing certificate. The deployment package includes verification instructions. Unsigned images must be rejected.</w:t>
      </w:r>
    </w:p>
    <w:p>
      <w:pPr>
        <w:pStyle w:val="ListParagraph"/>
        <w:numPr>
          <w:ilvl w:val="0"/>
          <w:numId w:val="2"/>
        </w:numPr>
        <w:spacing w:before="0" w:after="60"/>
      </w:pPr>
      <w:r>
        <w:rPr>
          <w:rFonts w:ascii="Calibri" w:cs="Calibri" w:eastAsia="Calibri" w:hAnsi="Calibri"/>
          <w:color w:val="374151"/>
          <w:sz w:val="21"/>
          <w:szCs w:val="21"/>
        </w:rPr>
        <w:t xml:space="preserve">Update process: on-premise clients receive a new deployment package for each version update. Updates are versioned and include a migration script for schema changes. Clients apply updates on their own schedule — Edstellar has no remote access to the client's on-premise deployment.</w:t>
      </w:r>
    </w:p>
    <w:p>
      <w:pPr>
        <w:pStyle w:val="ListParagraph"/>
        <w:numPr>
          <w:ilvl w:val="0"/>
          <w:numId w:val="2"/>
        </w:numPr>
        <w:spacing w:before="0" w:after="60"/>
      </w:pPr>
      <w:r>
        <w:rPr>
          <w:rFonts w:ascii="Calibri" w:cs="Calibri" w:eastAsia="Calibri" w:hAnsi="Calibri"/>
          <w:color w:val="374151"/>
          <w:sz w:val="21"/>
          <w:szCs w:val="21"/>
        </w:rPr>
        <w:t xml:space="preserve">No Edstellar backdoor: Edstellar has no remote access, no maintenance tunnel, and no administrative access to any on-premise deployment. This is a hard commitment documented in the enterprise contract.</w:t>
      </w:r>
    </w:p>
    <w:p>
      <w:pPr>
        <w:spacing w:before="0" w:after="80"/>
      </w:pPr>
    </w:p>
    <w:p>
      <w:pPr>
        <w:pStyle w:val="Heading2"/>
        <w:spacing w:before="280" w:after="100"/>
      </w:pPr>
      <w:r>
        <w:rPr>
          <w:rFonts w:ascii="Georgia" w:cs="Georgia" w:eastAsia="Georgia" w:hAnsi="Georgia"/>
          <w:b/>
          <w:bCs/>
          <w:color w:val="1E40AF"/>
          <w:sz w:val="28"/>
          <w:szCs w:val="28"/>
        </w:rPr>
        <w:t xml:space="preserve">8.4 Penetration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Test Type</w:t>
            </w:r>
          </w:p>
        </w:tc>
        <w:tc>
          <w:tcPr>
            <w:tcW w:type="dxa" w:w="3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Frequency</w:t>
            </w:r>
          </w:p>
        </w:tc>
        <w:tc>
          <w:tcPr>
            <w:tcW w:type="dxa" w:w="3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Scope</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External penetration test</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Annually, and after any major architectural change</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externally accessible endpoints: three portal login flows, API endpoints, webhook endpoints, Skill Passport verification endpoint. Third-party security firm.</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Internal penetration test</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Annually</w:t>
            </w:r>
          </w:p>
        </w:tc>
        <w:tc>
          <w:tcPr>
            <w:tcW w:type="dxa" w:w="3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Multi-tenancy isolation (cross-tenant access attempts), RBAC bypass attempts, horizontal and vertical privilege escalation, direct database access attempts.</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AI adversarial testing</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Before every major model upgrade and quarterly</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Prompt injection against AI-8 (Conversational Interface). Data boundary breach attempts against all 9 AI systems. Jailbreak attempt library (minimum 50 test cases). Results logged in the AI Rules Document Section 8 model upgrade validation.</w:t>
            </w:r>
          </w:p>
        </w:tc>
      </w:tr>
      <w:tr>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Dependency vulnerability scan</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Every CI/CD pipeline run</w:t>
            </w:r>
          </w:p>
        </w:tc>
        <w:tc>
          <w:tcPr>
            <w:tcW w:type="dxa" w:w="3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npm, pip, and Docker base image dependencies scanned against CVE database. High and critical CVEs block deployment.</w:t>
            </w:r>
          </w:p>
        </w:tc>
      </w:tr>
      <w:tr>
        <w:tc>
          <w:tcPr>
            <w:tcW w:type="dxa" w:w="2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SAST (Static analysis)</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Every CI/CD pipeline run</w:t>
            </w:r>
          </w:p>
        </w:tc>
        <w:tc>
          <w:tcPr>
            <w:tcW w:type="dxa" w:w="3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Source code static analysis for common vulnerability patterns (OWASP Top 10, injection, deserialization). Results reviewed before merge.</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9. Compliance Evidence Mapping — Platform Feature to Regulatory Requirement</w:t>
      </w:r>
    </w:p>
    <w:p>
      <w:pPr>
        <w:spacing w:before="0" w:after="100"/>
      </w:pPr>
      <w:r>
        <w:rPr>
          <w:rFonts w:ascii="Calibri" w:cs="Calibri" w:eastAsia="Calibri" w:hAnsi="Calibri"/>
          <w:b w:val="false"/>
          <w:bCs w:val="false"/>
          <w:i w:val="false"/>
          <w:iCs w:val="false"/>
          <w:color w:val="374151"/>
          <w:sz w:val="22"/>
          <w:szCs w:val="22"/>
        </w:rPr>
        <w:t xml:space="preserve">This section maps specific platform features to the regulatory requirements they satisfy. It is the primary reference for enterprise sales, legal review, and regulatory audit preparation.</w:t>
      </w:r>
    </w:p>
    <w:p>
      <w:pPr>
        <w:spacing w:before="0" w:after="80"/>
      </w:pPr>
    </w:p>
    <w:p>
      <w:pPr>
        <w:pStyle w:val="Heading2"/>
        <w:spacing w:before="280" w:after="100"/>
      </w:pPr>
      <w:r>
        <w:rPr>
          <w:rFonts w:ascii="Georgia" w:cs="Georgia" w:eastAsia="Georgia" w:hAnsi="Georgia"/>
          <w:b/>
          <w:bCs/>
          <w:color w:val="1E40AF"/>
          <w:sz w:val="28"/>
          <w:szCs w:val="28"/>
        </w:rPr>
        <w:t xml:space="preserve">9.1 GDPR — Key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60"/>
        <w:gridCol w:w="480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Article</w:t>
            </w:r>
          </w:p>
        </w:tc>
        <w:tc>
          <w:tcPr>
            <w:tcW w:type="dxa" w:w="2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Requirement</w:t>
            </w:r>
          </w:p>
        </w:tc>
        <w:tc>
          <w:tcPr>
            <w:tcW w:type="dxa" w:w="4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Platform Evidence</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Art. 5(1)(a)</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Lawful, fair, transparent processing</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Lawful basis documented per processing activity (Section 5.2). Employee informed via platform onboarding notice. AI provenance labels on all AI-generated data.</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Art. 5(1)(b)</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Purpose limitation</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collected for skills development cannot be used for performance management without explicit configuration and HR Head authorisation. Performance correlation multiplier requires human confirmation.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Art. 5(1)(c)</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minimisation</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DataPort imports only the fields required for platform function. AI systems read only their permitted data types. Sensitive fields not exposed to roles that don't need them.</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Art. 5(1)(e)</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Storage limitation</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retention policy (Section 5.4) with automated anonymisation and deletion triggers. Retention periods configurable per data category and org requirement.</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Art. 17</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Right to erasure</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Automated erasure workflow (Section 5.3). Executed within 72 hours. Deletion confirmation report generated for compliance evidence.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Art. 20</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Right to portability</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Full data export in JSON and PDF from Employee Portal. Available on demand, not just on exit.</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Art. 22</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Automated decision-making</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outputs are inputs to human decisions — not autonomous decisions. 3-tier ApprovalHub. is_modified flag. LNA and IDP outputs are human-reviewed before action. Documented in DPIA.</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Art. 25</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Privacy by design</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Sensitive data controls in Section 6. Field-level encryption. Minimum necessary data access enforced at DB layer. Wellbeing anonymity thresholds hard-coded.</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Art. 32</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Security of processing</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AES-256 at rest and in transit (Section 4). Multi-tenancy isolation (Section 8.1). Pen testing programme (Section 8.4). Incident response procedure.</w:t>
            </w:r>
          </w:p>
        </w:tc>
      </w:tr>
    </w:tbl>
    <w:p>
      <w:pPr>
        <w:spacing w:before="0" w:after="80"/>
      </w:pPr>
    </w:p>
    <w:p>
      <w:pPr>
        <w:pStyle w:val="Heading2"/>
        <w:spacing w:before="280" w:after="100"/>
      </w:pPr>
      <w:r>
        <w:rPr>
          <w:rFonts w:ascii="Georgia" w:cs="Georgia" w:eastAsia="Georgia" w:hAnsi="Georgia"/>
          <w:b/>
          <w:bCs/>
          <w:color w:val="1E40AF"/>
          <w:sz w:val="28"/>
          <w:szCs w:val="28"/>
        </w:rPr>
        <w:t xml:space="preserve">9.2 Indian DPDP Act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60"/>
        <w:gridCol w:w="480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Section</w:t>
            </w:r>
          </w:p>
        </w:tc>
        <w:tc>
          <w:tcPr>
            <w:tcW w:type="dxa" w:w="2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Requirement</w:t>
            </w:r>
          </w:p>
        </w:tc>
        <w:tc>
          <w:tcPr>
            <w:tcW w:type="dxa" w:w="4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Platform Evidence</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Sec. 5</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Notice to Data Principal</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In-platform notice issued to employees on first login describing processing purposes, data categories, and rights. Available in local languages for India deployment.</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Sec. 6</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Consent</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Consent mechanism in Employee Portal. Granular consent per processing activity. Consent log stored in consent_records table. Revocable at any time.</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Sec. 7</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Certain legitimate uses</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Employment-related processing permitted under Section 7 (certain legitimate uses) where consent is not practical to obtain for all processing activities. Documented in DPA.</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Sec. 9</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Fiduciary obligations</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accuracy: validation on import, employee correction mechanism. Data security: Section 4 and Section 8 controls. Breach notification: incident response procedure with 72-hour notification SLA.</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Sec. 11–13</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Principal rights</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Access (Section 5.3). Correction (Section 5.3). Erasure (Section 5.3). Grievance redress: in-platform request mechanism, 30-day response SLA.</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Data localisation</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Personal data stored in India</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AWS ap-south-1 (Mumbai) for India region. Data residency locked at org creation. On-premise option available for full sovereignty.</w:t>
            </w:r>
          </w:p>
        </w:tc>
      </w:tr>
    </w:tbl>
    <w:p>
      <w:pPr>
        <w:spacing w:before="0" w:after="80"/>
      </w:pPr>
    </w:p>
    <w:p>
      <w:pPr>
        <w:pStyle w:val="Heading2"/>
        <w:spacing w:before="280" w:after="100"/>
      </w:pPr>
      <w:r>
        <w:rPr>
          <w:rFonts w:ascii="Georgia" w:cs="Georgia" w:eastAsia="Georgia" w:hAnsi="Georgia"/>
          <w:b/>
          <w:bCs/>
          <w:color w:val="1E40AF"/>
          <w:sz w:val="28"/>
          <w:szCs w:val="28"/>
        </w:rPr>
        <w:t xml:space="preserve">9.3 Financial Sector Regulators — India (SEBI, IRDAI, RBI)</w:t>
      </w:r>
    </w:p>
    <w:p>
      <w:pPr>
        <w:pStyle w:val="ListParagraph"/>
        <w:numPr>
          <w:ilvl w:val="0"/>
          <w:numId w:val="2"/>
        </w:numPr>
        <w:spacing w:before="0" w:after="60"/>
      </w:pPr>
      <w:r>
        <w:rPr>
          <w:rFonts w:ascii="Calibri" w:cs="Calibri" w:eastAsia="Calibri" w:hAnsi="Calibri"/>
          <w:color w:val="374151"/>
          <w:sz w:val="21"/>
          <w:szCs w:val="21"/>
        </w:rPr>
        <w:t xml:space="preserve">The platform's Governing Standards Registry can be pre-populated with SEBI, IRDAI, and RBI mandatory training and certification requirements for applicable employee populations.</w:t>
      </w:r>
    </w:p>
    <w:p>
      <w:pPr>
        <w:pStyle w:val="ListParagraph"/>
        <w:numPr>
          <w:ilvl w:val="0"/>
          <w:numId w:val="2"/>
        </w:numPr>
        <w:spacing w:before="0" w:after="60"/>
      </w:pPr>
      <w:r>
        <w:rPr>
          <w:rFonts w:ascii="Calibri" w:cs="Calibri" w:eastAsia="Calibri" w:hAnsi="Calibri"/>
          <w:color w:val="374151"/>
          <w:sz w:val="21"/>
          <w:szCs w:val="21"/>
        </w:rPr>
        <w:t xml:space="preserve">The Certificate Engine tracks mandatory certifications required by financial sector regulators — NISM certifications (SEBI), IRDA licensing (IRDAI), and RBI-prescribed training for bank staff.</w:t>
      </w:r>
    </w:p>
    <w:p>
      <w:pPr>
        <w:pStyle w:val="ListParagraph"/>
        <w:numPr>
          <w:ilvl w:val="0"/>
          <w:numId w:val="2"/>
        </w:numPr>
        <w:spacing w:before="0" w:after="60"/>
      </w:pPr>
      <w:r>
        <w:rPr>
          <w:rFonts w:ascii="Calibri" w:cs="Calibri" w:eastAsia="Calibri" w:hAnsi="Calibri"/>
          <w:color w:val="374151"/>
          <w:sz w:val="21"/>
          <w:szCs w:val="21"/>
        </w:rPr>
        <w:t xml:space="preserve">The Compliance Evidence Package (SEBI/IRDAI/RBI type) generates the evidence bundle required for regulatory inspection: who was required to be trained, who completed training, completion dates, certificate validity, and non-compliance flags with remediation actions taken.</w:t>
      </w:r>
    </w:p>
    <w:p>
      <w:pPr>
        <w:pStyle w:val="ListParagraph"/>
        <w:numPr>
          <w:ilvl w:val="0"/>
          <w:numId w:val="2"/>
        </w:numPr>
        <w:spacing w:before="0" w:after="60"/>
      </w:pPr>
      <w:r>
        <w:rPr>
          <w:rFonts w:ascii="Calibri" w:cs="Calibri" w:eastAsia="Calibri" w:hAnsi="Calibri"/>
          <w:color w:val="374151"/>
          <w:sz w:val="21"/>
          <w:szCs w:val="21"/>
        </w:rPr>
        <w:t xml:space="preserve">NISM/IRDA certification expiry: the platform tracks expiry dates and sends advance notifications (60-day and 30-day alerts) to the employee, their manager, and HR Admin.</w:t>
      </w:r>
    </w:p>
    <w:p>
      <w:pPr>
        <w:spacing w:before="0" w:after="80"/>
      </w:pPr>
    </w:p>
    <w:p>
      <w:pPr>
        <w:pStyle w:val="Heading2"/>
        <w:spacing w:before="280" w:after="100"/>
      </w:pPr>
      <w:r>
        <w:rPr>
          <w:rFonts w:ascii="Georgia" w:cs="Georgia" w:eastAsia="Georgia" w:hAnsi="Georgia"/>
          <w:b/>
          <w:bCs/>
          <w:color w:val="1E40AF"/>
          <w:sz w:val="28"/>
          <w:szCs w:val="28"/>
        </w:rPr>
        <w:t xml:space="preserve">9.4 ISO 27001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60"/>
        <w:gridCol w:w="4800"/>
      </w:tblGrid>
      <w:tr>
        <w:tc>
          <w:tcPr>
            <w:tcW w:type="dxa" w:w="16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Control Domain</w:t>
            </w:r>
          </w:p>
        </w:tc>
        <w:tc>
          <w:tcPr>
            <w:tcW w:type="dxa" w:w="29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ISO 27001 Controls</w:t>
            </w:r>
          </w:p>
        </w:tc>
        <w:tc>
          <w:tcPr>
            <w:tcW w:type="dxa" w:w="4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Platform Implementation</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A.5 — Information security policies</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A.5.1 — Policies for information security</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This document is the security policy specification. Reviewed annually. Approved by Head of Product &amp; AI.</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A.8 — Asset management</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A.8.1 — Inventory of assets</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dictionary (Data Dictionary Document v1.0) catalogs all data assets. Sensitivity classifications in Section 6.</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A.9 — Access control</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A.9.2 — User access management</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RBAC model (Section 3). RLS at database layer. MFA enforcement. Session management (Section 2.3).</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A.10 — Cryptography</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A.10.1 — Policy on the use of cryptographic controls</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AES-256 at rest, TLS 1.3 in transit, bcrypt for passwords, HMAC-SHA256 for webhook signatures. Section 4.</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A.12 — Operations security</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A.12.4 — Logging and monitoring</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Immutable audit trail (Section 7.1). Security event alerting (Section 8). Automated cross-tenant test suite.</w:t>
            </w:r>
          </w:p>
        </w:tc>
      </w:tr>
      <w:tr>
        <w:tc>
          <w:tcPr>
            <w:tcW w:type="dxa" w:w="16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A.16 — Incident management</w:t>
            </w:r>
          </w:p>
        </w:tc>
        <w:tc>
          <w:tcPr>
            <w:tcW w:type="dxa" w:w="29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A.16.1 — Management of information security incidents</w:t>
            </w:r>
          </w:p>
        </w:tc>
        <w:tc>
          <w:tcPr>
            <w:tcW w:type="dxa" w:w="4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Incident response procedure (P1/P2/P3 classification). Public status page. 72-hour breach notification. Post-incident review log.</w:t>
            </w:r>
          </w:p>
        </w:tc>
      </w:tr>
      <w:tr>
        <w:tc>
          <w:tcPr>
            <w:tcW w:type="dxa" w:w="16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A.18 — Compliance</w:t>
            </w:r>
          </w:p>
        </w:tc>
        <w:tc>
          <w:tcPr>
            <w:tcW w:type="dxa" w:w="29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A.18.1 — Compliance with legal requirements</w:t>
            </w:r>
          </w:p>
        </w:tc>
        <w:tc>
          <w:tcPr>
            <w:tcW w:type="dxa" w:w="48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GDPR, DPDP, CCPA, EEOC, SEBI/IRDAI/RBI mappings in this section. DPA with every enterprise client.</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10. Incident Response</w:t>
      </w:r>
    </w:p>
    <w:p>
      <w:pPr>
        <w:pStyle w:val="Heading2"/>
        <w:spacing w:before="280" w:after="100"/>
      </w:pPr>
      <w:r>
        <w:rPr>
          <w:rFonts w:ascii="Georgia" w:cs="Georgia" w:eastAsia="Georgia" w:hAnsi="Georgia"/>
          <w:b/>
          <w:bCs/>
          <w:color w:val="1E40AF"/>
          <w:sz w:val="28"/>
          <w:szCs w:val="28"/>
        </w:rPr>
        <w:t xml:space="preserve">10.1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3000"/>
      </w:tblGrid>
      <w:tr>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w:t>
            </w:r>
          </w:p>
        </w:tc>
        <w:tc>
          <w:tcPr>
            <w:tcW w:type="dxa" w:w="2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Incident Type</w:t>
            </w:r>
          </w:p>
        </w:tc>
        <w:tc>
          <w:tcPr>
            <w:tcW w:type="dxa" w:w="3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Examples</w:t>
            </w:r>
          </w:p>
        </w:tc>
        <w:tc>
          <w:tcPr>
            <w:tcW w:type="dxa" w:w="3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Response SLA</w:t>
            </w:r>
          </w:p>
        </w:tc>
      </w:tr>
      <w:tr>
        <w:tc>
          <w:tcPr>
            <w:tcW w:type="dxa" w:w="8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bCs/>
                <w:color w:val="B91C1C"/>
                <w:sz w:val="19"/>
                <w:szCs w:val="19"/>
              </w:rPr>
              <w:t xml:space="preserve">P0</w:t>
            </w:r>
          </w:p>
        </w:tc>
        <w:tc>
          <w:tcPr>
            <w:tcW w:type="dxa" w:w="24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Platform-threatening or cross-tenant breach</w:t>
            </w:r>
          </w:p>
        </w:tc>
        <w:tc>
          <w:tcPr>
            <w:tcW w:type="dxa" w:w="316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Cross-tenant data exposure confirmed · Active data exfiltration · Ransomware</w:t>
            </w:r>
          </w:p>
        </w:tc>
        <w:tc>
          <w:tcPr>
            <w:tcW w:type="dxa" w:w="3000"/>
            <w:tcBorders>
              <w:top w:val="single" w:color="E5E7EB" w:sz="4"/>
              <w:left w:val="single" w:color="E5E7EB" w:sz="4"/>
              <w:bottom w:val="single" w:color="E5E7EB" w:sz="4"/>
              <w:right w:val="single" w:color="E5E7EB" w:sz="4"/>
            </w:tcBorders>
            <w:shd w:fill="FEF2F2"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Immediate: all on-call engineers + leadership notified within 5 minutes. Platform may be suspended.</w:t>
            </w:r>
          </w:p>
        </w:tc>
      </w:tr>
      <w:tr>
        <w:tc>
          <w:tcPr>
            <w:tcW w:type="dxa" w:w="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P1</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Platform down or security event confirmed</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Portal unavailable &gt;2 minutes · Security vulnerability exploited · GDPR breach suspected</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On-call engineer responds within 15 minutes. Status page updated. Client notification within 1 hour.</w:t>
            </w:r>
          </w:p>
        </w:tc>
      </w:tr>
      <w:tr>
        <w:tc>
          <w:tcPr>
            <w:tcW w:type="dxa" w:w="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P2</w:t>
            </w:r>
          </w:p>
        </w:tc>
        <w:tc>
          <w:tcPr>
            <w:tcW w:type="dxa" w:w="2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Significant degradation or security event suspected</w:t>
            </w:r>
          </w:p>
        </w:tc>
        <w:tc>
          <w:tcPr>
            <w:tcW w:type="dxa" w:w="3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pipeline failure · High error rates · Suspected brute force</w:t>
            </w:r>
          </w:p>
        </w:tc>
        <w:tc>
          <w:tcPr>
            <w:tcW w:type="dxa" w:w="3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On-call engineer responds within 1 hour. Status page updated.</w:t>
            </w:r>
          </w:p>
        </w:tc>
      </w:tr>
      <w:tr>
        <w:tc>
          <w:tcPr>
            <w:tcW w:type="dxa" w:w="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P3</w:t>
            </w:r>
          </w:p>
        </w:tc>
        <w:tc>
          <w:tcPr>
            <w:tcW w:type="dxa" w:w="2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Minor degradation or policy violation</w:t>
            </w:r>
          </w:p>
        </w:tc>
        <w:tc>
          <w:tcPr>
            <w:tcW w:type="dxa" w:w="3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Slow report generation · Non-critical bug · Minor audit finding</w:t>
            </w:r>
          </w:p>
        </w:tc>
        <w:tc>
          <w:tcPr>
            <w:tcW w:type="dxa" w:w="3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Acknowledged within 4 hours. Resolved within next business day.</w:t>
            </w:r>
          </w:p>
        </w:tc>
      </w:tr>
    </w:tbl>
    <w:p>
      <w:pPr>
        <w:spacing w:before="0" w:after="80"/>
      </w:pPr>
    </w:p>
    <w:p>
      <w:pPr>
        <w:pStyle w:val="Heading2"/>
        <w:spacing w:before="280" w:after="100"/>
      </w:pPr>
      <w:r>
        <w:rPr>
          <w:rFonts w:ascii="Georgia" w:cs="Georgia" w:eastAsia="Georgia" w:hAnsi="Georgia"/>
          <w:b/>
          <w:bCs/>
          <w:color w:val="1E40AF"/>
          <w:sz w:val="28"/>
          <w:szCs w:val="28"/>
        </w:rPr>
        <w:t xml:space="preserve">10.2 Personal Data Breach Notification</w:t>
      </w:r>
    </w:p>
    <w:p>
      <w:pPr>
        <w:pStyle w:val="ListParagraph"/>
        <w:numPr>
          <w:ilvl w:val="0"/>
          <w:numId w:val="2"/>
        </w:numPr>
        <w:spacing w:before="0" w:after="60"/>
      </w:pPr>
      <w:r>
        <w:rPr>
          <w:rFonts w:ascii="Calibri" w:cs="Calibri" w:eastAsia="Calibri" w:hAnsi="Calibri"/>
          <w:color w:val="374151"/>
          <w:sz w:val="21"/>
          <w:szCs w:val="21"/>
        </w:rPr>
        <w:t xml:space="preserve">GDPR Article 33 / DPDP Section 9: personal data breaches must be reported to the relevant supervisory authority within 72 hours of becoming aware of the breach, where feasible.</w:t>
      </w:r>
    </w:p>
    <w:p>
      <w:pPr>
        <w:pStyle w:val="ListParagraph"/>
        <w:numPr>
          <w:ilvl w:val="0"/>
          <w:numId w:val="2"/>
        </w:numPr>
        <w:spacing w:before="0" w:after="60"/>
      </w:pPr>
      <w:r>
        <w:rPr>
          <w:rFonts w:ascii="Calibri" w:cs="Calibri" w:eastAsia="Calibri" w:hAnsi="Calibri"/>
          <w:color w:val="374151"/>
          <w:sz w:val="21"/>
          <w:szCs w:val="21"/>
        </w:rPr>
        <w:t xml:space="preserve">Edstellar's responsibility as Data Processor: notify the client (Data Controller) within 24 hours of becoming aware of a suspected or confirmed breach involving their employees' personal data. Notification includes: nature of the breach, approximate number of individuals and records affected, likely consequences, and measures taken or proposed.</w:t>
      </w:r>
    </w:p>
    <w:p>
      <w:pPr>
        <w:pStyle w:val="ListParagraph"/>
        <w:numPr>
          <w:ilvl w:val="0"/>
          <w:numId w:val="2"/>
        </w:numPr>
        <w:spacing w:before="0" w:after="60"/>
      </w:pPr>
      <w:r>
        <w:rPr>
          <w:rFonts w:ascii="Calibri" w:cs="Calibri" w:eastAsia="Calibri" w:hAnsi="Calibri"/>
          <w:color w:val="374151"/>
          <w:sz w:val="21"/>
          <w:szCs w:val="21"/>
        </w:rPr>
        <w:t xml:space="preserve">Client's responsibility as Data Controller: notify their relevant supervisory authority (e.g. ICO for UK/EU clients, Data Protection Board for India) within 72 hours of receiving notification from Edstellar.</w:t>
      </w:r>
    </w:p>
    <w:p>
      <w:pPr>
        <w:pStyle w:val="ListParagraph"/>
        <w:numPr>
          <w:ilvl w:val="0"/>
          <w:numId w:val="2"/>
        </w:numPr>
        <w:spacing w:before="0" w:after="60"/>
      </w:pPr>
      <w:r>
        <w:rPr>
          <w:rFonts w:ascii="Calibri" w:cs="Calibri" w:eastAsia="Calibri" w:hAnsi="Calibri"/>
          <w:color w:val="374151"/>
          <w:sz w:val="21"/>
          <w:szCs w:val="21"/>
        </w:rPr>
        <w:t xml:space="preserve">Breach documentation: all breach events are documented in the security incident log regardless of whether they meet the notification threshold. Documentation includes: detection date, nature of breach, data affected, number of individuals affected, measures taken, and outcome.</w:t>
      </w:r>
    </w:p>
    <w:p>
      <w:pPr>
        <w:spacing w:before="0" w:after="80"/>
      </w:pPr>
    </w:p>
    <w:p>
      <w:pPr>
        <w:pStyle w:val="Heading2"/>
        <w:spacing w:before="280" w:after="100"/>
      </w:pPr>
      <w:r>
        <w:rPr>
          <w:rFonts w:ascii="Georgia" w:cs="Georgia" w:eastAsia="Georgia" w:hAnsi="Georgia"/>
          <w:b/>
          <w:bCs/>
          <w:color w:val="1E40AF"/>
          <w:sz w:val="28"/>
          <w:szCs w:val="28"/>
        </w:rPr>
        <w:t xml:space="preserve">10.3 Security Event Response Contacts</w:t>
      </w:r>
    </w:p>
    <w:p>
      <w:pPr>
        <w:spacing w:before="0" w:after="100"/>
      </w:pPr>
      <w:r>
        <w:rPr>
          <w:rFonts w:ascii="Calibri" w:cs="Calibri" w:eastAsia="Calibri" w:hAnsi="Calibri"/>
          <w:b w:val="false"/>
          <w:bCs w:val="false"/>
          <w:i/>
          <w:iCs/>
          <w:color w:val="6B7280"/>
          <w:sz w:val="22"/>
          <w:szCs w:val="22"/>
        </w:rPr>
        <w:t xml:space="preserve">Security events should be reported to: security@edstellar.com. This address is monitored 24/7. Enterprise clients with active SLAs have a named security contact and an emergency phone number in their contract.</w:t>
      </w:r>
    </w:p>
    <w:p>
      <w:pPr>
        <w:spacing w:before="0" w:after="120"/>
      </w:pPr>
    </w:p>
    <w:p>
      <w:pPr>
        <w:spacing w:before="0" w:after="0"/>
        <w:jc w:val="center"/>
      </w:pPr>
      <w:r>
        <w:rPr>
          <w:rFonts w:ascii="Calibri" w:cs="Calibri" w:eastAsia="Calibri" w:hAnsi="Calibri"/>
          <w:color w:val="6B7280"/>
          <w:sz w:val="18"/>
          <w:szCs w:val="18"/>
        </w:rPr>
        <w:t xml:space="preserve">Edstellar Skills Intelligence Platform — Security and Compliance Specification v1.0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0F172A"/>
      <w:sz w:val="38"/>
      <w:szCs w:val="38"/>
    </w:rPr>
  </w:style>
  <w:style w:type="paragraph" w:styleId="Heading2">
    <w:name w:val="Heading 2"/>
    <w:basedOn w:val="Normal"/>
    <w:next w:val="Normal"/>
    <w:qFormat/>
    <w:pPr>
      <w:spacing w:before="280" w:after="100"/>
      <w:outlineLvl w:val="1"/>
    </w:pPr>
    <w:rPr>
      <w:rFonts w:ascii="Georgia" w:cs="Georgia" w:eastAsia="Georgia" w:hAnsi="Georgia"/>
      <w:b/>
      <w:bCs/>
      <w:color w:val="1E40A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2026-03-24T12:32:27.016Z</dcterms:created>
  <dcterms:modified xsi:type="dcterms:W3CDTF">2026-03-24T12:32:27.017Z</dcterms:modified>
</cp:coreProperties>
</file>

<file path=docProps/custom.xml><?xml version="1.0" encoding="utf-8"?>
<Properties xmlns="http://schemas.openxmlformats.org/officeDocument/2006/custom-properties" xmlns:vt="http://schemas.openxmlformats.org/officeDocument/2006/docPropsVTypes"/>
</file>