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6263" w14:textId="26DF5391" w:rsidR="005E1F04" w:rsidRPr="005E1F04" w:rsidRDefault="00C42666" w:rsidP="005E1F04">
      <w:pPr>
        <w:rPr>
          <w:b/>
          <w:bCs/>
        </w:rPr>
      </w:pPr>
      <w:r w:rsidRPr="00C42666">
        <w:rPr>
          <w:rFonts w:hint="eastAsia"/>
          <w:b/>
          <w:bCs/>
        </w:rPr>
        <w:t>國際合資企業合資合作夥伴一覽表</w:t>
      </w:r>
      <w:r w:rsidR="005E1F04" w:rsidRPr="005E1F04">
        <w:t xml:space="preserve"> </w:t>
      </w:r>
      <w:bookmarkStart w:id="0" w:name="_GoBack"/>
      <w:bookmarkEnd w:id="0"/>
    </w:p>
    <w:p w14:paraId="6E99ED41" w14:textId="77777777" w:rsidR="005E1F04" w:rsidRPr="005E1F04" w:rsidRDefault="005E1F04" w:rsidP="005E1F0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友嘉集團國際JV合資夥伴</w:t>
      </w:r>
    </w:p>
    <w:p w14:paraId="222FD88B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TOYOTA TSUSHO（豐田通商）</w:t>
      </w:r>
    </w:p>
    <w:p w14:paraId="2092FEC6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4244C733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日本豐田通商年營業額4.6兆日圓，東京上市公司</w:t>
      </w:r>
    </w:p>
    <w:p w14:paraId="639ABE20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Marubeni（丸紅）</w:t>
      </w:r>
    </w:p>
    <w:p w14:paraId="427CC03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46E70214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日本前五大商社年營業額10兆日圓，東京上市公司（合作12年，合資2家）</w:t>
      </w:r>
    </w:p>
    <w:p w14:paraId="27479C06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CITIZEN（西鐵城）</w:t>
      </w:r>
    </w:p>
    <w:p w14:paraId="0139551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全球500大企業</w:t>
      </w:r>
    </w:p>
    <w:p w14:paraId="0F823511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日本專業CNC工具機製造廠，東京上市公司（曾為合資的夥伴）</w:t>
      </w:r>
    </w:p>
    <w:p w14:paraId="113A7B43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ANEST IWATA</w:t>
      </w:r>
    </w:p>
    <w:p w14:paraId="0B976D2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日本最大塗裝設備廠年營業額五百億多日圓，東京上市公司（2家合資）</w:t>
      </w:r>
    </w:p>
    <w:p w14:paraId="4B434F04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TAKAMAZ</w:t>
      </w:r>
    </w:p>
    <w:p w14:paraId="703B267A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專業CNC車床製造廠東京上市公司（7年以上，合資6家）</w:t>
      </w:r>
    </w:p>
    <w:p w14:paraId="28400C8F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WAIDA</w:t>
      </w:r>
    </w:p>
    <w:p w14:paraId="3C2E95B4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日本超精密磨床製造廠，東京上市公司</w:t>
      </w:r>
    </w:p>
    <w:p w14:paraId="6231E65E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MECTRON</w:t>
      </w:r>
    </w:p>
    <w:p w14:paraId="2F5F8508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日本專業CNC工具機製造廠</w:t>
      </w:r>
    </w:p>
    <w:p w14:paraId="7E7F586C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Nippon Cable（日本電纜）</w:t>
      </w:r>
    </w:p>
    <w:p w14:paraId="7670233D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日本第一市占率95%纜車製造廠，東京股票上市公司</w:t>
      </w:r>
    </w:p>
    <w:p w14:paraId="4704CCAD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朝日電機</w:t>
      </w:r>
    </w:p>
    <w:p w14:paraId="1E2CE9E2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日本知名自動化公司</w:t>
      </w:r>
    </w:p>
    <w:p w14:paraId="3C153F32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橫山株式會社</w:t>
      </w:r>
    </w:p>
    <w:p w14:paraId="16262E91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日本前十五大商社</w:t>
      </w:r>
    </w:p>
    <w:p w14:paraId="51D53C81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YAMASAN TEKKO</w:t>
      </w:r>
    </w:p>
    <w:p w14:paraId="7C7EF3CE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日本百年以上營運歷史加工廠</w:t>
      </w:r>
    </w:p>
    <w:p w14:paraId="2D5C28F6" w14:textId="77777777" w:rsidR="005E1F04" w:rsidRPr="005E1F04" w:rsidRDefault="005E1F04" w:rsidP="005E1F0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b/>
          <w:bCs/>
          <w:kern w:val="0"/>
          <w14:ligatures w14:val="none"/>
        </w:rPr>
        <w:t>SUMIZAWA TEKKO</w:t>
      </w:r>
    </w:p>
    <w:p w14:paraId="439C3A69" w14:textId="77777777" w:rsidR="005E1F04" w:rsidRPr="005E1F04" w:rsidRDefault="005E1F04" w:rsidP="005E1F0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E1F04">
        <w:rPr>
          <w:rFonts w:ascii="新細明體" w:eastAsia="新細明體" w:hAnsi="新細明體" w:cs="新細明體"/>
          <w:kern w:val="0"/>
          <w14:ligatures w14:val="none"/>
        </w:rPr>
        <w:t>日本百年以上營運歷史加工廠</w:t>
      </w:r>
    </w:p>
    <w:p w14:paraId="0724CA70" w14:textId="7097A43D" w:rsidR="005E1F04" w:rsidRPr="005E1F04" w:rsidRDefault="005E1F04" w:rsidP="005E1F0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   </w:t>
      </w:r>
    </w:p>
    <w:sectPr w:rsidR="005E1F04" w:rsidRPr="005E1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D180" w14:textId="77777777" w:rsidR="00BD73D8" w:rsidRDefault="00BD73D8" w:rsidP="005E1F04">
      <w:pPr>
        <w:spacing w:after="0" w:line="240" w:lineRule="auto"/>
      </w:pPr>
      <w:r>
        <w:separator/>
      </w:r>
    </w:p>
  </w:endnote>
  <w:endnote w:type="continuationSeparator" w:id="0">
    <w:p w14:paraId="64DAB517" w14:textId="77777777" w:rsidR="00BD73D8" w:rsidRDefault="00BD73D8" w:rsidP="005E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0375" w14:textId="77777777" w:rsidR="00BD73D8" w:rsidRDefault="00BD73D8" w:rsidP="005E1F04">
      <w:pPr>
        <w:spacing w:after="0" w:line="240" w:lineRule="auto"/>
      </w:pPr>
      <w:r>
        <w:separator/>
      </w:r>
    </w:p>
  </w:footnote>
  <w:footnote w:type="continuationSeparator" w:id="0">
    <w:p w14:paraId="2559D9C0" w14:textId="77777777" w:rsidR="00BD73D8" w:rsidRDefault="00BD73D8" w:rsidP="005E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CB5"/>
    <w:multiLevelType w:val="multilevel"/>
    <w:tmpl w:val="DD2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2EBD"/>
    <w:multiLevelType w:val="multilevel"/>
    <w:tmpl w:val="9B9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78E5"/>
    <w:multiLevelType w:val="multilevel"/>
    <w:tmpl w:val="957C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66"/>
    <w:rsid w:val="005E1F04"/>
    <w:rsid w:val="007029D9"/>
    <w:rsid w:val="008D1512"/>
    <w:rsid w:val="0091472C"/>
    <w:rsid w:val="00A05042"/>
    <w:rsid w:val="00BD73D8"/>
    <w:rsid w:val="00C4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273F3"/>
  <w15:chartTrackingRefBased/>
  <w15:docId w15:val="{64890D74-71EB-4BE6-9D62-EB467DBC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F04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5E1F04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F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F0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5E1F04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customStyle="1" w:styleId="40">
    <w:name w:val="標題 4 字元"/>
    <w:basedOn w:val="a0"/>
    <w:link w:val="4"/>
    <w:uiPriority w:val="9"/>
    <w:rsid w:val="005E1F04"/>
    <w:rPr>
      <w:rFonts w:ascii="新細明體" w:eastAsia="新細明體" w:hAnsi="新細明體" w:cs="新細明體"/>
      <w:b/>
      <w:bCs/>
      <w:kern w:val="0"/>
      <w14:ligatures w14:val="none"/>
    </w:rPr>
  </w:style>
  <w:style w:type="character" w:styleId="a7">
    <w:name w:val="Strong"/>
    <w:basedOn w:val="a0"/>
    <w:uiPriority w:val="22"/>
    <w:qFormat/>
    <w:rsid w:val="005E1F04"/>
    <w:rPr>
      <w:b/>
      <w:bCs/>
    </w:rPr>
  </w:style>
  <w:style w:type="paragraph" w:styleId="Web">
    <w:name w:val="Normal (Web)"/>
    <w:basedOn w:val="a"/>
    <w:uiPriority w:val="99"/>
    <w:semiHidden/>
    <w:unhideWhenUsed/>
    <w:rsid w:val="005E1F0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2</cp:revision>
  <dcterms:created xsi:type="dcterms:W3CDTF">2024-12-07T10:04:00Z</dcterms:created>
  <dcterms:modified xsi:type="dcterms:W3CDTF">2024-12-11T13:51:00Z</dcterms:modified>
</cp:coreProperties>
</file>