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537A"/>
          <w:sz w:val="36"/>
        </w:rPr>
        <w:t>BPE vs SuperBPE — the plan</w:t>
      </w:r>
    </w:p>
    <w:p>
      <w:pPr>
        <w:spacing w:after="160"/>
      </w:pPr>
      <w:r>
        <w:rPr>
          <w:color w:val="5F6B76"/>
          <w:sz w:val="19"/>
        </w:rPr>
        <w:t>Six languages · 20B tokens · OLMo-1B · 2026-08-01</w:t>
      </w:r>
    </w:p>
    <w:p>
      <w:r>
        <w:rPr>
          <w:sz w:val="21"/>
        </w:rPr>
        <w:t>Two OLMo-1B models identical in architecture, data, seed and compute, differing only in whether the 100k-vocab tokenizer is ordinary BPE or SuperBPE (multiword merges from 80k onward). Everything below exists to make sure the tokenizer is the only thing that differs.</w:t>
      </w:r>
    </w:p>
    <w:p>
      <w:pPr>
        <w:pStyle w:val="Heading1"/>
      </w:pPr>
      <w:r>
        <w:t>Languages and how the 78 GB splits</w:t>
      </w:r>
    </w:p>
    <w:p>
      <w:r>
        <w:rPr>
          <w:sz w:val="20"/>
        </w:rPr>
        <w:t>English is the reference. The other five were chosen to vary script, morphology and resource level: an agglutinative European language, a logographic one, an Indic abugida, a Bantu language, and a creole. UniMax allocation with a 4-epoch repetition cap — as uniform as availability permits.</w:t>
      </w:r>
    </w:p>
    <w:p>
      <w:pPr>
        <w:pStyle w:val="ListBullet"/>
        <w:spacing w:after="80"/>
      </w:pPr>
      <w:r>
        <w:rPr>
          <w:b/>
          <w:sz w:val="21"/>
        </w:rPr>
        <w:t>English (eng_Latn)</w:t>
      </w:r>
      <w:r>
        <w:rPr>
          <w:sz w:val="21"/>
        </w:rPr>
        <w:t xml:space="preserve"> — 15.0 GB, 19.2% of the mixture, seen once. Effectively unlimited source data.</w:t>
      </w:r>
    </w:p>
    <w:p>
      <w:pPr>
        <w:pStyle w:val="ListBullet"/>
        <w:spacing w:after="80"/>
      </w:pPr>
      <w:r>
        <w:rPr>
          <w:b/>
          <w:sz w:val="21"/>
        </w:rPr>
        <w:t>Hungarian (hun_Latn)</w:t>
      </w:r>
      <w:r>
        <w:rPr>
          <w:sz w:val="21"/>
        </w:rPr>
        <w:t xml:space="preserve"> — 15.0 GB, 19.2%, seen once. Drawn from a 98.6 GB pool.</w:t>
      </w:r>
    </w:p>
    <w:p>
      <w:pPr>
        <w:pStyle w:val="ListBullet"/>
        <w:spacing w:after="80"/>
      </w:pPr>
      <w:r>
        <w:rPr>
          <w:b/>
          <w:sz w:val="21"/>
        </w:rPr>
        <w:t>Mandarin (zho_Hans)</w:t>
      </w:r>
      <w:r>
        <w:rPr>
          <w:sz w:val="21"/>
        </w:rPr>
        <w:t xml:space="preserve"> — 15.0 GB, 19.2%, seen once. Drawn from a 1.6 TB pool, so 0.01 epochs of what exists. The most data-rich language in the set contributes exactly the same compute as the scarcest — that is what uniformity costs.</w:t>
      </w:r>
    </w:p>
    <w:p>
      <w:pPr>
        <w:pStyle w:val="ListBullet"/>
        <w:spacing w:after="80"/>
      </w:pPr>
      <w:r>
        <w:rPr>
          <w:b/>
          <w:sz w:val="21"/>
        </w:rPr>
        <w:t>Hindi (hin_Deva)</w:t>
      </w:r>
      <w:r>
        <w:rPr>
          <w:sz w:val="21"/>
        </w:rPr>
        <w:t xml:space="preserve"> — 15.0 GB, 19.2%, seen once. Drawn from a 34.4 GB pool.</w:t>
      </w:r>
    </w:p>
    <w:p>
      <w:pPr>
        <w:pStyle w:val="ListBullet"/>
        <w:spacing w:after="80"/>
      </w:pPr>
      <w:r>
        <w:rPr>
          <w:b/>
          <w:sz w:val="21"/>
        </w:rPr>
        <w:t>Swahili (swh_Latn)</w:t>
      </w:r>
      <w:r>
        <w:rPr>
          <w:sz w:val="21"/>
        </w:rPr>
        <w:t xml:space="preserve"> — 15.0 GB, 19.2%, but only 4.58 GB exists, so </w:t>
      </w:r>
      <w:r>
        <w:rPr>
          <w:b/>
          <w:sz w:val="21"/>
        </w:rPr>
        <w:t>3.27 epochs</w:t>
      </w:r>
      <w:r>
        <w:rPr>
          <w:sz w:val="21"/>
        </w:rPr>
        <w:t>. Drawn in full.</w:t>
      </w:r>
    </w:p>
    <w:p>
      <w:pPr>
        <w:pStyle w:val="ListBullet"/>
        <w:spacing w:after="80"/>
      </w:pPr>
      <w:r>
        <w:rPr>
          <w:b/>
          <w:sz w:val="21"/>
        </w:rPr>
        <w:t>Haitian Creole (hat_Latn)</w:t>
      </w:r>
      <w:r>
        <w:rPr>
          <w:sz w:val="21"/>
        </w:rPr>
        <w:t xml:space="preserve"> — 3.09 GB, 3.96%, from a 0.77 GB pool at </w:t>
      </w:r>
      <w:r>
        <w:rPr>
          <w:b/>
          <w:sz w:val="21"/>
        </w:rPr>
        <w:t>4.00 epochs</w:t>
      </w:r>
      <w:r>
        <w:rPr>
          <w:sz w:val="21"/>
        </w:rPr>
        <w:t>. The only language the cap binds on, and the reason the mixture is not six equal shares: an even split would demand 13 GB of Creole and require 17 epochs.</w:t>
      </w:r>
    </w:p>
    <w:p>
      <w:r>
        <w:rPr>
          <w:b/>
          <w:sz w:val="20"/>
        </w:rPr>
        <w:t>78.0 GB of training data from 65.3 GB of unique text</w:t>
      </w:r>
      <w:r>
        <w:rPr>
          <w:sz w:val="20"/>
        </w:rPr>
        <w:t xml:space="preserve"> — the gap is repetition on Swahili and Creole. 20B tokens measured on the BPE arm; SuperBPE trains on the same </w:t>
      </w:r>
      <w:r>
        <w:rPr>
          <w:i/>
          <w:sz w:val="20"/>
        </w:rPr>
        <w:t>bytes</w:t>
      </w:r>
      <w:r>
        <w:rPr>
          <w:sz w:val="20"/>
        </w:rPr>
        <w:t xml:space="preserve">, not the same tokens, so both models see identical content. Separately, the tokenizers themselves are trained on a much smaller </w:t>
      </w:r>
      <w:r>
        <w:rPr>
          <w:b/>
          <w:sz w:val="20"/>
        </w:rPr>
        <w:t>960 MB corpus at exactly 160 MB per language</w:t>
      </w:r>
      <w:r>
        <w:rPr>
          <w:sz w:val="20"/>
        </w:rPr>
        <w:t xml:space="preserve"> — equal bytes there, because an unbalanced tokenizer corpus would turn a measured Creole penalty into a corpus artifact.</w:t>
      </w:r>
    </w:p>
    <w:p>
      <w:pPr>
        <w:pStyle w:val="Heading1"/>
      </w:pPr>
      <w:r>
        <w:t>Getting the data</w:t>
      </w:r>
    </w:p>
    <w:p>
      <w:pPr>
        <w:pStyle w:val="ListBullet"/>
        <w:spacing w:after="80"/>
      </w:pPr>
      <w:r>
        <w:rPr>
          <w:b/>
          <w:sz w:val="21"/>
        </w:rPr>
        <w:t>One source across all six languages: FineWeb-2 web crawl</w:t>
      </w:r>
      <w:r>
        <w:rPr>
          <w:sz w:val="21"/>
        </w:rPr>
        <w:t xml:space="preserve"> (ODC-By), with English from FineWeb `sample-10BT` since FineWeb-2 has no English. A mixed diet — Creole from bibles, Hungarian from web text — would confound domain with language, so the corpus differs by language and nothing else.</w:t>
      </w:r>
    </w:p>
    <w:p>
      <w:pPr>
        <w:pStyle w:val="ListBullet"/>
        <w:spacing w:after="80"/>
      </w:pPr>
      <w:r>
        <w:rPr>
          <w:b/>
          <w:sz w:val="21"/>
        </w:rPr>
        <w:t>A fallback ladder for the two languages that run short</w:t>
      </w:r>
      <w:r>
        <w:rPr>
          <w:sz w:val="21"/>
        </w:rPr>
        <w:t>, ordered by license cleanliness: HPLT 2.0 (CC0) first, then GlotCC (CC0), then Wikipedia (CC BY-SA, last resort because it is copyleft). HPLT alone clears the Creole budget 2.6×. Every rung used gets recorded per language — if Creole draws on two rungs while Hungarian draws on one, that asymmetry is a known confound and needs to be visible.</w:t>
      </w:r>
    </w:p>
    <w:p>
      <w:pPr>
        <w:pStyle w:val="ListBullet"/>
        <w:spacing w:after="80"/>
      </w:pPr>
      <w:r>
        <w:rPr>
          <w:b/>
          <w:sz w:val="21"/>
        </w:rPr>
        <w:t>Some obvious sources are traps.</w:t>
      </w:r>
      <w:r>
        <w:rPr>
          <w:sz w:val="21"/>
        </w:rPr>
        <w:t xml:space="preserve"> The top search result for a large Swahili corpus is ~3.5 GB and includes English Wikipedia machine-translated into Swahili. Synthetic translationese is the one contaminant a tokenizer-efficiency study cannot absorb. Same for the Creole MT bitext — the Creole side is translated, not native.</w:t>
      </w:r>
    </w:p>
    <w:p>
      <w:pPr>
        <w:pStyle w:val="ListBullet"/>
        <w:spacing w:after="80"/>
      </w:pPr>
      <w:r>
        <w:rPr>
          <w:b/>
          <w:sz w:val="21"/>
        </w:rPr>
        <w:t>The pull runs on EC2, not a laptop.</w:t>
      </w:r>
      <w:r>
        <w:rPr>
          <w:sz w:val="21"/>
        </w:rPr>
        <w:t xml:space="preserve"> 65 GB over residential broadband is days; from EC2 into same-region S3 it is minutes and transfer in is free. Roughly ten hours on a general-purpose instance with a 300 GB volume, since the work is decompression and I/O rather than compute.</w:t>
      </w:r>
    </w:p>
    <w:p>
      <w:pPr>
        <w:pStyle w:val="ListBullet"/>
        <w:spacing w:after="80"/>
      </w:pPr>
      <w:r>
        <w:rPr>
          <w:b/>
          <w:sz w:val="21"/>
        </w:rPr>
        <w:t>Contamination check before anything else.</w:t>
      </w:r>
      <w:r>
        <w:rPr>
          <w:sz w:val="21"/>
        </w:rPr>
        <w:t xml:space="preserve"> FLORES-200 devtest is the evaluation set, so n-gram overlap gets measured per language against the pretraining pools and reported. Leakage here invalidates the headline result rather than merely biasing a statistic.</w:t>
      </w:r>
    </w:p>
    <w:p>
      <w:pPr>
        <w:pStyle w:val="Heading1"/>
      </w:pPr>
      <w:r>
        <w:t>Sharding it with dolma</w:t>
      </w:r>
    </w:p>
    <w:p>
      <w:pPr>
        <w:pStyle w:val="ListBullet"/>
        <w:spacing w:after="80"/>
      </w:pPr>
      <w:r>
        <w:rPr>
          <w:b/>
          <w:sz w:val="21"/>
        </w:rPr>
        <w:t>Sample the 78 GB document stream once, with a fixed seed, and hash it.</w:t>
      </w:r>
      <w:r>
        <w:rPr>
          <w:sz w:val="21"/>
        </w:rPr>
        <w:t xml:space="preserve"> Both arms tokenize that identical stream. Sampling separately per arm would introduce a second independent variable and kill the comparison.</w:t>
      </w:r>
    </w:p>
    <w:p>
      <w:pPr>
        <w:pStyle w:val="ListBullet"/>
        <w:spacing w:after="80"/>
      </w:pPr>
      <w:r>
        <w:rPr>
          <w:b/>
          <w:sz w:val="21"/>
        </w:rPr>
        <w:t>Then tokenize twice — once per arm — into flat token arrays</w:t>
      </w:r>
      <w:r>
        <w:rPr>
          <w:sz w:val="21"/>
        </w:rPr>
        <w:t>, on CPU batch compute. Roughly six CPU-hours total, no GPU. Document boundaries have to survive the whole pipeline: the repetition on Swahili and Creole operates on whole documents, and a sampler that splits them mid-way changes what repetition means.</w:t>
      </w:r>
    </w:p>
    <w:p>
      <w:pPr>
        <w:pStyle w:val="ListBullet"/>
        <w:spacing w:after="80"/>
      </w:pPr>
      <w:r>
        <w:rPr>
          <w:b/>
          <w:sz w:val="21"/>
        </w:rPr>
        <w:t>Write uint32, not the uint16 default.</w:t>
      </w:r>
      <w:r>
        <w:rPr>
          <w:sz w:val="21"/>
        </w:rPr>
        <w:t xml:space="preserve"> A 100k vocabulary does not fit in 16 bits — every token ID above 65,535 would wrap silently, and the reader independently infers uint32 from the vocab size, so writer and reader disagree with nothing raising an error. Consequence worth planning for: 4 bytes per token against 3.9 bytes of source text means the shards come out </w:t>
      </w:r>
      <w:r>
        <w:rPr>
          <w:i/>
          <w:sz w:val="21"/>
        </w:rPr>
        <w:t>larger</w:t>
      </w:r>
      <w:r>
        <w:rPr>
          <w:sz w:val="21"/>
        </w:rPr>
        <w:t xml:space="preserve"> than the corpus, around 140 GB across both arms.</w:t>
      </w:r>
    </w:p>
    <w:p>
      <w:pPr>
        <w:pStyle w:val="ListBullet"/>
        <w:spacing w:after="80"/>
      </w:pPr>
      <w:r>
        <w:rPr>
          <w:b/>
          <w:sz w:val="21"/>
        </w:rPr>
        <w:t>Both arms must report identical input bytes.</w:t>
      </w:r>
      <w:r>
        <w:rPr>
          <w:sz w:val="21"/>
        </w:rPr>
        <w:t xml:space="preserve"> That is the check that the two shard trees really are the same content. The token counts will differ — that difference is the compression effect being measured.</w:t>
      </w:r>
    </w:p>
    <w:p>
      <w:pPr>
        <w:pStyle w:val="Heading1"/>
      </w:pPr>
      <w:r>
        <w:t>Training with olmo-core</w:t>
      </w:r>
    </w:p>
    <w:p>
      <w:pPr>
        <w:pStyle w:val="ListBullet"/>
        <w:spacing w:after="80"/>
      </w:pPr>
      <w:r>
        <w:rPr>
          <w:b/>
          <w:sz w:val="21"/>
        </w:rPr>
        <w:t>OLMo-1B: 16 layers, 2048 hidden, 100k vocab, bf16</w:t>
      </w:r>
      <w:r>
        <w:rPr>
          <w:sz w:val="21"/>
        </w:rPr>
        <w:t xml:space="preserve"> — about 805M non-embedding parameters plus 205M of embeddings. Same seed, same architecture, same data in both arms. Runs go sequentially on the B200, not concurrently: a hardware difference between parallel runs is exactly the confound that stays invisible until review.</w:t>
      </w:r>
    </w:p>
    <w:p>
      <w:pPr>
        <w:pStyle w:val="ListBullet"/>
        <w:spacing w:after="80"/>
      </w:pPr>
      <w:r>
        <w:rPr>
          <w:b/>
          <w:sz w:val="21"/>
        </w:rPr>
        <w:t>Byte-match the context window.</w:t>
      </w:r>
      <w:r>
        <w:rPr>
          <w:sz w:val="21"/>
        </w:rPr>
        <w:t xml:space="preserve"> A SuperBPE token covers more text, so 2048 SuperBPE tokens is a longer span of document than 2048 BPE tokens — roughly 2048 against ~1536. Left unmatched, SuperBPE gets more context per example for reasons unrelated to tokenizer quality.</w:t>
      </w:r>
    </w:p>
    <w:p>
      <w:pPr>
        <w:pStyle w:val="ListBullet"/>
        <w:spacing w:after="80"/>
      </w:pPr>
      <w:r>
        <w:rPr>
          <w:b/>
          <w:sz w:val="21"/>
        </w:rPr>
        <w:t>Hold sequences-per-batch identical and let only the sequence length differ.</w:t>
      </w:r>
      <w:r>
        <w:rPr>
          <w:sz w:val="21"/>
        </w:rPr>
        <w:t xml:space="preserve"> Then bytes-per-step match automatically, step N in each run has consumed the same bytes, and the equal-bytes comparison point is just the same step number in both runs — no drift, no bookkeeping.</w:t>
      </w:r>
    </w:p>
    <w:p>
      <w:pPr>
        <w:pStyle w:val="ListBullet"/>
        <w:spacing w:after="80"/>
      </w:pPr>
      <w:r>
        <w:rPr>
          <w:b/>
          <w:sz w:val="21"/>
        </w:rPr>
        <w:t>Then continue SuperBPE to equal FLOPs.</w:t>
      </w:r>
      <w:r>
        <w:rPr>
          <w:sz w:val="21"/>
        </w:rPr>
        <w:t xml:space="preserve"> At the equal-bytes point it has processed fewer tokens, so it has spent less compute — roughly 33% more steps to match. This needs ~104 GB against the 78 GB the mixture allocates, which pushes Creole past the 4-epoch cap. Cleanest fix is to budget the mixture at the equal-FLOPs volume from the start; the learning-rate schedule has to be planned for that full length too, since a cosine schedule that bottoms out at equal-bytes cannot be meaningfully extended.</w:t>
      </w:r>
    </w:p>
    <w:p>
      <w:pPr>
        <w:pStyle w:val="ListBullet"/>
        <w:spacing w:after="80"/>
      </w:pPr>
      <w:r>
        <w:rPr>
          <w:b/>
          <w:sz w:val="21"/>
        </w:rPr>
        <w:t>Keep three checkpoints:</w:t>
      </w:r>
      <w:r>
        <w:rPr>
          <w:sz w:val="21"/>
        </w:rPr>
        <w:t xml:space="preserve"> BPE at equal bytes, SuperBPE at equal bytes, SuperBPE at equal FLOPs. Deleting the middle one turns the continuation into a full re-run.</w:t>
      </w:r>
    </w:p>
    <w:p>
      <w:pPr>
        <w:pStyle w:val="Heading1"/>
      </w:pPr>
      <w:r>
        <w:t>Evaluation</w:t>
      </w:r>
    </w:p>
    <w:p>
      <w:r>
        <w:rPr>
          <w:sz w:val="20"/>
        </w:rPr>
        <w:t>Three layers, in descending order of how much weight they can carry.</w:t>
      </w:r>
    </w:p>
    <w:p>
      <w:pPr>
        <w:pStyle w:val="ListBullet"/>
        <w:spacing w:after="80"/>
      </w:pPr>
      <w:r>
        <w:rPr>
          <w:b/>
          <w:sz w:val="21"/>
        </w:rPr>
        <w:t>Bits-per-byte on held-out FLORES-200 devtest — the headline result.</w:t>
      </w:r>
      <w:r>
        <w:rPr>
          <w:sz w:val="21"/>
        </w:rPr>
        <w:t xml:space="preserve"> It has to be BPB rather than perplexity: the arms have different vocabularies, so a SuperBPE token covers more text and its per-token loss is mechanically higher. Normalising by raw UTF-8 bytes makes the two comparable, since bytes are identical across arms. Reported per language, at both the equal-bytes and equal-FLOPs checkpoints. If SuperBPE only wins at equal FLOPs, it won by training longer.</w:t>
      </w:r>
    </w:p>
    <w:p>
      <w:pPr>
        <w:pStyle w:val="ListBullet2"/>
        <w:spacing w:after="60"/>
      </w:pPr>
      <w:r>
        <w:rPr>
          <w:sz w:val="20"/>
        </w:rPr>
        <w:t>The training framework's in-loop evaluator reports cross-entropy and perplexity, not bits-per-byte — the byte normalisation is a step we add. The bytes-per-token figure it uses must be measured on the evaluation text, per arm, per language. Taking it from the training set or from the other arm flips the sign of the delta on exactly the low-resource languages the study is about.</w:t>
      </w:r>
    </w:p>
    <w:p>
      <w:pPr>
        <w:pStyle w:val="ListBullet"/>
        <w:spacing w:after="80"/>
      </w:pPr>
      <w:r>
        <w:rPr>
          <w:b/>
          <w:sz w:val="21"/>
        </w:rPr>
        <w:t>Compression metrics on the same held-out text — cheap, and they explain the BPB result.</w:t>
      </w:r>
      <w:r>
        <w:rPr>
          <w:sz w:val="21"/>
        </w:rPr>
        <w:t xml:space="preserve"> These need no trained model, so they can run as soon as the tokenizers exist:</w:t>
      </w:r>
    </w:p>
    <w:p>
      <w:pPr>
        <w:pStyle w:val="ListBullet2"/>
        <w:spacing w:after="60"/>
      </w:pPr>
      <w:r>
        <w:rPr>
          <w:b/>
          <w:sz w:val="20"/>
        </w:rPr>
        <w:t>Token premium</w:t>
      </w:r>
      <w:r>
        <w:rPr>
          <w:sz w:val="20"/>
        </w:rPr>
        <w:t xml:space="preserve"> — tokens needed for the same content relative to English. English is pinned at exactly 1.0 by construction; everything else is the multiplier a speaker of that language pays in context window and API cost.</w:t>
      </w:r>
    </w:p>
    <w:p>
      <w:pPr>
        <w:pStyle w:val="ListBullet2"/>
        <w:spacing w:after="60"/>
      </w:pPr>
      <w:r>
        <w:rPr>
          <w:b/>
          <w:sz w:val="20"/>
        </w:rPr>
        <w:t>Fertility</w:t>
      </w:r>
      <w:r>
        <w:rPr>
          <w:sz w:val="20"/>
        </w:rPr>
        <w:t xml:space="preserve"> — tokens per whitespace word. Distinguishes a tokenizer that is merely verbose from one that is shattering morphology, which matters most for Hungarian's agglutination and Hindi's Devanagari.</w:t>
      </w:r>
    </w:p>
    <w:p>
      <w:pPr>
        <w:pStyle w:val="ListBullet2"/>
        <w:spacing w:after="60"/>
      </w:pPr>
      <w:r>
        <w:rPr>
          <w:b/>
          <w:sz w:val="20"/>
        </w:rPr>
        <w:t>Zipfian deviation</w:t>
      </w:r>
      <w:r>
        <w:rPr>
          <w:sz w:val="20"/>
        </w:rPr>
        <w:t xml:space="preserve"> — whether each language's token frequency distribution actually looks like natural language, via a Zipf-Mandelbrot fit, KS distance from pure Zipf, and effective vocabulary size. This is the structural question the other two miss: a tokenizer can post a decent premium while producing a distribution that is nothing like a real lexicon. SuperBPE's multiword merges are exactly the kind of thing that would show up here.</w:t>
      </w:r>
    </w:p>
    <w:p>
      <w:pPr>
        <w:pStyle w:val="ListBullet2"/>
        <w:spacing w:after="60"/>
      </w:pPr>
      <w:r>
        <w:rPr>
          <w:b/>
          <w:sz w:val="20"/>
        </w:rPr>
        <w:t>Chars per token, single-token word rate, and Gini across languages</w:t>
      </w:r>
      <w:r>
        <w:rPr>
          <w:sz w:val="20"/>
        </w:rPr>
        <w:t xml:space="preserve"> as supporting detail — the last one being the inequality of token cost across the six, which is the fairness framing of the same number.</w:t>
      </w:r>
    </w:p>
    <w:p>
      <w:pPr>
        <w:pStyle w:val="ListBullet"/>
        <w:spacing w:after="80"/>
      </w:pPr>
      <w:r>
        <w:rPr>
          <w:b/>
          <w:sz w:val="21"/>
        </w:rPr>
        <w:t>Downstream benchmarks built by people who speak the language.</w:t>
      </w:r>
      <w:r>
        <w:rPr>
          <w:sz w:val="21"/>
        </w:rPr>
        <w:t xml:space="preserve"> Translated benchmarks measure translation quality as much as model quality, so where a native-authored option exists we use it:</w:t>
      </w:r>
    </w:p>
    <w:p>
      <w:pPr>
        <w:pStyle w:val="ListBullet2"/>
        <w:spacing w:after="60"/>
      </w:pPr>
      <w:r>
        <w:rPr>
          <w:b/>
          <w:sz w:val="20"/>
        </w:rPr>
        <w:t>Hungarian</w:t>
      </w:r>
      <w:r>
        <w:rPr>
          <w:sz w:val="20"/>
        </w:rPr>
        <w:t xml:space="preserve"> — HuLU, from the Hungarian Research Centre for Linguistics: acceptability, textual entailment, plausible alternatives, all authored or adapted in-house.</w:t>
      </w:r>
    </w:p>
    <w:p>
      <w:pPr>
        <w:pStyle w:val="ListBullet2"/>
        <w:spacing w:after="60"/>
      </w:pPr>
      <w:r>
        <w:rPr>
          <w:b/>
          <w:sz w:val="20"/>
        </w:rPr>
        <w:t>Hindi</w:t>
      </w:r>
      <w:r>
        <w:rPr>
          <w:sz w:val="20"/>
        </w:rPr>
        <w:t xml:space="preserve"> — MILU, from AI4Bharat at IIT Madras with IBM Research India: ~80k questions drawn from Indian regional and state examinations, covering local history, law and festivals rather than translated Western material.</w:t>
      </w:r>
    </w:p>
    <w:p>
      <w:pPr>
        <w:pStyle w:val="ListBullet2"/>
        <w:spacing w:after="60"/>
      </w:pPr>
      <w:r>
        <w:rPr>
          <w:b/>
          <w:sz w:val="20"/>
        </w:rPr>
        <w:t>Swahili</w:t>
      </w:r>
      <w:r>
        <w:rPr>
          <w:sz w:val="20"/>
        </w:rPr>
        <w:t xml:space="preserve"> — IrokoBench from the Masakhane community: AfriMMLU and AfriXNLI, human-translated by African-language speakers rather than machine-translated.</w:t>
      </w:r>
    </w:p>
    <w:p>
      <w:pPr>
        <w:pStyle w:val="ListBullet2"/>
        <w:spacing w:after="60"/>
      </w:pPr>
      <w:r>
        <w:rPr>
          <w:b/>
          <w:sz w:val="20"/>
        </w:rPr>
        <w:t>Mandarin</w:t>
      </w:r>
      <w:r>
        <w:rPr>
          <w:sz w:val="20"/>
        </w:rPr>
        <w:t xml:space="preserve"> — C-Eval and CLUE, both Chinese-authored, drawn from Chinese examinations.</w:t>
      </w:r>
    </w:p>
    <w:p>
      <w:pPr>
        <w:pStyle w:val="ListBullet2"/>
        <w:spacing w:after="60"/>
      </w:pPr>
      <w:r>
        <w:rPr>
          <w:b/>
          <w:sz w:val="20"/>
        </w:rPr>
        <w:t>Haitian Creole</w:t>
      </w:r>
      <w:r>
        <w:rPr>
          <w:sz w:val="20"/>
        </w:rPr>
        <w:t xml:space="preserve"> — CreoleVal, the only real option and genuinely thin: reading comprehension and MIT-Haiti machine translation. Worth stating plainly that Creole has the weakest evaluation coverage of the six, which is itself part of why it is in the study.</w:t>
      </w:r>
    </w:p>
    <w:p>
      <w:pPr>
        <w:pStyle w:val="ListBullet2"/>
        <w:spacing w:after="60"/>
      </w:pPr>
      <w:r>
        <w:rPr>
          <w:sz w:val="20"/>
        </w:rPr>
        <w:t>Expect near-floor scores on most of these. At 1B parameters and 20B tokens these models are weak on multiple-choice reasoning, so this layer is supporting evidence and a noisy result here should not be allowed to contradict a clean BPB one.</w:t>
      </w:r>
    </w:p>
    <w:p>
      <w:pPr>
        <w:pStyle w:val="Heading1"/>
      </w:pPr>
      <w:r>
        <w:t>One caveat to state up front</w:t>
      </w:r>
    </w:p>
    <w:p>
      <w:pPr>
        <w:pStyle w:val="ListBullet"/>
        <w:spacing w:after="80"/>
      </w:pPr>
      <w:r>
        <w:rPr>
          <w:sz w:val="21"/>
        </w:rPr>
        <w:t>Haitian Creole carries two confounds at once: it is the only language the epoch cap binds on, at 4.00 passes over a 0.77 GB pool, and it is the most likely to have drawn on lower fallback rungs. If SuperBPE looks bad on Creole, that cannot be cleanly attributed to the tokenizer. Better to say so than be asked.</w:t>
      </w:r>
    </w:p>
    <w:p>
      <w:pPr>
        <w:spacing w:before="200"/>
      </w:pPr>
      <w:r>
        <w:rPr>
          <w:i/>
          <w:color w:val="5F6B76"/>
          <w:sz w:val="16"/>
        </w:rPr>
        <w:t>Benchmarks referenced: HuLU (LREC-COLING 2024, hulu.nytud.hu) · MILU (arXiv:2411.02538, AI4Bharat) · IrokoBench (NAACL 2025, arXiv:2406.03368) · C-Eval / CLUE · CreoleVal (TACL 2024, arXiv:2310.19567). Allocation and byte figures from the project's own sourcing and mixture plans.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537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