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Tokenizer Multilingual Efficiency Validation</w:t>
      </w:r>
    </w:p>
    <w:p>
      <w:r>
        <w:rPr>
          <w:i/>
          <w:sz w:val="24"/>
        </w:rPr>
        <w:t>General experiment plan</w:t>
      </w:r>
    </w:p>
    <w:p>
      <w:pPr>
        <w:pStyle w:val="Heading2"/>
      </w:pPr>
      <w:r>
        <w:t>1. Goal</w:t>
      </w:r>
    </w:p>
    <w:p>
      <w:r>
        <w:t>Determine whether current frontier and multilingual tokenizers still treat languages unequally—through fragmented, inefficient tokenization—on a small but geographically diverse parallel corpus. The outcome is a go / no-go decision: if large, systematic disparities remain, investing in a fairer (for example, phonic) tokenizer is justified; if not, the research direction should be reconsidered before further investment.</w:t>
      </w:r>
    </w:p>
    <w:p>
      <w:r>
        <w:rPr>
          <w:b/>
        </w:rPr>
        <w:t>Decision rule.</w:t>
      </w:r>
      <w:r>
        <w:t xml:space="preserve"> The direction is worth pursuing if either:</w:t>
      </w:r>
    </w:p>
    <w:p>
      <w:pPr>
        <w:pStyle w:val="ListBullet"/>
      </w:pPr>
      <w:r>
        <w:t>at least one non-English language shows a token premium of 2.0 or higher on at least two of the frontier tokenizers (o200k, GLM-5.2, Llama, Qwen); or</w:t>
      </w:r>
    </w:p>
    <w:p>
      <w:pPr>
        <w:pStyle w:val="ListBullet"/>
      </w:pPr>
      <w:r>
        <w:t>mean token fertility for a non-Latin or morphologically complex language is at least twice that of English on the same tokenizer.</w:t>
      </w:r>
    </w:p>
    <w:p>
      <w:pPr>
        <w:pStyle w:val="Heading2"/>
      </w:pPr>
      <w:r>
        <w:t>2. Experiment Explanation</w:t>
      </w:r>
    </w:p>
    <w:p>
      <w:r>
        <w:t>A growing body of work shows that multilingual inequity often appears at the tokenizer, before any model is invoked.</w:t>
      </w:r>
    </w:p>
    <w:p>
      <w:r>
        <w:t>Petrov, La Malfa, Torr, and Bibi (Language Model Tokenizers Introduce Unfairness Between Languages, NeurIPS 2023) showed that the same content translated across languages can require drastically different numbers of tokens—differences of up to about fifteen times—even under tokenizers intended for multilingual use. They frame this as unfairness in cost, latency, and usable context, and argue for multilingually fairer subword vocabularies. That paper is the methodological touchstone for measuring how densely a tokenizer covers each language on parallel text.</w:t>
      </w:r>
    </w:p>
    <w:p>
      <w:r>
        <w:t>Dixit and Dixit (The Script Tax) strengthen the case that writing system and orthography drive fragmentation: for identical linguistic content, higher-fragmentation orthographies show much higher fertility and large inference slowdowns, so script is a first-order design variable—not a detail.</w:t>
      </w:r>
    </w:p>
    <w:p>
      <w:r>
        <w:t>Somide (The African Language Tax) evaluates frontier and open tokenizers on African languages with parallel corpora (including FLORES-200+), reporting fertility and English-relative premiums and translating those gaps into cost, latency, and context-window penalties. The study also reports character- and byte-normalized efficiency metrics so conclusions do not rest on word counts alone—especially for scripts and morphologies where whitespace segmentation is unreliable.</w:t>
      </w:r>
    </w:p>
    <w:p>
      <w:r>
        <w:t>Arnett, Chang, Biderman, and Bergen (Explaining and Mitigating Crosslingual Tokenizer Inequities) treat disparities in how many tokens parallel text needs across languages as token premiums, operationalized via corpus token counts on FLORES-200 and related to compression, vocabulary size, and pre-tokenization. Related work by Arnett and Bergen on morphologically complex languages further motivates including agglutinative and under-resourced languages in any fairness audit.</w:t>
      </w:r>
    </w:p>
    <w:p>
      <w:r>
        <w:t>Complementary compression-oriented studies (tokenization and the noiseless channel; unpacking tokenization versus model quality) reinforce that encode-time statistics are a legitimate evaluation target in their own right.</w:t>
      </w:r>
    </w:p>
    <w:p>
      <w:r>
        <w:rPr>
          <w:b/>
        </w:rPr>
        <w:t>This experiment.</w:t>
      </w:r>
      <w:r>
        <w:t xml:space="preserve"> We take a fixed parallel slice of FLORES-200 (devtest), encode every sentence with each candidate tokenizer, and compare languages on token fertility, characters per token, and English-relative token premium. Disparities at encode time are sufficient for the go / no-go gate; no language-model generation is required.</w:t>
      </w:r>
    </w:p>
    <w:p>
      <w:pPr>
        <w:pStyle w:val="Heading2"/>
      </w:pPr>
      <w:r>
        <w:t>3. The Metrics We Will Measure</w:t>
      </w:r>
    </w:p>
    <w:p>
      <w:r>
        <w:t>All three metrics share a corpus token count (CTC): the total number of content tokens produced when encoding the full language side of the parallel slice (special beginning-/end-of-sequence tokens excluded).</w:t>
      </w:r>
    </w:p>
    <w:p>
      <w:r>
        <w:rPr>
          <w:b/>
        </w:rPr>
        <w:t>Token fertility — Petrov et al.</w:t>
      </w:r>
    </w:p>
    <w:p>
      <w:r>
        <w:rPr>
          <w:b/>
        </w:rPr>
        <w:t xml:space="preserve">Definition. </w:t>
      </w:r>
      <w:r>
        <w:t>Tokens per word: CTC divided by word count after Unicode normalization, with words obtained by a consistent whitespace (or Unicode word-segmentation) rule across languages.</w:t>
      </w:r>
    </w:p>
    <w:p>
      <w:r>
        <w:rPr>
          <w:b/>
        </w:rPr>
        <w:t xml:space="preserve">Why this source. </w:t>
      </w:r>
      <w:r>
        <w:t>Petrov et al. established that parallel meaning can be fragmented into far more pieces in some languages than others, and fertility (tokens per word) is the standard scalar for that fragmentation pattern in the unfairness literature they anchor.</w:t>
      </w:r>
    </w:p>
    <w:p>
      <w:r>
        <w:rPr>
          <w:b/>
        </w:rPr>
        <w:t xml:space="preserve">Caveat. </w:t>
      </w:r>
      <w:r>
        <w:t>For Mandarin (and other space-light writing systems), whitespace word counts are not comparable across languages; that language is also summarized with a character-normalized view and flagged separately.</w:t>
      </w:r>
    </w:p>
    <w:p>
      <w:r>
        <w:rPr>
          <w:b/>
        </w:rPr>
        <w:t>Characters per token — Somide, The African Language Tax</w:t>
      </w:r>
    </w:p>
    <w:p>
      <w:r>
        <w:rPr>
          <w:b/>
        </w:rPr>
        <w:t xml:space="preserve">Definition. </w:t>
      </w:r>
      <w:r>
        <w:t>Following Somide's character-normalized efficiency metric: characters per token = (Unicode character count of the language side) / CTC. Non-whitespace characters are used so padding and spacing do not inflate the partner count.</w:t>
      </w:r>
    </w:p>
    <w:p>
      <w:r>
        <w:rPr>
          <w:b/>
        </w:rPr>
        <w:t xml:space="preserve">Why this source. </w:t>
      </w:r>
      <w:r>
        <w:t>The African Language Tax explicitly reports characters per token (and related byte-per-token views) alongside fertility, so that efficiency claims remain meaningful when word segmentation is imperfect (for example Ethiopic script or highly agglutinative languages). Lower characters per token means each token carries less orthographic content—the encode-time inefficiency that Somide links to higher cost, latency, and context pressure.</w:t>
      </w:r>
    </w:p>
    <w:p>
      <w:r>
        <w:rPr>
          <w:b/>
        </w:rPr>
        <w:t>Token premium — Arnett et al.</w:t>
      </w:r>
    </w:p>
    <w:p>
      <w:r>
        <w:rPr>
          <w:b/>
        </w:rPr>
        <w:t xml:space="preserve">Definition. </w:t>
      </w:r>
      <w:r>
        <w:t>For a given tokenizer, the ratio of corpus token counts on parallel text: token premium(L) = CTC(L) / CTC(English). English is 1.0 by construction.</w:t>
      </w:r>
    </w:p>
    <w:p>
      <w:r>
        <w:rPr>
          <w:b/>
        </w:rPr>
        <w:t xml:space="preserve">Why this source. </w:t>
      </w:r>
      <w:r>
        <w:t>Arnett et al. define token premiums as disparities in how many tokens are needed to encode parallel text across languages, measured with corpus token counts on FLORES-200 and normalized relative to a reference language. Higher premium means worse compression and a larger tax in training throughput and inference cost for that language.</w:t>
      </w:r>
    </w:p>
    <w:p>
      <w:pPr>
        <w:pStyle w:val="Heading2"/>
      </w:pPr>
      <w:r>
        <w:t>4. Scope</w:t>
      </w:r>
    </w:p>
    <w:p>
      <w:r>
        <w:rPr>
          <w:b/>
        </w:rPr>
        <w:t>Tokenizers</w:t>
      </w:r>
    </w:p>
    <w:p>
      <w:pPr>
        <w:pStyle w:val="ListBullet"/>
      </w:pPr>
      <w:r>
        <w:t>o200k: OpenAI o200k_base</w:t>
      </w:r>
    </w:p>
    <w:p>
      <w:pPr>
        <w:pStyle w:val="ListBullet"/>
      </w:pPr>
      <w:r>
        <w:t>GLM: GLM-5.2</w:t>
      </w:r>
    </w:p>
    <w:p>
      <w:pPr>
        <w:pStyle w:val="ListBullet"/>
      </w:pPr>
      <w:r>
        <w:t>Llama: Llama 3.1 family tokenizer</w:t>
      </w:r>
    </w:p>
    <w:p>
      <w:pPr>
        <w:pStyle w:val="ListBullet"/>
      </w:pPr>
      <w:r>
        <w:t>Qwen: Qwen2.5 family tokenizer</w:t>
      </w:r>
    </w:p>
    <w:p>
      <w:pPr>
        <w:pStyle w:val="ListBullet"/>
      </w:pPr>
      <w:r>
        <w:t>Multilingual baseline: NLLB-200 (multilingual SentencePiece reference)</w:t>
      </w:r>
    </w:p>
    <w:p>
      <w:r>
        <w:t>Frontier systems for the decision rule: o200k, GLM, Llama, and Qwen. NLLB-200 is a multilingual baseline, not a frontier gate.</w:t>
      </w:r>
    </w:p>
    <w:p>
      <w:r>
        <w:rPr>
          <w:b/>
        </w:rPr>
        <w:t>Languages (FLORES-200)</w:t>
      </w:r>
    </w:p>
    <w:p>
      <w:r>
        <w:t>Twelve languages, stratified by continent, with English as the control:</w:t>
      </w:r>
    </w:p>
    <w:p>
      <w:pPr>
        <w:pStyle w:val="ListBullet"/>
      </w:pPr>
      <w:r>
        <w:t>Africa: Swahili, Hausa, Amharic</w:t>
      </w:r>
    </w:p>
    <w:p>
      <w:pPr>
        <w:pStyle w:val="ListBullet"/>
      </w:pPr>
      <w:r>
        <w:t>Asia: Odia, Mandarin, Egyptian Arabic, Moroccan Arabic</w:t>
      </w:r>
    </w:p>
    <w:p>
      <w:pPr>
        <w:pStyle w:val="ListBullet"/>
      </w:pPr>
      <w:r>
        <w:t>Europe: Hungarian, Ukrainian, English (control)</w:t>
      </w:r>
    </w:p>
    <w:p>
      <w:pPr>
        <w:pStyle w:val="ListBullet"/>
      </w:pPr>
      <w:r>
        <w:t>Americas: Nahuatl (Eastern Huasteca), Guarani</w:t>
      </w:r>
    </w:p>
    <w:p>
      <w:r>
        <w:rPr>
          <w:b/>
        </w:rPr>
        <w:t xml:space="preserve">Corpus. </w:t>
      </w:r>
      <w:r>
        <w:t>FLORES-200 devtest: professionally translated parallel sentences so comparisons hold content fixed across languages.</w:t>
      </w:r>
    </w:p>
    <w:p>
      <w:pPr>
        <w:pStyle w:val="Heading2"/>
      </w:pPr>
      <w:r>
        <w:t>5. Pipeline</w:t>
      </w:r>
    </w:p>
    <w:p>
      <w:pPr>
        <w:pStyle w:val="ListNumber"/>
      </w:pPr>
      <w:r>
        <w:t>Select the twelve FLORES-200 language sides of the shared devtest split (parallel by sentence).</w:t>
      </w:r>
    </w:p>
    <w:p>
      <w:pPr>
        <w:pStyle w:val="ListNumber"/>
      </w:pPr>
      <w:r>
        <w:t>Encode every sentence with each of the five tokenizers under a consistent content-token policy.</w:t>
      </w:r>
    </w:p>
    <w:p>
      <w:pPr>
        <w:pStyle w:val="ListNumber"/>
      </w:pPr>
      <w:r>
        <w:t>Aggregate, per language and tokenizer: corpus token count, word count, and character count.</w:t>
      </w:r>
    </w:p>
    <w:p>
      <w:pPr>
        <w:pStyle w:val="ListNumber"/>
      </w:pPr>
      <w:r>
        <w:t>Derive token fertility, characters per token, and token premium versus English.</w:t>
      </w:r>
    </w:p>
    <w:p>
      <w:pPr>
        <w:pStyle w:val="ListNumber"/>
      </w:pPr>
      <w:r>
        <w:t>Summarize with language × tokenizer tables, a token-premium heatmap, and continent-level mean premiums (excluding English).</w:t>
      </w:r>
    </w:p>
    <w:p>
      <w:pPr>
        <w:pStyle w:val="ListNumber"/>
      </w:pPr>
      <w:r>
        <w:t>Apply the go / no-go decision rule in section 1 and record which languages and tokenizers drive the result.</w:t>
      </w:r>
    </w:p>
    <w:p>
      <w:pPr>
        <w:pStyle w:val="Heading2"/>
      </w:pPr>
      <w:r>
        <w:t>6. Deliverables</w:t>
      </w:r>
    </w:p>
    <w:p>
      <w:pPr>
        <w:pStyle w:val="ListNumber"/>
      </w:pPr>
      <w:r>
        <w:t>Comparison tables — token fertility, characters per token, and token premium for every language × tokenizer pair.</w:t>
      </w:r>
    </w:p>
    <w:p>
      <w:pPr>
        <w:pStyle w:val="ListNumber"/>
      </w:pPr>
      <w:r>
        <w:t>Token-premium heatmap — languages × tokenizers, English-normalized.</w:t>
      </w:r>
    </w:p>
    <w:p>
      <w:pPr>
        <w:pStyle w:val="ListNumber"/>
      </w:pPr>
      <w:r>
        <w:t>Continent summary — mean token premium for Africa, Asia, Europe (non-English), and the Americas.</w:t>
      </w:r>
    </w:p>
    <w:p>
      <w:pPr>
        <w:pStyle w:val="ListNumber"/>
      </w:pPr>
      <w:r>
        <w:t>Go / no-go write-up — a short verdict against the decision rule, naming the languages that most stress each tokenizer, situated against Petrov et al., Somide (The African Language Tax), and Arnett et al.</w:t>
      </w:r>
    </w:p>
    <w:p>
      <w:r>
        <w:rPr>
          <w:i/>
        </w:rPr>
        <w:t>Planning document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