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ĐÁNH GIÁ BẢN THẢO — LẦN 2 (RE-REVIEW)</w:t>
      </w:r>
    </w:p>
    <w:p>
      <w:pPr>
        <w:spacing w:after="200"/>
      </w:pPr>
      <w:r>
        <w:rPr>
          <w:i/>
          <w:iCs/>
          <w:sz w:val="24"/>
          <w:szCs w:val="24"/>
        </w:rPr>
        <w:t xml:space="preserve">IEEE Transactions on Learning Technologies — Verification Review</w:t>
      </w:r>
    </w:p>
    <w:p>
      <w:pPr>
        <w:spacing w:after="140"/>
      </w:pPr>
      <w:r>
        <w:rPr>
          <w:b/>
          <w:bCs/>
        </w:rPr>
        <w:t xml:space="preserve">Bản thảo: </w:t>
      </w:r>
      <w:r>
        <w:t xml:space="preserve">"DH²A-KT: Dynamic Heterogeneous Hypergraph and Agentic Knowledge Tracing with Leakage-Controlled Graph Construction"</w:t>
      </w:r>
    </w:p>
    <w:p>
      <w:pPr>
        <w:spacing w:after="140"/>
      </w:pPr>
      <w:r>
        <w:rPr>
          <w:b/>
          <w:bCs/>
        </w:rPr>
        <w:t xml:space="preserve">Phiên bản đánh giá: </w:t>
      </w:r>
      <w:r>
        <w:t xml:space="preserve">main.pdf cập nhật 2026-08-07 (8 trang, tăng từ 7 trang bản trước) — đối chiếu với bản đã đánh giá lần 1 (2026-08-06).</w:t>
      </w:r>
    </w:p>
    <w:p>
      <w:pPr>
        <w:spacing w:after="140"/>
      </w:pPr>
      <w:r>
        <w:rPr>
          <w:b/>
          <w:bCs/>
        </w:rPr>
        <w:t xml:space="preserve">Loại đánh giá: </w:t>
      </w:r>
      <w:r>
        <w:t xml:space="preserve">Verification review — tập trung xác minh các vấn đề đã nêu ở lần 1 có được xử lý hay không, cộng với rà soát nhanh các thay đổi mới.</w:t>
      </w:r>
    </w:p>
    <w:p>
      <w:pPr>
        <w:pStyle w:val="Heading1"/>
        <w:spacing w:after="150" w:before="300"/>
      </w:pPr>
      <w:r>
        <w:t xml:space="preserve">1. Khuyến nghị cập nhật</w:t>
      </w:r>
    </w:p>
    <w:p>
      <w:pPr>
        <w:spacing w:after="140"/>
      </w:pPr>
      <w:r>
        <w:rPr>
          <w:b/>
          <w:bCs/>
        </w:rPr>
        <w:t xml:space="preserve">MINOR REVISION — cải thiện rõ rệt so với lần 1.</w:t>
      </w:r>
    </w:p>
    <w:p>
      <w:pPr>
        <w:spacing w:after="140"/>
      </w:pPr>
      <w:r>
        <w:t xml:space="preserve">Đây là một vòng chỉnh sửa nghiêm túc và có thực chất, không phải chỉnh sửa hình thức. Toàn bộ nhóm vấn đề NGHIÊM TRỌNG về liêm chính trích dẫn ở lần 1 (placeholder TODO, 7 reference chưa xác minh) đã được xử lý dứt điểm và mình đã đối chiếu ngẫu nhiên với nguồn gốc thật — khớp chính xác, không có dấu hiệu thay thế bằng thông tin bịa. Quan trọng hơn, nhóm tác giả đã bổ sung số liệu thực nghiệm thật (FoundationalASSIST) cho đúng hai phần trước đây chỉ là "thiết kế giao diện" (C1 hyperedge dị thể, C3 causal ATE) — đây là thay đổi có thực chất khoa học, không chỉ vá lỗi bề mặt. Còn lại hai điểm kỹ thuật đáng lưu ý (chưa có kiểm định thống kê cho AUC chính, và chưa báo cáo manipulation check cho baseline) — cả hai đều là revision nhỏ, không cần thí nghiệm lớn để bổ sung.</w:t>
      </w:r>
    </w:p>
    <w:p>
      <w:pPr>
        <w:pStyle w:val="Heading1"/>
        <w:spacing w:after="150" w:before="300"/>
      </w:pPr>
      <w:r>
        <w:t xml:space="preserve">2. Đối chiếu chi tiết: vấn đề Lần 1 → trạng thái Lần 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340"/>
      </w:tblGrid>
      <w:tr>
        <w:trPr>
          <w:tblHeader/>
        </w:trPr>
        <w:tc>
          <w:tcPr>
            <w:tcW w:type="dxa" w:w="3600"/>
            <w:shd w:fill="2F5496" w:val="clear"/>
            <w:vAlign w:val="center"/>
          </w:tcPr>
          <w:p>
            <w:r>
              <w:rPr>
                <w:b/>
                <w:bCs/>
                <w:color w:val="FFFFFF"/>
                <w:sz w:val="20"/>
                <w:szCs w:val="20"/>
              </w:rPr>
              <w:t xml:space="preserve">Vấn đề (Lần 1)</w:t>
            </w:r>
          </w:p>
        </w:tc>
        <w:tc>
          <w:tcPr>
            <w:tcW w:type="dxa" w:w="900"/>
            <w:shd w:fill="2F5496" w:val="clear"/>
            <w:vAlign w:val="center"/>
          </w:tcPr>
          <w:p>
            <w:r>
              <w:rPr>
                <w:b/>
                <w:bCs/>
                <w:color w:val="FFFFFF"/>
                <w:sz w:val="20"/>
                <w:szCs w:val="20"/>
              </w:rPr>
              <w:t xml:space="preserve">Trạng thái</w:t>
            </w:r>
          </w:p>
        </w:tc>
        <w:tc>
          <w:tcPr>
            <w:tcW w:type="dxa" w:w="5340"/>
            <w:shd w:fill="2F5496" w:val="clear"/>
            <w:vAlign w:val="center"/>
          </w:tcPr>
          <w:p>
            <w:r>
              <w:rPr>
                <w:b/>
                <w:bCs/>
                <w:color w:val="FFFFFF"/>
                <w:sz w:val="20"/>
                <w:szCs w:val="20"/>
              </w:rPr>
              <w:t xml:space="preserve">Ghi chú đối chiếu (Lần 2)</w:t>
            </w:r>
          </w:p>
        </w:tc>
      </w:tr>
      <w:tr>
        <w:tc>
          <w:tcPr>
            <w:tcW w:type="dxa" w:w="3600"/>
            <w:vAlign w:val="center"/>
          </w:tcPr>
          <w:p>
            <w:r>
              <w:rPr>
                <w:sz w:val="20"/>
                <w:szCs w:val="20"/>
              </w:rPr>
              <w:t xml:space="preserve">Placeholder [TODO: received/revised dates]</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Đã xoá hoàn toàn khỏi footnote tác giả.</w:t>
            </w:r>
          </w:p>
        </w:tc>
      </w:tr>
      <w:tr>
        <w:tc>
          <w:tcPr>
            <w:tcW w:type="dxa" w:w="3600"/>
            <w:vAlign w:val="center"/>
          </w:tcPr>
          <w:p>
            <w:r>
              <w:rPr>
                <w:sz w:val="20"/>
                <w:szCs w:val="20"/>
              </w:rPr>
              <w:t xml:space="preserve">7/19 reference gắn cờ "verify before submission"</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Tất cả đã có tên tác giả + venue chính xác. Đối chiếu ngẫu nhiên 4 mục ([4] Mohammadi et al., [5] Ma/Zhu/Lei, [6] Guo et al. ISPA 2024, [19] Kim et al. ES-KT-24) — khớp 100% với nguồn gốc thật, không phải thông tin bịa.</w:t>
            </w:r>
          </w:p>
        </w:tc>
      </w:tr>
      <w:tr>
        <w:tc>
          <w:tcPr>
            <w:tcW w:type="dxa" w:w="3600"/>
            <w:vAlign w:val="center"/>
          </w:tcPr>
          <w:p>
            <w:r>
              <w:rPr>
                <w:sz w:val="20"/>
                <w:szCs w:val="20"/>
              </w:rPr>
              <w:t xml:space="preserve">[11],[13],[14] thiếu tên tác giả</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Đã bổ sung đầy đủ tên tác giả cho toàn bộ trích dẫn arXiv (nay là [12],[13],[14],[15]).</w:t>
            </w:r>
          </w:p>
        </w:tc>
      </w:tr>
      <w:tr>
        <w:tc>
          <w:tcPr>
            <w:tcW w:type="dxa" w:w="3600"/>
            <w:vAlign w:val="center"/>
          </w:tcPr>
          <w:p>
            <w:r>
              <w:rPr>
                <w:sz w:val="20"/>
                <w:szCs w:val="20"/>
              </w:rPr>
              <w:t xml:space="preserve">Phụ thuộc bài đồng hành [8] chưa bình duyệt</w:t>
            </w:r>
          </w:p>
        </w:tc>
        <w:tc>
          <w:tcPr>
            <w:tcW w:type="dxa" w:w="900"/>
            <w:vAlign w:val="center"/>
          </w:tcPr>
          <w:p>
            <w:r>
              <w:rPr>
                <w:b/>
                <w:bCs/>
                <w:color w:val="B7791F"/>
                <w:sz w:val="20"/>
                <w:szCs w:val="20"/>
              </w:rPr>
              <w:t xml:space="preserve">Một phần</w:t>
            </w:r>
          </w:p>
        </w:tc>
        <w:tc>
          <w:tcPr>
            <w:tcW w:type="dxa" w:w="5340"/>
            <w:vAlign w:val="center"/>
          </w:tcPr>
          <w:p>
            <w:r>
              <w:rPr>
                <w:sz w:val="20"/>
                <w:szCs w:val="20"/>
              </w:rPr>
              <w:t xml:space="preserve">Mục III-A thêm bản tóm tắt tự-đầy-đủ (self-contained) của giao thức P0; ref [8] nay có link code/artefact GitHub; bài đề nghị gửi kèm PDF [8] cho reviewer khi cần. Bản chất phụ thuộc vẫn còn (do [8] chưa qua bình duyệt) nhưng đã giảm thiểu rủi ro tối đa có thể.</w:t>
            </w:r>
          </w:p>
        </w:tc>
      </w:tr>
      <w:tr>
        <w:tc>
          <w:tcPr>
            <w:tcW w:type="dxa" w:w="3600"/>
            <w:vAlign w:val="center"/>
          </w:tcPr>
          <w:p>
            <w:r>
              <w:rPr>
                <w:sz w:val="20"/>
                <w:szCs w:val="20"/>
              </w:rPr>
              <w:t xml:space="preserve">C1 (hyperedge dị thể) chưa có số liệu — chỉ là thiết kế giao diện</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Session+Hint hyperedge nay được đánh giá thật trên FoundationalASSIST: AUC 0.720→0.722 (concept-only vs. +session hyperedge), cùng ATE quan sát được (Bảng VIII). Đây là thay đổi quan trọng nhất của bản cập nhật.</w:t>
            </w:r>
          </w:p>
        </w:tc>
      </w:tr>
      <w:tr>
        <w:tc>
          <w:tcPr>
            <w:tcW w:type="dxa" w:w="3600"/>
            <w:vAlign w:val="center"/>
          </w:tcPr>
          <w:p>
            <w:r>
              <w:rPr>
                <w:sz w:val="20"/>
                <w:szCs w:val="20"/>
              </w:rPr>
              <w:t xml:space="preserve">C3 (causal ATE layer) không có số liệu thực nghiệm nào</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Nay có ATE thật trên FoundationalASSIST: IPW = −0.207 (naive −0.255, trimmed IPW −0.211, bootstrap 95% CI [−0.230, −0.187]), kèm chẩn đoán propensity-overlap và cảnh báo rõ ràng về overlap yếu.</w:t>
            </w:r>
          </w:p>
        </w:tc>
      </w:tr>
      <w:tr>
        <w:tc>
          <w:tcPr>
            <w:tcW w:type="dxa" w:w="3600"/>
            <w:vAlign w:val="center"/>
          </w:tcPr>
          <w:p>
            <w:r>
              <w:rPr>
                <w:sz w:val="20"/>
                <w:szCs w:val="20"/>
              </w:rPr>
              <w:t xml:space="preserve">Tier 2 pilot không có đánh giá con người</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Bổ sung Bảng VII: 40 mẫu, 2 rater độc lập, Likert 1–5 cho faithfulness (4.01±1.07) và usefulness (3.53±0.71), kèm Spearman ρ đo độ đồng thuận giữa rater.</w:t>
            </w:r>
          </w:p>
        </w:tc>
      </w:tr>
      <w:tr>
        <w:tc>
          <w:tcPr>
            <w:tcW w:type="dxa" w:w="3600"/>
            <w:vAlign w:val="center"/>
          </w:tcPr>
          <w:p>
            <w:r>
              <w:rPr>
                <w:sz w:val="20"/>
                <w:szCs w:val="20"/>
              </w:rPr>
              <w:t xml:space="preserve">Bảng II: giá trị cap phép chiếu (projection cap) không nêu cụ thể</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Caption nay ghi rõ cap = 100.000 cặp (11.568.053 cặp được chiếu trong fold này).</w:t>
            </w:r>
          </w:p>
        </w:tc>
      </w:tr>
      <w:tr>
        <w:tc>
          <w:tcPr>
            <w:tcW w:type="dxa" w:w="3600"/>
            <w:vAlign w:val="center"/>
          </w:tcPr>
          <w:p>
            <w:r>
              <w:rPr>
                <w:sz w:val="20"/>
                <w:szCs w:val="20"/>
              </w:rPr>
              <w:t xml:space="preserve">Khoảng cách tiêu đề/abstract vs. phạm vi thực nghiệm</w:t>
            </w:r>
          </w:p>
        </w:tc>
        <w:tc>
          <w:tcPr>
            <w:tcW w:type="dxa" w:w="900"/>
            <w:vAlign w:val="center"/>
          </w:tcPr>
          <w:p>
            <w:r>
              <w:rPr>
                <w:b/>
                <w:bCs/>
                <w:color w:val="B7791F"/>
                <w:sz w:val="20"/>
                <w:szCs w:val="20"/>
              </w:rPr>
              <w:t xml:space="preserve">Một phần</w:t>
            </w:r>
          </w:p>
        </w:tc>
        <w:tc>
          <w:tcPr>
            <w:tcW w:type="dxa" w:w="5340"/>
            <w:vAlign w:val="center"/>
          </w:tcPr>
          <w:p>
            <w:r>
              <w:rPr>
                <w:sz w:val="20"/>
                <w:szCs w:val="20"/>
              </w:rPr>
              <w:t xml:space="preserve">Abstract/Contributions đã viết lại thận trọng hơn nhiều ("limited observational evidence", "weak propensity overlap"). Discussion-thread/teacher-intervention vẫn data-blocked — chấp nhận được vì không có dataset công khai nào hỗ trợ, và bài đã nói rõ phạm vi ngay trong Mục III-B ("Scope of this paper: only κ = concept-prerequisite hyperedges... enter Tier 1 training").</w:t>
            </w:r>
          </w:p>
        </w:tc>
      </w:tr>
      <w:tr>
        <w:tc>
          <w:tcPr>
            <w:tcW w:type="dxa" w:w="3600"/>
            <w:vAlign w:val="center"/>
          </w:tcPr>
          <w:p>
            <w:r>
              <w:rPr>
                <w:sz w:val="20"/>
                <w:szCs w:val="20"/>
              </w:rPr>
              <w:t xml:space="preserve">ASSISTments 2012 dùng làm cột so sánh có thể gây hiểu nhầm</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Bản mới chủ động KHÔNG dùng lại cột GKT AUC của ASSISTments 2012 từ P0 để so sánh; thay bằng FoundationalASSIST như một corpus phụ tách biệt, ghi rõ "not interchangeable with classic ASSISTments 2012".</w:t>
            </w:r>
          </w:p>
        </w:tc>
      </w:tr>
      <w:tr>
        <w:tc>
          <w:tcPr>
            <w:tcW w:type="dxa" w:w="3600"/>
            <w:vAlign w:val="center"/>
          </w:tcPr>
          <w:p>
            <w:r>
              <w:rPr>
                <w:sz w:val="20"/>
                <w:szCs w:val="20"/>
              </w:rPr>
              <w:t xml:space="preserve">Không có kiểm định thống kê / khoảng tin cậy cho AUC chính (Bảng IV, V)</w:t>
            </w:r>
          </w:p>
        </w:tc>
        <w:tc>
          <w:tcPr>
            <w:tcW w:type="dxa" w:w="900"/>
            <w:vAlign w:val="center"/>
          </w:tcPr>
          <w:p>
            <w:r>
              <w:rPr>
                <w:b/>
                <w:bCs/>
                <w:color w:val="B02A37"/>
                <w:sz w:val="20"/>
                <w:szCs w:val="20"/>
              </w:rPr>
              <w:t xml:space="preserve">Còn tồn đọng</w:t>
            </w:r>
          </w:p>
        </w:tc>
        <w:tc>
          <w:tcPr>
            <w:tcW w:type="dxa" w:w="5340"/>
            <w:vAlign w:val="center"/>
          </w:tcPr>
          <w:p>
            <w:r>
              <w:rPr>
                <w:sz w:val="20"/>
                <w:szCs w:val="20"/>
              </w:rPr>
              <w:t xml:space="preserve">Bảng IV/V vẫn chỉ có 3 fold point-estimate, không có variance/CI/kiểm định ý nghĩa thống kê cho chênh lệch AUC hay ∆AUC — trong khi Bảng VIII (ATE) đã có bootstrap CI, cho thấy nhóm có năng lực làm việc này nhưng chưa áp dụng nhất quán cho kết quả AUC chính.</w:t>
            </w:r>
          </w:p>
        </w:tc>
      </w:tr>
      <w:tr>
        <w:tc>
          <w:tcPr>
            <w:tcW w:type="dxa" w:w="3600"/>
            <w:vAlign w:val="center"/>
          </w:tcPr>
          <w:p>
            <w:r>
              <w:rPr>
                <w:sz w:val="20"/>
                <w:szCs w:val="20"/>
              </w:rPr>
              <w:t xml:space="preserve">Không rõ liệu baseline (GKT/simpleKT) có pass được manipulation check hay không</w:t>
            </w:r>
          </w:p>
        </w:tc>
        <w:tc>
          <w:tcPr>
            <w:tcW w:type="dxa" w:w="900"/>
            <w:vAlign w:val="center"/>
          </w:tcPr>
          <w:p>
            <w:r>
              <w:rPr>
                <w:b/>
                <w:bCs/>
                <w:color w:val="B02A37"/>
                <w:sz w:val="20"/>
                <w:szCs w:val="20"/>
              </w:rPr>
              <w:t xml:space="preserve">Còn tồn đọng</w:t>
            </w:r>
          </w:p>
        </w:tc>
        <w:tc>
          <w:tcPr>
            <w:tcW w:type="dxa" w:w="5340"/>
            <w:vAlign w:val="center"/>
          </w:tcPr>
          <w:p>
            <w:r>
              <w:rPr>
                <w:sz w:val="20"/>
                <w:szCs w:val="20"/>
              </w:rPr>
              <w:t xml:space="preserve">Đây là lỗ hổng lập luận quan trọng nhất mình nêu ở lần trao đổi trước: nếu GKT/simpleKT cũng pass manipulation check mà vẫn AUC cao hơn, lý do "đánh đổi AUC lấy graph-reliance" của DH²-KT sẽ yếu đi đáng kể. Bản cập nhật vẫn chưa báo cáo số liệu này.</w:t>
            </w:r>
          </w:p>
        </w:tc>
      </w:tr>
    </w:tbl>
    <w:p>
      <w:pPr>
        <w:pStyle w:val="Heading1"/>
        <w:spacing w:after="150" w:before="300"/>
      </w:pPr>
      <w:r>
        <w:t xml:space="preserve">3. Vấn đề còn tồn đọng cần xử lý trước khi nộp</w:t>
      </w:r>
    </w:p>
    <w:p>
      <w:pPr>
        <w:pStyle w:val="Heading2"/>
        <w:spacing w:after="100" w:before="220"/>
      </w:pPr>
      <w:r>
        <w:t xml:space="preserve">3.1 Manipulation check chưa áp dụng cho baseline (ưu tiên cao nhất)</w:t>
      </w:r>
    </w:p>
    <w:p>
      <w:pPr>
        <w:spacing w:after="140"/>
      </w:pPr>
      <w:r>
        <w:t xml:space="preserve">Đây vẫn là lỗ hổng lập luận lớn nhất của bài: Bảng V chỉ báo cáo ∆AUC dưới p=0.9 node-drop cho DH²-KT v2, không có con số tương ứng cho GKT/simpleKT (baseline tái sử dụng từ [8]). Nếu các baseline này cũng "pass" manipulation check (tức đồ thị của chúng cũng không graph-inert) mà vẫn đạt AUC cao hơn DH²-KT v2, thì luận điểm cốt lõi ở Mục VIII-B ("chấp nhận AUC thấp hơn để đổi lấy graph-reliance có thể kiểm chứng") sẽ yếu đi nhiều — vì khi đó DH²-KT không phải lựa chọn duy nhất đạt được graph-reliance. Đề nghị bổ sung ít nhất ∆AUC dưới cùng node-drop p=0.9 cho GKT và simpleKT (có thể chạy trên checkpoint đã có, không cần huấn luyện lại từ đầu) vào Bảng V hoặc một bảng phụ.</w:t>
      </w:r>
    </w:p>
    <w:p>
      <w:pPr>
        <w:pStyle w:val="Heading2"/>
        <w:spacing w:after="100" w:before="220"/>
      </w:pPr>
      <w:r>
        <w:t xml:space="preserve">3.2 Thiếu kiểm định thống kê cho kết quả AUC chính</w:t>
      </w:r>
    </w:p>
    <w:p>
      <w:pPr>
        <w:spacing w:after="140"/>
      </w:pPr>
      <w:r>
        <w:t xml:space="preserve">Bảng IV/V vẫn chỉ có 3 giá trị fold, không có độ lệch chuẩn, khoảng tin cậy, hay kiểm định ý nghĩa thống kê cho chênh lệch AUC 0.752 vs. 0.834, hay cho ∆AUC=0.038 của manipulation check. Nhóm đã chứng minh có năng lực làm việc này (bootstrap CI cho ATE ở Bảng VIII) — chỉ cần áp dụng kỹ thuật tương tự (bootstrap qua learner hoặc qua fold) cho các con số AUC chính để tăng sức thuyết phục trước reviewer thống kê.</w:t>
      </w:r>
    </w:p>
    <w:p>
      <w:pPr>
        <w:pStyle w:val="Heading2"/>
        <w:spacing w:after="100" w:before="220"/>
      </w:pPr>
      <w:r>
        <w:t xml:space="preserve">3.3 Điểm nhỏ — nên làm rõ trong thư gửi kèm (cover letter), không bắt buộc sửa bản thảo</w:t>
      </w:r>
    </w:p>
    <w:p>
      <w:pPr>
        <w:pStyle w:val="ListParagraph"/>
        <w:numPr>
          <w:ilvl w:val="0"/>
          <w:numId w:val="2"/>
        </w:numPr>
        <w:spacing w:after="90"/>
      </w:pPr>
      <w:r>
        <w:t xml:space="preserve">Bài hiện đúng 8 trang — chạm giới hạn Short Paper của TLT (≤8 trang). Nên xác nhận rõ trong cover letter là nộp theo track Short Paper để tránh reviewer hiểu nhầm đây là Regular Paper bị cắt ngắn.</w:t>
      </w:r>
    </w:p>
    <w:p>
      <w:pPr>
        <w:pStyle w:val="ListParagraph"/>
        <w:numPr>
          <w:ilvl w:val="0"/>
          <w:numId w:val="2"/>
        </w:numPr>
        <w:spacing w:after="90"/>
      </w:pPr>
      <w:r>
        <w:t xml:space="preserve">FoundationalASSIST là dataset bị gated trên Hugging Face (yêu cầu đồng ý Responsible Use Guidelines). Nên thêm một câu ngắn trong Acknowledgment hoặc footnote xác nhận đã được cấp quyền truy cập hợp lệ, để reviewer không phải tự hỏi/tra cứu.</w:t>
      </w:r>
    </w:p>
    <w:p>
      <w:pPr>
        <w:pStyle w:val="ListParagraph"/>
        <w:numPr>
          <w:ilvl w:val="0"/>
          <w:numId w:val="2"/>
        </w:numPr>
        <w:spacing w:after="90"/>
      </w:pPr>
      <w:r>
        <w:t xml:space="preserve">Kết quả AUC +0.002 khi thêm session hyperedge (Bảng VIII) là mức tăng rất nhỏ trong phạm vi nhiễu một fold — bài đã trung thực ghi rõ "a small positive shift... not a matched GKT comparison", nên giữ nguyên cách diễn đạt thận trọng này, nhưng có thể cân nhắc không đưa con số +0.002 vào Abstract vì dễ bị hiểu nhầm là kết quả chính, trong khi bài chủ đích không claim đây là bằng chứng mạnh.</w:t>
      </w:r>
    </w:p>
    <w:p>
      <w:pPr>
        <w:pStyle w:val="Heading1"/>
        <w:spacing w:after="150" w:before="300"/>
      </w:pPr>
      <w:r>
        <w:t xml:space="preserve">4. Đánh giá điểm mạnh của lần chỉnh sửa</w:t>
      </w:r>
    </w:p>
    <w:p>
      <w:pPr>
        <w:pStyle w:val="ListParagraph"/>
        <w:numPr>
          <w:ilvl w:val="0"/>
          <w:numId w:val="2"/>
        </w:numPr>
        <w:spacing w:after="90"/>
      </w:pPr>
      <w:r>
        <w:t xml:space="preserve">Xử lý reference nghiêm túc, không phải "tẩy trắng" cho có: các tên tác giả mới đều được xác minh trùng khớp 100% với nguồn công bố thật khi mình đối chiếu ngẫu nhiên — đúng tinh thần khắc phục vấn đề liêm chính đã nêu, không phải chỉ xoá ghi chú "to verify" mà điền đại thông tin.</w:t>
      </w:r>
    </w:p>
    <w:p>
      <w:pPr>
        <w:pStyle w:val="ListParagraph"/>
        <w:numPr>
          <w:ilvl w:val="0"/>
          <w:numId w:val="2"/>
        </w:numPr>
        <w:spacing w:after="90"/>
      </w:pPr>
      <w:r>
        <w:t xml:space="preserve">Bổ sung FoundationalASSIST không phải một bản vá hời hợt: có audit leakage riêng cho corpus mới (ECRflag=0, group-membership leak=0), có propensity diagnostics đầy đủ cho ATE, và đặc biệt là tự phê phán đúng chỗ ("propensity scores hit the clip floor... not interpretable as a proven causal penalty") — giữ đúng tinh thần khoa học thận trọng đã có ở bản 1.</w:t>
      </w:r>
    </w:p>
    <w:p>
      <w:pPr>
        <w:pStyle w:val="ListParagraph"/>
        <w:numPr>
          <w:ilvl w:val="0"/>
          <w:numId w:val="2"/>
        </w:numPr>
        <w:spacing w:after="90"/>
      </w:pPr>
      <w:r>
        <w:t xml:space="preserve">Cách xử lý phụ thuộc vào [8]: thay vì né tránh, nhóm chọn giải pháp minh bạch nhất có thể trong hoàn cảnh — tóm tắt tự-đầy-đủ + code công khai + đề nghị gửi PDF cho reviewer.</w:t>
      </w:r>
    </w:p>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2026-08-06T23:50:58.225Z</dcterms:created>
  <dcterms:modified xsi:type="dcterms:W3CDTF">2026-08-06T23:50:58.229Z</dcterms:modified>
</cp:coreProperties>
</file>

<file path=docProps/custom.xml><?xml version="1.0" encoding="utf-8"?>
<Properties xmlns="http://schemas.openxmlformats.org/officeDocument/2006/custom-properties" xmlns:vt="http://schemas.openxmlformats.org/officeDocument/2006/docPropsVTypes"/>
</file>