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BÁO CÁO ĐÁNH GIÁ BẢN THẢO</w:t>
      </w:r>
    </w:p>
    <w:p>
      <w:pPr>
        <w:spacing w:after="200"/>
      </w:pPr>
      <w:r>
        <w:rPr>
          <w:i/>
          <w:iCs/>
          <w:sz w:val="24"/>
          <w:szCs w:val="24"/>
        </w:rPr>
        <w:t xml:space="preserve">IEEE Transactions on Learning Technologies</w:t>
      </w:r>
    </w:p>
    <w:p>
      <w:pPr>
        <w:spacing w:after="140"/>
      </w:pPr>
      <w:r>
        <w:rPr>
          <w:b/>
          <w:bCs/>
        </w:rPr>
        <w:t xml:space="preserve">Bản thảo: </w:t>
      </w:r>
      <w:r>
        <w:t xml:space="preserve">"DH²A-KT: Dynamic Heterogeneous Hypergraph and Agentic Knowledge Tracing with Leakage-Controlled Graph Construction"</w:t>
      </w:r>
    </w:p>
    <w:p>
      <w:pPr>
        <w:spacing w:after="140"/>
      </w:pPr>
      <w:r>
        <w:rPr>
          <w:b/>
          <w:bCs/>
        </w:rPr>
        <w:t xml:space="preserve">Tác giả: </w:t>
      </w:r>
      <w:r>
        <w:t xml:space="preserve">Tuan Dao Minh, Khanh-Trinh Nguyen, Duong Nguyen Tien, Quoc Khanh Ngo, Van-Hau Nguyen, Le Hoang Son</w:t>
      </w:r>
    </w:p>
    <w:p>
      <w:pPr>
        <w:spacing w:after="140"/>
      </w:pPr>
      <w:r>
        <w:rPr>
          <w:b/>
          <w:bCs/>
        </w:rPr>
        <w:t xml:space="preserve">Độ dài hiện tại: </w:t>
      </w:r>
      <w:r>
        <w:t xml:space="preserve">7 trang (2 cột) — nằm trong giới hạn Short Paper của TLT (≤8 trang); nếu nộp dạng Regular Paper (≤14 trang) thì nội dung khá cô đọng so với khối lượng đóng góp được công bố (2 tầng kiến trúc + causal layer + LLM-agent pilot).</w:t>
      </w:r>
    </w:p>
    <w:p>
      <w:pPr>
        <w:spacing w:after="140"/>
      </w:pPr>
      <w:r>
        <w:rPr>
          <w:b/>
          <w:bCs/>
        </w:rPr>
        <w:t xml:space="preserve">Người đánh giá: </w:t>
      </w:r>
      <w:r>
        <w:t xml:space="preserve">Trợ lý AI (Claude), theo yêu cầu của tác giả — đây là bản rà soát mô phỏng góc nhìn phản biện, không thay thế cho phản biện chính thức của tạp chí.</w:t>
      </w:r>
    </w:p>
    <w:p>
      <w:pPr>
        <w:pStyle w:val="Heading1"/>
        <w:spacing w:after="150" w:before="300"/>
      </w:pPr>
      <w:r>
        <w:t xml:space="preserve">1. Khuyến nghị tổng thể</w:t>
      </w:r>
    </w:p>
    <w:p>
      <w:pPr>
        <w:spacing w:after="140"/>
      </w:pPr>
      <w:r>
        <w:rPr>
          <w:b/>
          <w:bCs/>
        </w:rPr>
        <w:t xml:space="preserve">MAJOR REVISION — với một nhóm lỗi liêm chính trích dẫn phải sửa 100% trước khi nộp (không chỉ trước khi công bố).</w:t>
      </w:r>
    </w:p>
    <w:p>
      <w:pPr>
        <w:spacing w:after="140"/>
      </w:pPr>
      <w:r>
        <w:t xml:space="preserve">Bản thảo có ý tưởng rõ ràng, khung hai tầng (Tier 1 định lượng + Tier 2 pilot diễn giải) hợp lý, và điểm đáng khen nhất là tinh thần tự phê phán khoa học (manipulation check, ghi nhận rõ những gì chưa làm được). Tuy nhiên, ở dạng hiện tại, bản thảo không thể nộp cho một tạp chí IEEE vì (a) danh mục tài liệu tham khảo còn chứa ghi chú nội bộ dạng "verify before submission" chưa được xử lý, và (b) văn bản còn sót placeholder [TODO]. Ngoài ra có một số khoảng cách giữa những gì tiêu đề/abstract hứa hẹn (heterogeneous hypergraph) và những gì thực sự được đánh giá định lượng (chỉ hyperedge đồng nhất concept-prerequisite).</w:t>
      </w:r>
    </w:p>
    <w:p>
      <w:pPr>
        <w:pStyle w:val="Heading1"/>
        <w:spacing w:after="150" w:before="300"/>
      </w:pPr>
      <w:r>
        <w:t xml:space="preserve">2. VẤN ĐỀ NGHIÊM TRỌNG — LIÊM CHÍNH TRÍCH DẪN (phải sửa trước khi nộp)</w:t>
      </w:r>
    </w:p>
    <w:p>
      <w:pPr>
        <w:spacing w:after="140"/>
      </w:pPr>
      <w:r>
        <w:t xml:space="preserve">Đây là phần quan trọng nhất của báo cáo này. Một bản thảo nộp cho reviewer không bao giờ được chứa các ghi chú tự nhắc nhở kiểu "cần xác minh" còn sót lại — điều này sẽ bị biên tập viên coi là dấu hiệu bản thảo chưa sẵn sàng, và trong bối cảnh lo ngại chung về trích dẫn do AI hỗ trợ sinh ra chưa kiểm chứng (citation hallucination), rất dễ dẫn đến desk-reject ngay cả trước khi vào vòng phản biện.</w:t>
      </w:r>
    </w:p>
    <w:p>
      <w:pPr>
        <w:pStyle w:val="Heading2"/>
        <w:spacing w:after="100" w:before="220"/>
      </w:pPr>
      <w:r>
        <w:t xml:space="preserve">2.1 Placeholder còn sót trong metadata tác giả</w:t>
      </w:r>
    </w:p>
    <w:p>
      <w:pPr>
        <w:pBdr>
          <w:left w:val="single" w:color="888888" w:sz="12" w:space="8"/>
        </w:pBdr>
        <w:spacing w:after="90" w:before="40"/>
        <w:ind w:left="431"/>
      </w:pPr>
      <w:r>
        <w:rPr>
          <w:i/>
          <w:iCs/>
        </w:rPr>
        <w:t xml:space="preserve">"L. H. Son is the corresponding author. [TODO: Manuscript received/revised dates – fill at submission time.]"</w:t>
      </w:r>
    </w:p>
    <w:p>
      <w:pPr>
        <w:spacing w:after="140"/>
      </w:pPr>
      <w:r>
        <w:t xml:space="preserve">Chuỗi "[TODO: ...]" nằm ngay trong footnote trang 1 — phải xoá/điền trước khi nộp.</w:t>
      </w:r>
    </w:p>
    <w:p>
      <w:pPr>
        <w:pStyle w:val="Heading2"/>
        <w:spacing w:after="100" w:before="220"/>
      </w:pPr>
      <w:r>
        <w:t xml:space="preserve">2.2 7/19 tài liệu tham khảo (≈37%) tự gắn cờ "chưa xác minh"</w:t>
      </w:r>
    </w:p>
    <w:p>
      <w:pPr>
        <w:spacing w:after="140"/>
      </w:pPr>
      <w:r>
        <w:t xml:space="preserve">Các mục [4], [5], [6], [9], [10], [17], [18] trong danh sách References đều chứa các cụm như "Author list to verify", "author names not confirmed from the source consulted – verify before submission", "venue TBD", hoặc "verify against primary source before submission". Đây không phải lỗi định dạng nhỏ — đây là bằng chứng cho thấy nhóm tác giả (có thể dùng công cụ AI để dựng danh mục tài liệu) chưa tự kiểm chứng lại chính danh sách tham khảo của mình trước khi đưa vào bản thảo.</w:t>
      </w:r>
    </w:p>
    <w:p>
      <w:pPr>
        <w:pStyle w:val="ListParagraph"/>
        <w:numPr>
          <w:ilvl w:val="0"/>
          <w:numId w:val="2"/>
        </w:numPr>
        <w:spacing w:after="90"/>
      </w:pPr>
      <w:r>
        <w:rPr>
          <w:b/>
          <w:bCs/>
        </w:rPr>
        <w:t xml:space="preserve">[4] </w:t>
      </w:r>
      <w:r>
        <w:t xml:space="preserve">"Knowledge tracing with a temporal hypergraph memory network" (AIED 2025) — </w:t>
      </w:r>
      <w:r>
        <w:rPr>
          <w:i/>
          <w:iCs/>
        </w:rPr>
        <w:t xml:space="preserve">đã xác minh qua Springer: </w:t>
      </w:r>
      <w:r>
        <w:t xml:space="preserve">tác giả thực tế là Mehrnoush Mohammadi, Kamal Berahmand, Shazia Sadiq, Hassan Khosravi (Univ. of Queensland / QUT), DOI 10.1007/978-3-031-99267-4_10, CCIS vol. 2592, trang 77–85. Đề nghị cập nhật đúng tên tác giả và trang số.</w:t>
      </w:r>
    </w:p>
    <w:p>
      <w:pPr>
        <w:pStyle w:val="ListParagraph"/>
        <w:numPr>
          <w:ilvl w:val="0"/>
          <w:numId w:val="2"/>
        </w:numPr>
        <w:spacing w:after="90"/>
      </w:pPr>
      <w:r>
        <w:rPr>
          <w:b/>
          <w:bCs/>
        </w:rPr>
        <w:t xml:space="preserve">[5] </w:t>
      </w:r>
      <w:r>
        <w:t xml:space="preserve">"Hypergraph-driven high-order knowledge tracing with a dual-gated dynamic mechanism", Applied Sciences vol. 15, no. 15, p. 8617, 2025 — bài này có tồn tại trên MDPI; tác giả cần tự vào link MDPI (2076-3417/15/15/8617) lấy tên tác giả chính xác thay vì để "author names not confirmed".</w:t>
      </w:r>
    </w:p>
    <w:p>
      <w:pPr>
        <w:pStyle w:val="ListParagraph"/>
        <w:numPr>
          <w:ilvl w:val="0"/>
          <w:numId w:val="2"/>
        </w:numPr>
        <w:spacing w:after="90"/>
      </w:pPr>
      <w:r>
        <w:rPr>
          <w:b/>
          <w:bCs/>
        </w:rPr>
        <w:t xml:space="preserve">[6] </w:t>
      </w:r>
      <w:r>
        <w:t xml:space="preserve">"HTKT: Knowledge tracing based on hypergraph transformer", ghi "IEEE Access (or venue TBD)" — venue chưa xác định là điều không thể chấp nhận trong reference list nộp cho IEEE; cần xác nhận volume/issue/DOI chính xác (mã 10885089 gợi ý là IEEE Xplore document — cần tra cứu và điền đủ).</w:t>
      </w:r>
    </w:p>
    <w:p>
      <w:pPr>
        <w:pStyle w:val="ListParagraph"/>
        <w:numPr>
          <w:ilvl w:val="0"/>
          <w:numId w:val="2"/>
        </w:numPr>
        <w:spacing w:after="90"/>
      </w:pPr>
      <w:r>
        <w:rPr>
          <w:b/>
          <w:bCs/>
        </w:rPr>
        <w:t xml:space="preserve">[9], [10] </w:t>
      </w:r>
      <w:r>
        <w:t xml:space="preserve">hai bài trên Frontiers in Psychology và Expert Systems with Applications cũng ở tình trạng "author names not confirmed" / thiếu volume-pages chính xác.</w:t>
      </w:r>
    </w:p>
    <w:p>
      <w:pPr>
        <w:pStyle w:val="ListParagraph"/>
        <w:numPr>
          <w:ilvl w:val="0"/>
          <w:numId w:val="2"/>
        </w:numPr>
        <w:spacing w:after="90"/>
      </w:pPr>
      <w:r>
        <w:rPr>
          <w:b/>
          <w:bCs/>
        </w:rPr>
        <w:t xml:space="preserve">[17] </w:t>
      </w:r>
      <w:r>
        <w:t xml:space="preserve">Minn et al., AAAI 2022 — ghi chú "author order and page range per secondary citation (Kumar et al., EDM 2023) – verify against primary source". Trích dẫn gián tiếp qua nguồn thứ cấp mà không kiểm tra lại nguồn gốc là một rủi ro trích dẫn sai lệch cổ điển; cần tra bản gốc AAAI 2022 proceedings.</w:t>
      </w:r>
    </w:p>
    <w:p>
      <w:pPr>
        <w:spacing w:after="140"/>
      </w:pPr>
      <w:r>
        <w:t xml:space="preserve">Ngoài ra, các mục [11], [13], [14] hoàn toàn không có tên tác giả (chỉ có tiêu đề trong ngoặc kép + mã arXiv), vi phạm định dạng IEEE Reference Guide vốn luôn yêu cầu tên tác giả đứng đầu mỗi mục. Cần bổ sung tên tác giả đầy đủ cho cả ba.</w:t>
      </w:r>
    </w:p>
    <w:p>
      <w:pPr>
        <w:spacing w:after="140"/>
      </w:pPr>
      <w:r>
        <w:t xml:space="preserve">Điểm tích cực: bản thảo đã tự phát hiện và gắn cờ những vấn đề này thay vì che giấu — đó là dấu hiệu tốt về ý thức liêm chính của nhóm tác giả. Nhưng bản thảo không nên được nộp trong khi các cờ này còn tồn tại; đây phải là việc hoàn tất 100% trước khi gửi, không phải một "limitation" được chấp nhận.</w:t>
      </w:r>
    </w:p>
    <w:p>
      <w:pPr>
        <w:pStyle w:val="Heading2"/>
        <w:spacing w:after="100" w:before="220"/>
      </w:pPr>
      <w:r>
        <w:t xml:space="preserve">2.3 Phụ thuộc vào bài đồng hành [8] chưa qua bình duyệt</w:t>
      </w:r>
    </w:p>
    <w:p>
      <w:pPr>
        <w:spacing w:after="140"/>
      </w:pPr>
      <w:r>
        <w:t xml:space="preserve">Phần lớn nền tảng phương pháp (giao thức leakage-audit, baseline results tái sử dụng trong Bảng IV, không gian kc_id, split seeds) đến từ tài liệu tham khảo [8]: "D. M. Tuan et al., Leakage-controlled concept graph construction and cold-start diagnostic protocol for knowledge tracing, 2026, submitted to Applied Intelligence (APIN)". Vì [8] chưa được công bố/bình duyệt, reviewer của bản thảo này không có cách nào độc lập kiểm chứng các con số baseline hay giao thức audit mà Bảng IV và Mục IV-B dựa vào. Nên cân nhắc: (a) đính kèm bản thảo [8] làm tài liệu bổ trợ cho reviewer, hoặc (b) đợi [8] được chấp nhận trước khi nộp bài này, hoặc (c) tóm tắt đủ chi tiết giao thức audit trong Mục III/IV để bài tự đứng độc lập được về mặt kiểm chứng (self-contained), thay vì chỉ dẫn chiếu.</w:t>
      </w:r>
    </w:p>
    <w:p>
      <w:pPr>
        <w:pStyle w:val="Heading1"/>
        <w:spacing w:after="150" w:before="300"/>
      </w:pPr>
      <w:r>
        <w:t xml:space="preserve">3. Điểm mạnh</w:t>
      </w:r>
    </w:p>
    <w:p>
      <w:pPr>
        <w:pStyle w:val="ListParagraph"/>
        <w:numPr>
          <w:ilvl w:val="0"/>
          <w:numId w:val="2"/>
        </w:numPr>
        <w:spacing w:after="90"/>
      </w:pPr>
      <w:r>
        <w:rPr>
          <w:b/>
          <w:bCs/>
        </w:rPr>
        <w:t xml:space="preserve">Tinh thần tự phê phán khoa học nổi bật: </w:t>
      </w:r>
      <w:r>
        <w:t xml:space="preserve">manipulation check (∆AUC dưới p=0.9 node-drop) như một điều kiện tiên quyết trước khi diễn giải bất kỳ kết quả ablation nào là một thực hành phương pháp luận tốt, hiếm gặp trong lĩnh vực graph-KT — nhóm phát hiện một kiến trúc "graph-inert" trước đó (∆AUC≈0.0003) và sửa lại thiết kế, đây là bằng chứng thực nghiệm nghiêm túc chứ không phải suy diễn.</w:t>
      </w:r>
    </w:p>
    <w:p>
      <w:pPr>
        <w:pStyle w:val="ListParagraph"/>
        <w:numPr>
          <w:ilvl w:val="0"/>
          <w:numId w:val="2"/>
        </w:numPr>
        <w:spacing w:after="90"/>
      </w:pPr>
      <w:r>
        <w:rPr>
          <w:b/>
          <w:bCs/>
        </w:rPr>
        <w:t xml:space="preserve">Ghi nhận trung thực các phần chưa hoàn thành: </w:t>
      </w:r>
      <w:r>
        <w:t xml:space="preserve">gọi thẳng session/discussion-thread/teacher-intervention hyperedges là "data-blocked", ATE layer là "implemented and unit-tested" nhưng chưa có số liệu — tác giả không thổi phồng kết quả.</w:t>
      </w:r>
    </w:p>
    <w:p>
      <w:pPr>
        <w:pStyle w:val="ListParagraph"/>
        <w:numPr>
          <w:ilvl w:val="0"/>
          <w:numId w:val="2"/>
        </w:numPr>
        <w:spacing w:after="90"/>
      </w:pPr>
      <w:r>
        <w:rPr>
          <w:b/>
          <w:bCs/>
        </w:rPr>
        <w:t xml:space="preserve">Thiết kế Tier 2 an toàn: </w:t>
      </w:r>
      <w:r>
        <w:t xml:space="preserve">cơ chế Critic agent bắt buộc trước khi coi giải thích của Diagnostician là đáng tin, cùng với việc hiệu chỉnh định dạng xác suất (critic_calibration.py) đưa flag rate từ 12.4% xuống 0%, là một vòng lặp kiểm định hợp lý cho pilot ở quy mô nhỏ.</w:t>
      </w:r>
    </w:p>
    <w:p>
      <w:pPr>
        <w:pStyle w:val="ListParagraph"/>
        <w:numPr>
          <w:ilvl w:val="0"/>
          <w:numId w:val="2"/>
        </w:numPr>
        <w:spacing w:after="90"/>
      </w:pPr>
      <w:r>
        <w:rPr>
          <w:b/>
          <w:bCs/>
        </w:rPr>
        <w:t xml:space="preserve">Tái sử dụng baseline có kiểm soát: </w:t>
      </w:r>
      <w:r>
        <w:t xml:space="preserve">tránh huấn luyện lại 9 mô hình baseline, có script xác minh cấu hình tiền xử lý khớp với [8] (sha256 được nêu cụ thể) — thực hành tốt cho khả năng tái lập.</w:t>
      </w:r>
    </w:p>
    <w:p>
      <w:pPr>
        <w:pStyle w:val="Heading1"/>
        <w:spacing w:after="150" w:before="300"/>
      </w:pPr>
      <w:r>
        <w:t xml:space="preserve">4. Vấn đề lớn về nội dung khoa học</w:t>
      </w:r>
    </w:p>
    <w:p>
      <w:pPr>
        <w:pStyle w:val="Heading2"/>
        <w:spacing w:after="100" w:before="220"/>
      </w:pPr>
      <w:r>
        <w:t xml:space="preserve">4.1 Khoảng cách giữa tiêu đề/abstract và phạm vi thực nghiệm</w:t>
      </w:r>
    </w:p>
    <w:p>
      <w:pPr>
        <w:spacing w:after="140"/>
      </w:pPr>
      <w:r>
        <w:t xml:space="preserve">Tiêu đề nhấn mạnh "Dynamic Heterogeneous Hypergraph", và Contribution C1 hứa hẹn các loại hyperedge session/discussion-thread/teacher-intervention. Nhưng Mục IV-A nói rõ ba loại hyperedge dị thể này "data-blocked on all three core benchmarks" — không benchmark nào có log Hint/Forum/Teacher-action đồng bộ. Kết quả là toàn bộ phần định lượng (Bảng IV, V, VI) chỉ đánh giá concept-prerequisite hyperedge — một cấu trúc đồng nhất (chỉ gồm node concept), không phải "heterogeneous". Đây là khoảng cách quan trọng nhất giữa những gì bài báo tự nhận là đóng góp cốt lõi và những gì thực sự được kiểm chứng bằng số liệu. Đề nghị: hoặc (a) làm rõ ngay trong abstract/title rằng phần dị thể là thiết kế giao diện (interface-complete) chưa được đánh giá thực nghiệm, hoặc (b) hoàn thành tích hợp ES-KT-24 (Mục IV-A ghi "M2 skipped") để có ít nhất một loại hyperedge dị thể có số liệu thật.</w:t>
      </w:r>
    </w:p>
    <w:p>
      <w:pPr>
        <w:pStyle w:val="Heading2"/>
        <w:spacing w:after="100" w:before="220"/>
      </w:pPr>
      <w:r>
        <w:t xml:space="preserve">4.2 Hiệu năng dự đoán thấp hơn đáng kể so với baseline</w:t>
      </w:r>
    </w:p>
    <w:p>
      <w:pPr>
        <w:spacing w:after="140"/>
      </w:pPr>
      <w:r>
        <w:t xml:space="preserve">DH²-KT v2 đạt AUC trung bình 0.7516 trên XES3G5M, thấp hơn GKT tái sử dụng (0.8336) khoảng 8.2 điểm và simpleKT (0.8747) khoảng 12.3 điểm (Bảng IV). Lập luận "đánh đổi AUC lấy graph-reliance có thể kiểm chứng" là hợp lý về phương pháp luận, nhưng reviewer TLT nhiều khả năng sẽ đặt câu hỏi: một mô hình thua xa baseline về độ chính xác, chỉ để "vượt qua" một manipulation check, mang lại giá trị ứng dụng gì cho người dùng cuối (giáo viên, hệ thống ITS)? Cần một đoạn thảo luận rõ ràng hơn về việc khi nào graph-reliance-nhưng-kém-chính-xác lại đáng ưu tiên hơn accuracy-cao-nhưng-không-thể-diễn-giải trong ngữ cảnh giáo dục thực tế — hiện Mục VIII-B có đề cập nhưng khá ngắn.</w:t>
      </w:r>
    </w:p>
    <w:p>
      <w:pPr>
        <w:pStyle w:val="Heading2"/>
        <w:spacing w:after="100" w:before="220"/>
      </w:pPr>
      <w:r>
        <w:t xml:space="preserve">4.3 Junyi Academy — một trong ba benchmark chính — không thực sự được dùng để huấn luyện/đánh giá mô hình</w:t>
      </w:r>
    </w:p>
    <w:p>
      <w:pPr>
        <w:spacing w:after="140"/>
      </w:pPr>
      <w:r>
        <w:t xml:space="preserve">Mục VI-C thừa nhận "Full DH2-KT training on Junyi was not run (25M interactions); Junyi's role here is structural validation only" — tức là claim ground-truth cross-validation (RQ5) chỉ so sánh chồng lấp cạnh (edge F1) giữa hyperedge chain và Epre, KHÔNG chạy mô hình đầy đủ. Đồng thời F1 của hyperedge chain (0.165) còn thấp hơn Epre gốc (0.183) — nghĩa là việc gom cạnh thành hyperedge làm giảm nhẹ độ khớp với DAG chuyên gia, một kết quả bất lợi cho luận điểm chính mà bài chỉ nhắc "slightly underlaps" mà chưa phân tích nguyên nhân. ASSISTments 2012 cũng chỉ được gọi là "secondary" mà không thấy bảng kết quả cụ thể nào cho benchmark này trong bản thảo. Về bản chất, mọi con số định lượng thực chất (Bảng IV, V) chỉ đến từ MỘT benchmark (XES3G5M).</w:t>
      </w:r>
    </w:p>
    <w:p>
      <w:pPr>
        <w:pStyle w:val="Heading2"/>
        <w:spacing w:after="100" w:before="220"/>
      </w:pPr>
      <w:r>
        <w:t xml:space="preserve">4.4 Đóng góp C3 (causal-effect layer) chưa có bất kỳ số liệu thực nghiệm nào</w:t>
      </w:r>
    </w:p>
    <w:p>
      <w:pPr>
        <w:spacing w:after="140"/>
      </w:pPr>
      <w:r>
        <w:t xml:space="preserve">"No ATE numbers are reported in the main XES3G5M experiments because hint intervention logs are unavailable... the layer is implemented and unit-tested for future integration." Đây thực chất là một đóng góp về mặt hạ tầng code, không phải một kết quả khoa học đã kiểm chứng — nên được trình bày như vậy trong Abstract/Contributions (hiện C3 được liệt kê ngang hàng với các đóng góp có số liệu, dễ gây hiểu lầm cho reviewer khi đọc lướt).</w:t>
      </w:r>
    </w:p>
    <w:p>
      <w:pPr>
        <w:pStyle w:val="Heading2"/>
        <w:spacing w:after="100" w:before="220"/>
      </w:pPr>
      <w:r>
        <w:t xml:space="preserve">4.5 Tier 2 pilot có quy mô rất hạn chế cho một claim ở tầm TLT</w:t>
      </w:r>
    </w:p>
    <w:p>
      <w:pPr>
        <w:spacing w:after="140"/>
      </w:pPr>
      <w:r>
        <w:t xml:space="preserve">500 mẫu, một fold duy nhất, một mô hình LLM mã nguồn mở 7B (Qwen2.5-7B qua Ollama), và "no human rating study was conducted" (Mục VIII-C tự liệt kê là limitation). Contribution C5 trong Abstract lại được diễn đạt khá tự tin ("demonstrating that... is tractable"). Đề xuất: hạ giọng điệu Abstract để phản ánh đúng quy mô pilot, hoặc bổ sung ít nhất một đánh giá con người nhỏ (vài chục mẫu, 2-3 người đánh giá độc lập) về chất lượng giải thích trước khi nộp — TLT là tạp chí về learning technologies, khả năng cao reviewer sẽ đòi hỏi bằng chứng về giá trị sư phạm thực sự của phần giải thích ngôn ngữ tự nhiên, không chỉ flag rate của Critic.</w:t>
      </w:r>
    </w:p>
    <w:p>
      <w:pPr>
        <w:pStyle w:val="Heading1"/>
        <w:spacing w:after="150" w:before="300"/>
      </w:pPr>
      <w:r>
        <w:t xml:space="preserve">5. Nhận xét theo từng mục</w:t>
      </w:r>
    </w:p>
    <w:p>
      <w:pPr>
        <w:pStyle w:val="Heading2"/>
        <w:spacing w:after="100" w:before="220"/>
      </w:pPr>
      <w:r>
        <w:t xml:space="preserve">Introduction / Motivation</w:t>
      </w:r>
    </w:p>
    <w:p>
      <w:pPr>
        <w:spacing w:after="140"/>
      </w:pPr>
      <w:r>
        <w:t xml:space="preserve">Ba khoảng trống (gap) được trình bày rõ ràng và có trích dẫn hỗ trợ hợp lý. Tuy nhiên câu mở đầu Mục I-A liệt kê "heterogeneous relations are absent from graph-KT" như một khoảng trống bài báo lấp đầy, trong khi Mục 4.1 ở trên cho thấy phần dị thể chưa được đánh giá định lượng — nên điều chỉnh mức độ khẳng định cho khớp với những gì Kết quả thực sự chứng minh.</w:t>
      </w:r>
    </w:p>
    <w:p>
      <w:pPr>
        <w:pStyle w:val="Heading2"/>
        <w:spacing w:after="100" w:before="220"/>
      </w:pPr>
      <w:r>
        <w:t xml:space="preserve">Related Work</w:t>
      </w:r>
    </w:p>
    <w:p>
      <w:pPr>
        <w:spacing w:after="140"/>
      </w:pPr>
      <w:r>
        <w:t xml:space="preserve">Bao phủ tốt ba nhánh graph/hypergraph-KT, LLM agents trong giáo dục, và causal inference trong EDM. Cần hoàn tất việc xác minh tác giả cho các trích dẫn đã nêu ở Mục 2.2 trước khi nộp.</w:t>
      </w:r>
    </w:p>
    <w:p>
      <w:pPr>
        <w:pStyle w:val="Heading2"/>
        <w:spacing w:after="100" w:before="220"/>
      </w:pPr>
      <w:r>
        <w:t xml:space="preserve">Phương pháp (Mục III–V)</w:t>
      </w:r>
    </w:p>
    <w:p>
      <w:pPr>
        <w:spacing w:after="140"/>
      </w:pPr>
      <w:r>
        <w:t xml:space="preserve">Ký hiệu toán học và Algorithm 1 (build_concept_prerequisite_hyperedges) trình bày rõ ràng, tái sử dụng notation của [8] một cách nhất quán. Định nghĩa hyperedge tổng quát (Mục III) tốt nhưng vì 3/4 loại hyperedge không có dữ liệu, phần lớn định nghĩa này mang tính "future-proofing" hơn là mô tả hệ thống đã triển khai — nên nói rõ điều này ngay khi giới thiệu định nghĩa, tránh để reviewer hiểu nhầm là đã triển khai đủ 4 loại.</w:t>
      </w:r>
    </w:p>
    <w:p>
      <w:pPr>
        <w:pStyle w:val="Heading2"/>
        <w:spacing w:after="100" w:before="220"/>
      </w:pPr>
      <w:r>
        <w:t xml:space="preserve">Thực nghiệm &amp; Kết quả (Mục VI–VII)</w:t>
      </w:r>
    </w:p>
    <w:p>
      <w:pPr>
        <w:spacing w:after="140"/>
      </w:pPr>
      <w:r>
        <w:t xml:space="preserve">Bảng V (manipulation check) là phần thuyết phục nhất của bài — có so sánh trước/sau redesign, số liệu cụ thể. Bảng III (Tier 2 faithfulness) tốt nhưng cỡ mẫu nhỏ như đã nêu. Fig. 2 minh hoạ tốt bằng biểu đồ cột nhưng nhãn "Pass threshold (illustrative)" cần được giải thích ngưỡng này được chọn dựa trên cơ sở nào (không thấy định nghĩa ngưỡng số trong văn bản).</w:t>
      </w:r>
    </w:p>
    <w:p>
      <w:pPr>
        <w:pStyle w:val="Heading2"/>
        <w:spacing w:after="100" w:before="220"/>
      </w:pPr>
      <w:r>
        <w:t xml:space="preserve">Discussion / Limitations (Mục VIII)</w:t>
      </w:r>
    </w:p>
    <w:p>
      <w:pPr>
        <w:spacing w:after="140"/>
      </w:pPr>
      <w:r>
        <w:t xml:space="preserve">Rất đáng khen: mục Limitations liệt kê đầy đủ, trung thực 5 hạn chế chính (data-blocked hyperedges, causal assumption chưa chứng minh, pairwise-projection approximation, quy mô Tier 2 pilot, môi trường tái lập Windows/RTX 3090 đơn lẻ). Đây là chuẩn mực tốt cần giữ nguyên.</w:t>
      </w:r>
    </w:p>
    <w:p>
      <w:pPr>
        <w:pStyle w:val="Heading2"/>
        <w:spacing w:after="100" w:before="220"/>
      </w:pPr>
      <w:r>
        <w:t xml:space="preserve">Kết luận</w:t>
      </w:r>
    </w:p>
    <w:p>
      <w:pPr>
        <w:spacing w:after="140"/>
      </w:pPr>
      <w:r>
        <w:t xml:space="preserve">Súc tích, không phóng đại thêm so với phần Kết quả — nhất quán với phong cách thận trọng của toàn bài, ngoại trừ khoảng cách title/abstract đã nêu ở Mục 4.1.</w:t>
      </w:r>
    </w:p>
    <w:p>
      <w:pPr>
        <w:pStyle w:val="Heading1"/>
        <w:spacing w:after="150" w:before="300"/>
      </w:pPr>
      <w:r>
        <w:t xml:space="preserve">6. Vấn đề nhỏ / trình bày</w:t>
      </w:r>
    </w:p>
    <w:p>
      <w:pPr>
        <w:pStyle w:val="ListParagraph"/>
        <w:numPr>
          <w:ilvl w:val="0"/>
          <w:numId w:val="2"/>
        </w:numPr>
        <w:spacing w:after="90"/>
      </w:pPr>
      <w:r>
        <w:t xml:space="preserve">Ký hiệu "DH2 A-KT" / "DH2 -KT" xuất hiện trong bản text-extract có thể do lỗi trích xuất PDF làm mất chỉ số trên (superscript "2" của DH²A-KT); cần tự mở file PDF đã biên dịch và kiểm tra bằng mắt rằng ký hiệu hiển thị đúng "DH²A-KT" ở mọi vị trí (tiêu đề, header chạy trang, các bảng), vì lỗi font/symbol trong LaTeX đôi khi chỉ lộ ra khi convert.</w:t>
      </w:r>
    </w:p>
    <w:p>
      <w:pPr>
        <w:pStyle w:val="ListParagraph"/>
        <w:numPr>
          <w:ilvl w:val="0"/>
          <w:numId w:val="2"/>
        </w:numPr>
        <w:spacing w:after="90"/>
      </w:pPr>
      <w:r>
        <w:t xml:space="preserve">Bảng II ghi "PAIRWISE TBMR/|ρ| SKIPPED WHEN PROJECTION EXCEEDS CAP (NOTED IN AUDIT JSON)" — nên nêu giá trị cap cụ thể ngay trong caption hoặc chú thích bảng thay vì chỉ dẫn chiếu "audit JSON" mà reviewer không truy cập được.</w:t>
      </w:r>
    </w:p>
    <w:p>
      <w:pPr>
        <w:pStyle w:val="ListParagraph"/>
        <w:numPr>
          <w:ilvl w:val="0"/>
          <w:numId w:val="2"/>
        </w:numPr>
        <w:spacing w:after="90"/>
      </w:pPr>
      <w:r>
        <w:t xml:space="preserve">Ref [12] (AgentCAT, arXiv:2606.21832, 2026) đã được xác minh tồn tại thật (Zhou, Ma, Yu, Wang, Yang, Zhang) — nhưng entry trong bài không có tên tác giả, chỉ có tiêu đề; nên bổ sung.</w:t>
      </w:r>
    </w:p>
    <w:p>
      <w:pPr>
        <w:pStyle w:val="ListParagraph"/>
        <w:numPr>
          <w:ilvl w:val="0"/>
          <w:numId w:val="2"/>
        </w:numPr>
        <w:spacing w:after="90"/>
      </w:pPr>
      <w:r>
        <w:t xml:space="preserve">Kiểm tra lại thống nhất thuật ngữ: bài dùng cả "DH2A-KT" (tên hệ thống tổng) và "DH2-KT" (tên riêng Tier 1) — cần đảm bảo phân biệt hai ký hiệu này nhất quán xuyên suốt, vì rất dễ gây nhầm lẫn cho reviewer khi đọc nhanh.</w:t>
      </w:r>
    </w:p>
    <w:p>
      <w:pPr>
        <w:pStyle w:val="Heading1"/>
        <w:spacing w:after="150" w:before="300"/>
      </w:pPr>
      <w:r>
        <w:t xml:space="preserve">7. Danh sách hành động ưu tiên trước khi nộp</w:t>
      </w:r>
    </w:p>
    <w:p>
      <w:pPr>
        <w:pStyle w:val="ListParagraph"/>
        <w:numPr>
          <w:ilvl w:val="0"/>
          <w:numId w:val="2"/>
        </w:numPr>
        <w:spacing w:after="90"/>
      </w:pPr>
      <w:r>
        <w:rPr>
          <w:b/>
          <w:bCs/>
        </w:rPr>
        <w:t xml:space="preserve">[BẮT BUỘC] </w:t>
      </w:r>
      <w:r>
        <w:t xml:space="preserve">Xoá placeholder [TODO: Manuscript received/revised dates].</w:t>
      </w:r>
    </w:p>
    <w:p>
      <w:pPr>
        <w:pStyle w:val="ListParagraph"/>
        <w:numPr>
          <w:ilvl w:val="0"/>
          <w:numId w:val="2"/>
        </w:numPr>
        <w:spacing w:after="90"/>
      </w:pPr>
      <w:r>
        <w:rPr>
          <w:b/>
          <w:bCs/>
        </w:rPr>
        <w:t xml:space="preserve">[BẮT BUỘC] </w:t>
      </w:r>
      <w:r>
        <w:t xml:space="preserve">Xác minh và sửa 100% các mục reference còn gắn cờ "verify"/"TBD"/"not confirmed": [4] (đã có đáp án ở trên), [5], [6], [9], [10], [17]; bổ sung tên tác giả cho [11], [13], [14].</w:t>
      </w:r>
    </w:p>
    <w:p>
      <w:pPr>
        <w:pStyle w:val="ListParagraph"/>
        <w:numPr>
          <w:ilvl w:val="0"/>
          <w:numId w:val="2"/>
        </w:numPr>
        <w:spacing w:after="90"/>
      </w:pPr>
      <w:r>
        <w:rPr>
          <w:b/>
          <w:bCs/>
        </w:rPr>
        <w:t xml:space="preserve">[BẮT BUỘC] </w:t>
      </w:r>
      <w:r>
        <w:t xml:space="preserve">Quyết định cách xử lý phụ thuộc vào [8] chưa qua bình duyệt: đính kèm bản thảo [8] cho reviewer hoặc tóm tắt đủ chi tiết để bài tự đứng độc lập.</w:t>
      </w:r>
    </w:p>
    <w:p>
      <w:pPr>
        <w:pStyle w:val="ListParagraph"/>
        <w:numPr>
          <w:ilvl w:val="0"/>
          <w:numId w:val="2"/>
        </w:numPr>
        <w:spacing w:after="90"/>
      </w:pPr>
      <w:r>
        <w:rPr>
          <w:b/>
          <w:bCs/>
        </w:rPr>
        <w:t xml:space="preserve">[NÊN LÀM] </w:t>
      </w:r>
      <w:r>
        <w:t xml:space="preserve">Viết lại Abstract/Contributions để phản ánh đúng: phần hyperedge dị thể (C1) là thiết kế giao diện chưa có số liệu; C3 (causal layer) chưa có kết quả thực nghiệm; C5 (Tier 2) là pilot quy mô rất nhỏ, chưa có đánh giá con người.</w:t>
      </w:r>
    </w:p>
    <w:p>
      <w:pPr>
        <w:pStyle w:val="ListParagraph"/>
        <w:numPr>
          <w:ilvl w:val="0"/>
          <w:numId w:val="2"/>
        </w:numPr>
        <w:spacing w:after="90"/>
      </w:pPr>
      <w:r>
        <w:rPr>
          <w:b/>
          <w:bCs/>
        </w:rPr>
        <w:t xml:space="preserve">[NÊN LÀM] </w:t>
      </w:r>
      <w:r>
        <w:t xml:space="preserve">Bổ sung một đoạn thảo luận về giá trị thực tiễn của việc đánh đổi AUC thấp hơn để đạt graph-reliance, đặc biệt trong ngữ cảnh ứng dụng learning-technology mà TLT quan tâm.</w:t>
      </w:r>
    </w:p>
    <w:p>
      <w:pPr>
        <w:pStyle w:val="ListParagraph"/>
        <w:numPr>
          <w:ilvl w:val="0"/>
          <w:numId w:val="2"/>
        </w:numPr>
        <w:spacing w:after="90"/>
      </w:pPr>
      <w:r>
        <w:rPr>
          <w:b/>
          <w:bCs/>
        </w:rPr>
        <w:t xml:space="preserve">[CÂN NHẮC] </w:t>
      </w:r>
      <w:r>
        <w:t xml:space="preserve">Nếu còn thời gian trước hạn nộp: hoàn thành tích hợp ES-KT-24 (session hyperedges) hoặc chạy một đánh giá con người nhỏ cho Tier 2, để ít nhất một trong hai đóng góp "chưa có số liệu" có bằng chứng thực nghiệm.</w:t>
      </w:r>
    </w:p>
    <w:p>
      <w:pPr>
        <w:spacing w:before="300"/>
      </w:pPr>
    </w:p>
    <w:p>
      <w:pPr>
        <w:jc w:val="center"/>
      </w:pPr>
      <w:r>
        <w:rPr>
          <w:i/>
          <w:iCs/>
          <w:color w:val="666666"/>
        </w:rPr>
        <w:t xml:space="preserve">— Hết báo cáo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2026-08-06T12:54:07.113Z</dcterms:created>
  <dcterms:modified xsi:type="dcterms:W3CDTF">2026-08-06T12:54:07.113Z</dcterms:modified>
</cp:coreProperties>
</file>

<file path=docProps/custom.xml><?xml version="1.0" encoding="utf-8"?>
<Properties xmlns="http://schemas.openxmlformats.org/officeDocument/2006/custom-properties" xmlns:vt="http://schemas.openxmlformats.org/officeDocument/2006/docPropsVTypes"/>
</file>