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sz w:val="36"/>
          <w:szCs w:val="36"/>
        </w:rPr>
        <w:t xml:space="preserve">Ý tưởng bản thảo C: DH²A-KT</w:t>
      </w:r>
    </w:p>
    <w:p>
      <w:pPr>
        <w:spacing w:after="60"/>
      </w:pPr>
      <w:r>
        <w:rPr>
          <w:b/>
          <w:bCs/>
          <w:sz w:val="26"/>
          <w:szCs w:val="26"/>
        </w:rPr>
        <w:t xml:space="preserve">Hybrid Two-Tier Dynamic Heterogeneous Hypergraph + Agentic Knowledge Tracing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(DH²A-KT = Dynamic Heterogeneous Hypergraph + Agentic Knowledge Tracing)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Nguyên tắc thiết kế: Tier 1 (lõi kỹ thuật) gánh toàn bộ tuyên bố định lượng — huấn luyện end-to-end, benchmark AUC/ACC, ablation đầy đủ, chạy được trọn vẹn trên 1x RTX 3090 24GB. Tier 2 (agentic) chỉ gánh tuyên bố định tính/diễn giải — pilot có kiểm soát quy mô, không cố benchmark ngang hàng Tier 1. Đây chính là cách giới hạn phạm vi để tránh bẫy "B đơn lẻ khả thi thấp".</w:t>
      </w:r>
    </w:p>
    <w:p>
      <w:pPr>
        <w:pStyle w:val="Heading1"/>
        <w:spacing w:after="180" w:before="360"/>
      </w:pPr>
      <w:r>
        <w:t xml:space="preserve">1. Tóm tắt kiến trúc hai tầng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+-----------------------------------------------+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TIER 1 -- DH2-KT (loi, huan luyen day du)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Heterogeneous hypergraph + dual-gated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temporal encoder + causal-effect layer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Output: knowledge-state embedding,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        du doan dung/sai, causal score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+---------------------+---------------------------+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| (dong bang sau khi train xong)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v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+-----------------------------------------------+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TIER 2 -- Lop dien giai Agentic (pilot)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Diagnostician / Tutor-Hint / Critic agent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doc output Tier 1, KHONG tu suy luan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trang thai tri thuc tu dau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Output: giai thich ngon ngu tu nhien,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|           goi y hint, case study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+-----------------------------------------------+</w:t>
      </w:r>
    </w:p>
    <w:p>
      <w:pPr>
        <w:spacing w:after="160"/>
      </w:pP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Điểm mấu chốt: Tier 2 không phải một pipeline suy luận song song độc lập (như bản B thuần tuý) mà là agent bọc quanh output đã có sẵn của Tier 1 — giảm mạnh số lệnh gọi LLM cần thiết (mỗi sự kiện chỉ cần 1 lệnh diễn giải thay vì 3-5 lệnh suy luận từ đầu), nên khả thi trên tập mẫu lớn hơn nhiều so với B nguyên bản mà vẫn giữ trần rủi ro compute thấp.</w:t>
      </w:r>
    </w:p>
    <w:p>
      <w:pPr>
        <w:pStyle w:val="Heading1"/>
        <w:spacing w:after="180" w:before="360"/>
      </w:pPr>
      <w:r>
        <w:t xml:space="preserve">2. Câu hỏi nghiên cứu (điều chỉnh từ A + B)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RQ1 (Tier 1, định lượng): Hypergraph dị thể động cải thiện AUC/ACC dự đoán knowledge state ra sao so với baseline (DKT/SAKT/AKT/DyGKT), và đóng góp đến từ node/hyperedge nào?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RQ2 (Tier 1, định lượng): Tầng nhân quả có tách được hiệu ứng can thiệp thật khỏi tương quan giả trên dữ liệu quan sát không (đo qua ablation + độ nhạy với giả định nhận diện)?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RQ3 (Tier 2, định tính): Một lớp agent diễn giải đọc trực tiếp output Tier 1 có tạo ra giải thích ngôn ngữ tự nhiên nhất quán với điểm số/trạng thái mà Tier 1 đã tính không, và tỉ lệ "trôi"/ảo giác là bao nhiêu trên tập mẫu pilot?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RQ4 (Tier 2, định tính): Giải thích/gợi ý do agent sinh ra có được giáo viên thật đánh giá là hữu ích hơn so với chỉ hiển thị điểm số thô của Tier 1 không?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=&gt; RQ1–RQ2 là xương sống bài báo (trả lời chắc chắn bằng thực nghiệm trên 1 GPU). RQ3–RQ4 là phần mở rộng/thảo luận, được phép có kết luận sơ bộ mà không làm yếu bài.</w:t>
      </w:r>
    </w:p>
    <w:p>
      <w:pPr>
        <w:pStyle w:val="Heading1"/>
        <w:spacing w:after="180" w:before="360"/>
      </w:pPr>
      <w:r>
        <w:t xml:space="preserve">3. Phạm vi dữ liệu — chốt thực tế cho 1x RTX 3090 24GB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Nguồn</w:t>
            </w:r>
          </w:p>
        </w:tc>
        <w:tc>
          <w:tcPr>
            <w:tcW w:type="dxa" w:w="27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Vai trò</w:t>
            </w:r>
          </w:p>
        </w:tc>
        <w:tc>
          <w:tcPr>
            <w:tcW w:type="dxa" w:w="4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Ghi chú khả thi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ASSISTments 2012 (27.145 hs, 2,63M interaction, 245 KC)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Benchmark chính Tier 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training feasible trong ~1 ngày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Junyi Academy (mẫu ~500k interaction, 705 câu hỏi, 39 KC)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Benchmark phụ + kiểm tra prerequisite hyperedge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Nhẹ, dùng để test tầng concept-prerequisite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EdNet (subsample 5–15k học sinh từ 780k/88M gốc)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Kiểm tra khả năng mở rộng (scalability)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Không dùng full 88M — chỉ subsample theo thông lệ literature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ES-KT-24 (đa phương thức, có video)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Kiểm chứng node Video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Dùng embedding CLIP trích sẵn offline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Node Teacher/Forum</w:t>
            </w:r>
          </w:p>
        </w:tc>
        <w:tc>
          <w:tcPr>
            <w:tcW w:type="dxa" w:w="2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Không có benchmark public đồng bộ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(a) giới hạn Tier 1 ở Student-Exercise-Concept-Hint-Video, đưa vào Tier 2 case study; hoặc (b) nêu rõ acknowledged limitation</w:t>
            </w:r>
          </w:p>
        </w:tc>
      </w:tr>
    </w:tbl>
    <w:p>
      <w:pPr>
        <w:pStyle w:val="Heading1"/>
        <w:spacing w:after="180" w:before="360"/>
      </w:pPr>
      <w:r>
        <w:t xml:space="preserve">4. Ngăn xếp công cụ (tech stack) đề xuất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Lớp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Công cụ</w:t>
            </w:r>
          </w:p>
        </w:tc>
        <w:tc>
          <w:tcPr>
            <w:tcW w:type="dxa" w:w="41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Lý 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GNN framework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PyTorch Geometric — HypergraphConv kết hợp HeteroConv/to_hetero()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PyG hỗ trợ sẵn cả hypergraph convolution và heterogeneous graph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 embedding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Sentence-embedding nhỏ (MiniLM/BERT-base), trích 1 lần offline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Không cần fine-tune, gần như không tốn GPU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Video embedding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CLIP/ViT trích frame embedding offline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Nghẽn ở I/O chứ không phải VRAM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Tier 2 (local)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7B–8B instruct quant 4-bit (nhóm Qwen3 8B, ~5GB VRAM); có thể nâng lớp 13–14B (~8–10GB) nếu cần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Vẫn dư &gt;10GB VRAM để chạy song song Tier 1 khi kiểm tra tích hợp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Tier 2 (dự phòng)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Gọi API cho riêng bước đánh giá cuối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Tránh rủi ro throughput nếu local model không đủ nhanh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Theo dõi thực nghiệm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Weights &amp; Biases / MLflow local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Ghi lại toàn bộ ablation, tránh mất kết quả</w:t>
            </w:r>
          </w:p>
        </w:tc>
      </w:tr>
    </w:tbl>
    <w:p>
      <w:pPr>
        <w:pStyle w:val="Heading1"/>
        <w:spacing w:after="180" w:before="360"/>
      </w:pPr>
      <w:r>
        <w:t xml:space="preserve">5. Kế hoạch thực hiện theo pha (khung 16 tuần, có thể co giãn)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3600"/>
        <w:gridCol w:w="3560"/>
      </w:tblGrid>
      <w:t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Tuần</w:t>
            </w:r>
          </w:p>
        </w:tc>
        <w:tc>
          <w:tcPr>
            <w:tcW w:type="dxa" w:w="3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Nội dung chính</w:t>
            </w:r>
          </w:p>
        </w:tc>
        <w:tc>
          <w:tcPr>
            <w:tcW w:type="dxa" w:w="35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 — Chuẩn bị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1–2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 up môi trường (PyTorch + PyG), tải/tiền xử lý ASSISTments2012, Junyi; audit dữ liệu Teacher/Forum để chốt phạm vi Tier 1 vs Tier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Pipeline tiền xử lý + báo cáo audit dữ liệu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— Xây Tier 1 (core)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3–6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Xây graph dị thể + hyperedge (session, concept-prerequisite); cài HypergraphConv/HeteroConv; encoder text/video offline; cài baseline DKT/SAKT/AKT/DyGKT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Tier 1 chạy end-to-end trên 1 dataset nhỏ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— Tầng nhân quả Tier 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6–7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Thêm causal-effect layer (bắt đầu bằng propensity-score/2-stage regression trước khi thử kiến trúc phức tạp hơn)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Module causal + test đơn vị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— Thực nghiệm định lượng Tier 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8–10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 full trên ASSISTments2012 + Junyi + EdNet-subsample; chạy toàn bộ ablation; kiểm định ý nghĩa thống kê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Bảng kết quả AUC/ACC + ablation, biểu đồ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— Xây Tier 2 (pilot)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11–12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Cài 3 agent lõi (Diagnostician-wrapper, Tutor/Hint, Critic) đọc output Tier 1 đóng băng; chọn tập mẫu pilot; dùng LLM local 7–8B quant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pipeline chạy được trên tập mẫu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— Đánh giá Tier 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12–13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Đo tỉ lệ hallucination/trôi so với ground truth Tier 1, tỉ lệ Critic phải sửa, khảo sát giáo viên thật (nếu có điều kiện)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Bảng metric Tier 2 + case study minh hoạ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 — Tổng hợp &amp; viết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14–16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Gộp kết quả Tier 1 + Tier 2, viết rõ phần "Scope &amp; Limitations"; rà soát trích dẫn/số liệu trước khi nộp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Bản thảo hoàn chỉnh</w:t>
            </w:r>
          </w:p>
        </w:tc>
      </w:tr>
    </w:tbl>
    <w:p>
      <w:pPr>
        <w:pStyle w:val="Heading1"/>
        <w:spacing w:after="180" w:before="360"/>
      </w:pPr>
      <w:r>
        <w:t xml:space="preserve">6. Ngân sách compute &amp; điểm kiểm tra (checkpoint)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Sau Pha 1: đo thời gian 1 epoch trên tập nhỏ để ước lượng tổng thời gian Pha 3 — nếu vượt ngân sách, cắt bớt số lượng ablation thay vì cắt dataset.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Trước khi vào Pha 4: đo tốc độ suy luận thực tế của LLM local trên máy (token/giây) — nếu quá chậm, giảm cỡ mẫu pilot hoặc chuyển sang API cho riêng bước đánh giá cuối, không mở rộng ngược lại thành benchmark toàn tập.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Ghi log GPU memory/thời gian mỗi thí nghiệm để đưa vào phần "reproducibility" của bài báo.</w:t>
      </w:r>
    </w:p>
    <w:p>
      <w:pPr>
        <w:pStyle w:val="Heading1"/>
        <w:spacing w:after="180" w:before="360"/>
      </w:pPr>
      <w:r>
        <w:t xml:space="preserve">7. Bảng rủi ro &amp; giảm thiểu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Rủi ro</w:t>
            </w:r>
          </w:p>
        </w:tc>
        <w:tc>
          <w:tcPr>
            <w:tcW w:type="dxa" w:w="156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Mức độ</w:t>
            </w:r>
          </w:p>
        </w:tc>
        <w:tc>
          <w:tcPr>
            <w:tcW w:type="dxa" w:w="5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Giảm thiểu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Thiếu dữ liệu Teacher/Forum đồng bộ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Cao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Giới hạn rõ phạm vi Tier 1; đưa vào Tier 2 case study nhỏ hoặc "future work"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Causal claim trên dữ liệu quan sát bị phản biện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Trung bình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Nêu rõ giả định nhận diện; bắt đầu bằng ước lượng đơn giản, dễ biện minh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LLM local không đủ nhanh cho tập pilot dự kiến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Trung bình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Phương án dự phòng dùng API; giảm cỡ mẫu pilot nếu cần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Thiếu metric chuẩn hoá cho "hallucination/drift" trong KT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Trung bình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Tự định nghĩa + biện minh, đối chiếu ground truth Tier 1 làm proxy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Ablation Tier 1 quá nhiều tổ hợp, vượt thời gian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Thấp–Trung bình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Ưu tiên ablation theo RQ, cắt bớt tổ hợp phụ nếu cần</w:t>
            </w:r>
          </w:p>
        </w:tc>
      </w:tr>
    </w:tbl>
    <w:p>
      <w:pPr>
        <w:pStyle w:val="Heading1"/>
        <w:spacing w:after="180" w:before="360"/>
      </w:pPr>
      <w:r>
        <w:t xml:space="preserve">8. Kế hoạch đánh giá (tách bạch rõ 2 tầng)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Tier 1 (định lượng, bắt buộc): AUC, ACC trên từng dataset; so sánh baseline; ablation node/hyperedge/dynamic/causal; kiểm định thống kê (paired t-test giữa các mô hình).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Tier 2 (định tính, phạm vi pilot, không thay thế Tier 1): tỉ lệ giải thích của agent khớp với output Tier 1 (proxy "faithfulness"); tỉ lệ Critic can thiệp/sửa; đánh giá con người trên tập nhỏ case study (nếu điều kiện cho phép).</w:t>
      </w:r>
    </w:p>
    <w:p>
      <w:pPr>
        <w:pStyle w:val="Heading1"/>
        <w:spacing w:after="180" w:before="360"/>
      </w:pPr>
      <w:r>
        <w:t xml:space="preserve">9. Venue &amp; mốc nộp bài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Giữ định hướng AIED/EDM/LAK cho phần Tier 1 (đúng chuẩn cộng đồng GNN-KT); thêm phần thảo luận/case-study Tier 2 làm điểm nhấn khác biệt so với các submission GNN-KT thuần tuý khác, mà không cần đạt chuẩn benchmark multi-agent quy mô lớn.</w:t>
      </w:r>
    </w:p>
    <w:p>
      <w:pPr>
        <w:pStyle w:val="Heading1"/>
        <w:spacing w:after="180" w:before="360"/>
      </w:pPr>
      <w:r>
        <w:t xml:space="preserve">Nguồn tham khảo bổ sung cho kế hoạch C</w:t>
      </w:r>
    </w:p>
    <w:p>
      <w:pPr>
        <w:spacing w:after="80"/>
      </w:pPr>
      <w:hyperlink w:history="1" r:id="rIdqtivvkyibxoab2nnpjzla">
        <w:r>
          <w:rPr>
            <w:rStyle w:val="Hyperlink"/>
            <w:u w:val="single"/>
          </w:rPr>
          <w:t xml:space="preserve">HypergraphConv — PyG Guide (Kumo.ai)</w:t>
        </w:r>
      </w:hyperlink>
    </w:p>
    <w:p>
      <w:pPr>
        <w:spacing w:after="80"/>
      </w:pPr>
      <w:hyperlink w:history="1" r:id="rIdrhur_vwnvox7vb8rypedd">
        <w:r>
          <w:rPr>
            <w:rStyle w:val="Hyperlink"/>
            <w:u w:val="single"/>
          </w:rPr>
          <w:t xml:space="preserve">Heterogeneous Graph Learning — PyTorch Geometric documentation</w:t>
        </w:r>
      </w:hyperlink>
    </w:p>
    <w:p>
      <w:pPr>
        <w:spacing w:after="80"/>
      </w:pPr>
      <w:hyperlink w:history="1" r:id="rIdce3k0giivmfxoqyakgle9">
        <w:r>
          <w:rPr>
            <w:rStyle w:val="Hyperlink"/>
            <w:u w:val="single"/>
          </w:rPr>
          <w:t xml:space="preserve">PyTorch Geometric High Order: A Unified Library for High Order GNN</w:t>
        </w:r>
      </w:hyperlink>
    </w:p>
    <w:p>
      <w:pPr>
        <w:spacing w:after="160"/>
      </w:pPr>
      <w:r>
        <w:rPr>
          <w:b w:val="false"/>
          <w:bCs w:val="false"/>
          <w:i/>
          <w:iCs/>
        </w:rPr>
        <w:t xml:space="preserve">Ghi chú VRAM/throughput LLM local (Qwen3 8B ~5GB ở 4-bit, lớp 13–14B ~8–10GB ở 4-bit): tổng hợp từ các bài hướng dẫn phần cứng LLM 2026 — cần tự đo lại tốc độ token/giây thực tế trên máy trước khi chốt Pha 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tivvkyibxoab2nnpjzla" Type="http://schemas.openxmlformats.org/officeDocument/2006/relationships/hyperlink" Target="https://kumo.ai/pyg/layers/hypergraph-conv/" TargetMode="External"/><Relationship Id="rIdrhur_vwnvox7vb8rypedd" Type="http://schemas.openxmlformats.org/officeDocument/2006/relationships/hyperlink" Target="https://pytorch-geometric.readthedocs.io/en/latest/notes/heterogeneous.html" TargetMode="External"/><Relationship Id="rIdce3k0giivmfxoqyakgle9" Type="http://schemas.openxmlformats.org/officeDocument/2006/relationships/hyperlink" Target="https://arxiv.org/pdf/2311.16670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2026-08-02T14:39:57.142Z</dcterms:created>
  <dcterms:modified xsi:type="dcterms:W3CDTF">2026-08-02T14:39:57.143Z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