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BÁO CÁO Ý TƯỞNG BẢN THẢO MỚI</w:t>
      </w:r>
    </w:p>
    <w:p>
      <w:pPr>
        <w:spacing w:after="200"/>
      </w:pPr>
      <w:r>
        <w:rPr>
          <w:i/>
          <w:iCs/>
          <w:sz w:val="24"/>
          <w:szCs w:val="24"/>
        </w:rPr>
        <w:t xml:space="preserve">Chuyển hướng nộp tạp chí Knowledge-Based Systems (Elsevier, SCIE Q1)</w:t>
      </w:r>
    </w:p>
    <w:p>
      <w:pPr>
        <w:spacing w:after="140"/>
      </w:pPr>
      <w:r>
        <w:rPr>
          <w:b/>
          <w:bCs/>
        </w:rPr>
        <w:t xml:space="preserve">Bản thảo: </w:t>
      </w:r>
      <w:r>
        <w:t xml:space="preserve">"DH²A-KT: Diagnostic Heterogeneous Hypergraph and Agentic Knowledge Tracing with Leakage-Controlled Graph Construction"</w:t>
      </w:r>
    </w:p>
    <w:p>
      <w:pPr>
        <w:spacing w:after="140"/>
      </w:pPr>
      <w:r>
        <w:rPr>
          <w:b/>
          <w:bCs/>
        </w:rPr>
        <w:t xml:space="preserve">Ngày: </w:t>
      </w:r>
      <w:r>
        <w:t xml:space="preserve">2026-08-10. Kính gửi: GS. Lê Hoàng Sơn (tác giả liên hệ).</w:t>
      </w:r>
    </w:p>
    <w:p>
      <w:pPr>
        <w:pStyle w:val="Heading1"/>
        <w:spacing w:after="150" w:before="300"/>
      </w:pPr>
      <w:r>
        <w:t xml:space="preserve">1. Tóm tắt quyết định chiến lược</w:t>
      </w:r>
    </w:p>
    <w:p>
      <w:pPr>
        <w:spacing w:after="140"/>
      </w:pPr>
      <w:r>
        <w:t xml:space="preserve">Trong quá trình rà soát tài liệu tham khảo, tôi phát hiện một bài báo cùng chủ đề — knowledge tracing kết hợp giải thích bằng LLM — vừa được xuất bản chính tại Knowledge-Based Systems (Ni et al., "Interpretable knowledge tracing via explicit–implicit alignment", KBS 344 (2026) 116071). Đây là bằng chứng trực tiếp cho thấy bản thảo DH²A-KT phù hợp phạm vi (scope fit) của KBS, một tạp chí SCIE Q1 có impact factor và uy tín cao hơn nhóm mục tiêu ban đầu. Theo đề nghị của em, tôi đã bắt đầu chuyển hướng bản thảo từ IEEE Transactions on Learning Technologies (track Short Paper, giới hạn 8 trang) sang Knowledge-Based Systems.</w:t>
      </w:r>
    </w:p>
    <w:p>
      <w:pPr>
        <w:spacing w:after="140"/>
      </w:pPr>
      <w:r>
        <w:t xml:space="preserve">Điểm khác biệt cần lưu ý: đây là thay đổi kết cấu bản thảo (template, các mục bắt buộc của Elsevier) cộng với một đợt nâng cấp thực nghiệm để đạt độ nghiêm ngặt tương đương bài tham khảo — không chỉ đổi định dạng.</w:t>
      </w:r>
    </w:p>
    <w:p>
      <w:pPr>
        <w:pStyle w:val="Heading1"/>
        <w:spacing w:after="150" w:before="300"/>
      </w:pPr>
      <w:r>
        <w:t xml:space="preserve">2. Đối chiếu với bài tham khảo (Ni et al., 2026)</w:t>
      </w:r>
    </w:p>
    <w:p>
      <w:pPr>
        <w:spacing w:after="140"/>
      </w:pPr>
      <w:r>
        <w:t xml:space="preserve">Điểm khác biệt/đóng góp riêng của DH²A-KT so với bài tham khảo: (i) audit rò rỉ dữ liệu ở mức hyperedge (không chỉ cặp cạnh); (ii) có lớp nhân quả — ước lượng ATE của việc dùng hint bằng IPW; (iii) tầng giải thích có Critic bắt buộc có thể bác bỏ thẳng lý giải của Diagnostician, không chỉ chấm điểm hậu kiểm. Tuy nhiên, về độ nghiêm ngặt thực nghiệm, bản thảo hiện vẫn còn khoảng cách ở một số tiêu chí:</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rPr>
          <w:tblHeader/>
        </w:trPr>
        <w:tc>
          <w:tcPr>
            <w:tcW w:type="dxa" w:w="2600"/>
            <w:shd w:fill="2F5496" w:val="clear"/>
            <w:vAlign w:val="center"/>
          </w:tcPr>
          <w:p>
            <w:r>
              <w:rPr>
                <w:b/>
                <w:bCs/>
                <w:color w:val="FFFFFF"/>
                <w:sz w:val="20"/>
                <w:szCs w:val="20"/>
              </w:rPr>
              <w:t xml:space="preserve">Tiêu chí</w:t>
            </w:r>
          </w:p>
        </w:tc>
        <w:tc>
          <w:tcPr>
            <w:tcW w:type="dxa" w:w="3600"/>
            <w:shd w:fill="2F5496" w:val="clear"/>
            <w:vAlign w:val="center"/>
          </w:tcPr>
          <w:p>
            <w:r>
              <w:rPr>
                <w:b/>
                <w:bCs/>
                <w:color w:val="FFFFFF"/>
                <w:sz w:val="20"/>
                <w:szCs w:val="20"/>
              </w:rPr>
              <w:t xml:space="preserve">Ni et al. (2026), KBS 344:116071</w:t>
            </w:r>
          </w:p>
        </w:tc>
        <w:tc>
          <w:tcPr>
            <w:tcW w:type="dxa" w:w="3640"/>
            <w:shd w:fill="2F5496" w:val="clear"/>
            <w:vAlign w:val="center"/>
          </w:tcPr>
          <w:p>
            <w:r>
              <w:rPr>
                <w:b/>
                <w:bCs/>
                <w:color w:val="FFFFFF"/>
                <w:sz w:val="20"/>
                <w:szCs w:val="20"/>
              </w:rPr>
              <w:t xml:space="preserve">DH2A-KT hiện tại</w:t>
            </w:r>
          </w:p>
        </w:tc>
      </w:tr>
      <w:tr>
        <w:tc>
          <w:tcPr>
            <w:tcW w:type="dxa" w:w="2600"/>
            <w:vAlign w:val="center"/>
          </w:tcPr>
          <w:p>
            <w:r>
              <w:rPr>
                <w:sz w:val="20"/>
                <w:szCs w:val="20"/>
              </w:rPr>
              <w:t xml:space="preserve">Metric trung thực giải thích</w:t>
            </w:r>
          </w:p>
        </w:tc>
        <w:tc>
          <w:tcPr>
            <w:tcW w:type="dxa" w:w="3600"/>
            <w:vAlign w:val="center"/>
          </w:tcPr>
          <w:p>
            <w:r>
              <w:rPr>
                <w:sz w:val="20"/>
                <w:szCs w:val="20"/>
              </w:rPr>
              <w:t xml:space="preserve">KC-Jaccard thật, n=100–500</w:t>
            </w:r>
          </w:p>
        </w:tc>
        <w:tc>
          <w:tcPr>
            <w:tcW w:type="dxa" w:w="3640"/>
            <w:vAlign w:val="center"/>
          </w:tcPr>
          <w:p>
            <w:r>
              <w:rPr>
                <w:sz w:val="20"/>
                <w:szCs w:val="20"/>
              </w:rPr>
              <w:t xml:space="preserve">Hạ tầng xong (explanation_faithfulness.py); số Ollama thật còn để trống</w:t>
            </w:r>
          </w:p>
        </w:tc>
      </w:tr>
      <w:tr>
        <w:tc>
          <w:tcPr>
            <w:tcW w:type="dxa" w:w="2600"/>
            <w:vAlign w:val="center"/>
          </w:tcPr>
          <w:p>
            <w:r>
              <w:rPr>
                <w:sz w:val="20"/>
                <w:szCs w:val="20"/>
              </w:rPr>
              <w:t xml:space="preserve">Negative control (IG)</w:t>
            </w:r>
          </w:p>
        </w:tc>
        <w:tc>
          <w:tcPr>
            <w:tcW w:type="dxa" w:w="3600"/>
            <w:vAlign w:val="center"/>
          </w:tcPr>
          <w:p>
            <w:r>
              <w:rPr>
                <w:sz w:val="20"/>
                <w:szCs w:val="20"/>
              </w:rPr>
              <w:t xml:space="preserve">Có số thật so sánh grounded vs IG</w:t>
            </w:r>
          </w:p>
        </w:tc>
        <w:tc>
          <w:tcPr>
            <w:tcW w:type="dxa" w:w="3640"/>
            <w:vAlign w:val="center"/>
          </w:tcPr>
          <w:p>
            <w:r>
              <w:rPr>
                <w:sz w:val="20"/>
                <w:szCs w:val="20"/>
              </w:rPr>
              <w:t xml:space="preserve">Cờ --ablation ig đã code; số thật chưa chạy</w:t>
            </w:r>
          </w:p>
        </w:tc>
      </w:tr>
      <w:tr>
        <w:tc>
          <w:tcPr>
            <w:tcW w:type="dxa" w:w="2600"/>
            <w:vAlign w:val="center"/>
          </w:tcPr>
          <w:p>
            <w:r>
              <w:rPr>
                <w:sz w:val="20"/>
                <w:szCs w:val="20"/>
              </w:rPr>
              <w:t xml:space="preserve">Đa dataset</w:t>
            </w:r>
          </w:p>
        </w:tc>
        <w:tc>
          <w:tcPr>
            <w:tcW w:type="dxa" w:w="3600"/>
            <w:vAlign w:val="center"/>
          </w:tcPr>
          <w:p>
            <w:r>
              <w:rPr>
                <w:sz w:val="20"/>
                <w:szCs w:val="20"/>
              </w:rPr>
              <w:t xml:space="preserve">3 bộ lớn x 5-fold x 13 baseline</w:t>
            </w:r>
          </w:p>
        </w:tc>
        <w:tc>
          <w:tcPr>
            <w:tcW w:type="dxa" w:w="3640"/>
            <w:vAlign w:val="center"/>
          </w:tcPr>
          <w:p>
            <w:r>
              <w:rPr>
                <w:sz w:val="20"/>
                <w:szCs w:val="20"/>
              </w:rPr>
              <w:t xml:space="preserve">1 bộ chính (3 fold) + 1 phụ (fold 0) + Junyi structural-only</w:t>
            </w:r>
          </w:p>
        </w:tc>
      </w:tr>
      <w:tr>
        <w:tc>
          <w:tcPr>
            <w:tcW w:type="dxa" w:w="2600"/>
            <w:vAlign w:val="center"/>
          </w:tcPr>
          <w:p>
            <w:r>
              <w:rPr>
                <w:sz w:val="20"/>
                <w:szCs w:val="20"/>
              </w:rPr>
              <w:t xml:space="preserve">Sensitivity analysis</w:t>
            </w:r>
          </w:p>
        </w:tc>
        <w:tc>
          <w:tcPr>
            <w:tcW w:type="dxa" w:w="3600"/>
            <w:vAlign w:val="center"/>
          </w:tcPr>
          <w:p>
            <w:r>
              <w:rPr>
                <w:sz w:val="20"/>
                <w:szCs w:val="20"/>
              </w:rPr>
              <w:t xml:space="preserve">Threshold/LLM-scale/encoder đủ cả 3</w:t>
            </w:r>
          </w:p>
        </w:tc>
        <w:tc>
          <w:tcPr>
            <w:tcW w:type="dxa" w:w="3640"/>
            <w:vAlign w:val="center"/>
          </w:tcPr>
          <w:p>
            <w:r>
              <w:rPr>
                <w:sz w:val="20"/>
                <w:szCs w:val="20"/>
              </w:rPr>
              <w:t xml:space="preserve">Cờ --run-scale đã code; chưa có số nào</w:t>
            </w:r>
          </w:p>
        </w:tc>
      </w:tr>
      <w:tr>
        <w:tc>
          <w:tcPr>
            <w:tcW w:type="dxa" w:w="2600"/>
            <w:vAlign w:val="center"/>
          </w:tcPr>
          <w:p>
            <w:r>
              <w:rPr>
                <w:sz w:val="20"/>
                <w:szCs w:val="20"/>
              </w:rPr>
              <w:t xml:space="preserve">Human evaluation</w:t>
            </w:r>
          </w:p>
        </w:tc>
        <w:tc>
          <w:tcPr>
            <w:tcW w:type="dxa" w:w="3600"/>
            <w:vAlign w:val="center"/>
          </w:tcPr>
          <w:p>
            <w:r>
              <w:rPr>
                <w:sz w:val="20"/>
                <w:szCs w:val="20"/>
              </w:rPr>
              <w:t xml:space="preserve">n=100, 4 chiều, có baseline IG</w:t>
            </w:r>
          </w:p>
        </w:tc>
        <w:tc>
          <w:tcPr>
            <w:tcW w:type="dxa" w:w="3640"/>
            <w:vAlign w:val="center"/>
          </w:tcPr>
          <w:p>
            <w:r>
              <w:rPr>
                <w:sz w:val="20"/>
                <w:szCs w:val="20"/>
              </w:rPr>
              <w:t xml:space="preserve">n=40, 2 chiều, chưa có baseline</w:t>
            </w:r>
          </w:p>
        </w:tc>
      </w:tr>
    </w:tbl>
    <w:p>
      <w:pPr>
        <w:pStyle w:val="Heading1"/>
        <w:spacing w:after="150" w:before="300"/>
      </w:pPr>
      <w:r>
        <w:t xml:space="preserve">3. Công việc đã thực hiện trong đợt này</w:t>
      </w:r>
    </w:p>
    <w:p>
      <w:pPr>
        <w:pStyle w:val="ListParagraph"/>
        <w:numPr>
          <w:ilvl w:val="0"/>
          <w:numId w:val="2"/>
        </w:numPr>
        <w:spacing w:after="90"/>
      </w:pPr>
      <w:r>
        <w:t xml:space="preserve">Chuyển main.tex từ document class IEEEtran sang elsarticle (chuẩn Elsevier), cập nhật author/affiliation, keyword, bibliography style — đã kiểm tra brace-balance và không còn macro IEEE nào sót lại.</w:t>
      </w:r>
    </w:p>
    <w:p>
      <w:pPr>
        <w:pStyle w:val="ListParagraph"/>
        <w:numPr>
          <w:ilvl w:val="0"/>
          <w:numId w:val="2"/>
        </w:numPr>
        <w:spacing w:after="90"/>
      </w:pPr>
      <w:r>
        <w:t xml:space="preserve">Bổ sung 3 mục bắt buộc của Elsevier còn thiếu: CRediT authorship contribution statement, Declaration of competing interest, Data availability.</w:t>
      </w:r>
    </w:p>
    <w:p>
      <w:pPr>
        <w:pStyle w:val="ListParagraph"/>
        <w:numPr>
          <w:ilvl w:val="0"/>
          <w:numId w:val="2"/>
        </w:numPr>
        <w:spacing w:after="90"/>
      </w:pPr>
      <w:r>
        <w:t xml:space="preserve">Viết lại cover letter cho KBS (cover_letter_kbs.md), nêu rõ scope fit và 3 điểm khác biệt với bài tham khảo.</w:t>
      </w:r>
    </w:p>
    <w:p>
      <w:pPr>
        <w:pStyle w:val="ListParagraph"/>
        <w:numPr>
          <w:ilvl w:val="0"/>
          <w:numId w:val="2"/>
        </w:numPr>
        <w:spacing w:after="90"/>
      </w:pPr>
      <w:r>
        <w:t xml:space="preserve">Lập roadmap 5 hạng mục thí nghiệm bổ sung (docs/kbs-upgrade-plan.md) để thu hẹp khoảng cách ở Mục 2.</w:t>
      </w:r>
    </w:p>
    <w:p>
      <w:pPr>
        <w:pStyle w:val="ListParagraph"/>
        <w:numPr>
          <w:ilvl w:val="0"/>
          <w:numId w:val="2"/>
        </w:numPr>
        <w:spacing w:after="90"/>
      </w:pPr>
      <w:r>
        <w:t xml:space="preserve">Đã viết code cho 2/5 hạng mục: metric ID-anchored KC-Jaccard (dh2a_kt/eval/explanation_faithfulness.py) và negative control "Independent Generation" (cờ --ablation ig trên Tier 2 pilot). Đã kiểm chứng logic qua StubLLM (harness giả lập, không phải kết quả thật) — số liệu Ollama n=500 thật cần chạy trên máy có GPU.</w:t>
      </w:r>
    </w:p>
    <w:p>
      <w:pPr>
        <w:pStyle w:val="ListParagraph"/>
        <w:numPr>
          <w:ilvl w:val="0"/>
          <w:numId w:val="2"/>
        </w:numPr>
        <w:spacing w:after="90"/>
      </w:pPr>
      <w:r>
        <w:t xml:space="preserve">Bảng AUC chính (table_auc_xes3g5m.tex) đã được cập nhật đủ 3 fold thay vì chỉ fold 0.</w:t>
      </w:r>
    </w:p>
    <w:p>
      <w:pPr>
        <w:pStyle w:val="Heading1"/>
        <w:spacing w:after="150" w:before="300"/>
      </w:pPr>
      <w:r>
        <w:t xml:space="preserve">4. Đánh giá hiện trạng — đã sẵn sàng nộp chưa?</w:t>
      </w:r>
    </w:p>
    <w:p>
      <w:pPr>
        <w:spacing w:after="140"/>
      </w:pPr>
      <w:r>
        <w:rPr>
          <w:b/>
          <w:bCs/>
        </w:rPr>
        <w:t xml:space="preserve">Sẵn sàng về cấu trúc/định dạng: </w:t>
      </w:r>
      <w:r>
        <w:t xml:space="preserve">có. Template, các mục bắt buộc của Elsevier đã đúng chuẩn.</w:t>
      </w:r>
    </w:p>
    <w:p>
      <w:pPr>
        <w:spacing w:after="140"/>
      </w:pPr>
      <w:r>
        <w:rPr>
          <w:b/>
          <w:bCs/>
        </w:rPr>
        <w:t xml:space="preserve">Chưa sẵn sàng về thực nghiệm: </w:t>
      </w:r>
      <w:r>
        <w:t xml:space="preserve">bảng KC-Jaccard/IG (Table tab:kc-jaccard-ig) hiện để trống (---) cho hàng Ollama thật; manipulation check của DH²-KT vẫn chỉ có fold 0 trong khi cột GKT so sánh là trung bình 9 lần chạy của P0 — chưa cân xứng về độ mạnh bằng chứng giữa hai cột.</w:t>
      </w:r>
    </w:p>
    <w:p>
      <w:pPr>
        <w:spacing w:after="140"/>
      </w:pPr>
      <w:r>
        <w:rPr>
          <w:b/>
          <w:bCs/>
        </w:rPr>
        <w:t xml:space="preserve">Rủi ro lớn nhất còn lại: </w:t>
      </w:r>
      <w:r>
        <w:t xml:space="preserve">bề rộng dataset. DH²A-KT hiện dựa chủ lực vào một bộ dữ liệu (XES3G5M, đủ 3 fold) cộng một bộ phụ (FoundationalASSIST, fold 0), trong khi bài tham khảo dùng 3 bộ lớn với 5-fold và 13 baseline mỗi bộ. Không nên cố khớp hoàn toàn trong một vòng sửa — cần định vị đúng: đóng góp chính của DH²A-KT là audit rò rỉ + lớp nhân quả + Critic-gate, không phải quy mô benchmark.</w:t>
      </w:r>
    </w:p>
    <w:p>
      <w:pPr>
        <w:pStyle w:val="Heading1"/>
        <w:spacing w:after="150" w:before="300"/>
      </w:pPr>
      <w:r>
        <w:t xml:space="preserve">5. Việc cần GS Lê Hoàng Sơn xác nhận / quyết định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200"/>
        <w:gridCol w:w="3640"/>
      </w:tblGrid>
      <w:tr>
        <w:trPr>
          <w:tblHeader/>
        </w:trPr>
        <w:tc>
          <w:tcPr>
            <w:tcW w:type="dxa" w:w="6200"/>
            <w:shd w:fill="2F5496" w:val="clear"/>
            <w:vAlign w:val="center"/>
          </w:tcPr>
          <w:p>
            <w:r>
              <w:rPr>
                <w:b/>
                <w:bCs/>
                <w:color w:val="FFFFFF"/>
                <w:sz w:val="20"/>
                <w:szCs w:val="20"/>
              </w:rPr>
              <w:t xml:space="preserve">Nội dung</w:t>
            </w:r>
          </w:p>
        </w:tc>
        <w:tc>
          <w:tcPr>
            <w:tcW w:type="dxa" w:w="3640"/>
            <w:shd w:fill="2F5496" w:val="clear"/>
            <w:vAlign w:val="center"/>
          </w:tcPr>
          <w:p>
            <w:r>
              <w:rPr>
                <w:b/>
                <w:bCs/>
                <w:color w:val="FFFFFF"/>
                <w:sz w:val="20"/>
                <w:szCs w:val="20"/>
              </w:rPr>
              <w:t xml:space="preserve">Trạng thái</w:t>
            </w:r>
          </w:p>
        </w:tc>
      </w:tr>
      <w:tr>
        <w:tc>
          <w:tcPr>
            <w:tcW w:type="dxa" w:w="6200"/>
            <w:vAlign w:val="center"/>
          </w:tcPr>
          <w:p>
            <w:r>
              <w:rPr>
                <w:sz w:val="20"/>
                <w:szCs w:val="20"/>
              </w:rPr>
              <w:t xml:space="preserve">Đồng ý chính thức đổi target nộp bài từ IEEE TLT sang Knowledge-Based Systems (bản nháp đã chuyển template, chưa nộp)</w:t>
            </w:r>
          </w:p>
        </w:tc>
        <w:tc>
          <w:tcPr>
            <w:tcW w:type="dxa" w:w="3640"/>
            <w:vAlign w:val="center"/>
          </w:tcPr>
          <w:p>
            <w:r>
              <w:rPr>
                <w:b/>
                <w:bCs/>
                <w:color w:val="993C1D"/>
                <w:sz w:val="20"/>
                <w:szCs w:val="20"/>
              </w:rPr>
              <w:t xml:space="preserve">Cần quyết định</w:t>
            </w:r>
          </w:p>
        </w:tc>
      </w:tr>
      <w:tr>
        <w:tc>
          <w:tcPr>
            <w:tcW w:type="dxa" w:w="6200"/>
            <w:vAlign w:val="center"/>
          </w:tcPr>
          <w:p>
            <w:r>
              <w:rPr>
                <w:sz w:val="20"/>
                <w:szCs w:val="20"/>
              </w:rPr>
              <w:t xml:space="preserve">Xác nhận vai trò CRediT của từng đồng tác giả — bản hiện tại là suy luận của tôi dựa trên thứ tự tác giả, KHÔNG phải khai báo thật (xem docs/kbs-author-gate.md)</w:t>
            </w:r>
          </w:p>
        </w:tc>
        <w:tc>
          <w:tcPr>
            <w:tcW w:type="dxa" w:w="3640"/>
            <w:vAlign w:val="center"/>
          </w:tcPr>
          <w:p>
            <w:r>
              <w:rPr>
                <w:b/>
                <w:bCs/>
                <w:color w:val="993C1D"/>
                <w:sz w:val="20"/>
                <w:szCs w:val="20"/>
              </w:rPr>
              <w:t xml:space="preserve">Cần xác nhận</w:t>
            </w:r>
          </w:p>
        </w:tc>
      </w:tr>
      <w:tr>
        <w:tc>
          <w:tcPr>
            <w:tcW w:type="dxa" w:w="6200"/>
            <w:vAlign w:val="center"/>
          </w:tcPr>
          <w:p>
            <w:r>
              <w:rPr>
                <w:sz w:val="20"/>
                <w:szCs w:val="20"/>
              </w:rPr>
              <w:t xml:space="preserve">Xác nhận nội dung Declaration of competing interest và Data availability (có URL repo mã nguồn công khai hay giữ "on request"?)</w:t>
            </w:r>
          </w:p>
        </w:tc>
        <w:tc>
          <w:tcPr>
            <w:tcW w:type="dxa" w:w="3640"/>
            <w:vAlign w:val="center"/>
          </w:tcPr>
          <w:p>
            <w:r>
              <w:rPr>
                <w:b/>
                <w:bCs/>
                <w:color w:val="993C1D"/>
                <w:sz w:val="20"/>
                <w:szCs w:val="20"/>
              </w:rPr>
              <w:t xml:space="preserve">Cần xác nhận</w:t>
            </w:r>
          </w:p>
        </w:tc>
      </w:tr>
      <w:tr>
        <w:tc>
          <w:tcPr>
            <w:tcW w:type="dxa" w:w="6200"/>
            <w:vAlign w:val="center"/>
          </w:tcPr>
          <w:p>
            <w:r>
              <w:rPr>
                <w:sz w:val="20"/>
                <w:szCs w:val="20"/>
              </w:rPr>
              <w:t xml:space="preserve">Cấp quyền dùng GPU thật (RTX 3090 đã dùng trước đây) để chạy Ollama n=500 + manipulation check fold 1-2, và phân công ai chạy</w:t>
            </w:r>
          </w:p>
        </w:tc>
        <w:tc>
          <w:tcPr>
            <w:tcW w:type="dxa" w:w="3640"/>
            <w:vAlign w:val="center"/>
          </w:tcPr>
          <w:p>
            <w:r>
              <w:rPr>
                <w:b/>
                <w:bCs/>
                <w:color w:val="993C1D"/>
                <w:sz w:val="20"/>
                <w:szCs w:val="20"/>
              </w:rPr>
              <w:t xml:space="preserve">Cần quyết định</w:t>
            </w:r>
          </w:p>
        </w:tc>
      </w:tr>
      <w:tr>
        <w:tc>
          <w:tcPr>
            <w:tcW w:type="dxa" w:w="6200"/>
            <w:vAlign w:val="center"/>
          </w:tcPr>
          <w:p>
            <w:r>
              <w:rPr>
                <w:sz w:val="20"/>
                <w:szCs w:val="20"/>
              </w:rPr>
              <w:t xml:space="preserve">Chấp nhận nộp với bề rộng dataset hẹp hơn bài tham khảo (định vị lại đóng góp vào leakage audit + causal layer + Critic-gate), hay đầu tư thêm dataset trước khi nộp</w:t>
            </w:r>
          </w:p>
        </w:tc>
        <w:tc>
          <w:tcPr>
            <w:tcW w:type="dxa" w:w="3640"/>
            <w:vAlign w:val="center"/>
          </w:tcPr>
          <w:p>
            <w:r>
              <w:rPr>
                <w:b/>
                <w:bCs/>
                <w:color w:val="993C1D"/>
                <w:sz w:val="20"/>
                <w:szCs w:val="20"/>
              </w:rPr>
              <w:t xml:space="preserve">Cần quyết định</w:t>
            </w:r>
          </w:p>
        </w:tc>
      </w:tr>
    </w:tbl>
    <w:p>
      <w:pPr>
        <w:pStyle w:val="Heading1"/>
        <w:spacing w:after="150" w:before="300"/>
      </w:pPr>
      <w:r>
        <w:t xml:space="preserve">6. Đề xuất mốc tiếp theo</w:t>
      </w:r>
    </w:p>
    <w:p>
      <w:pPr>
        <w:pStyle w:val="ListParagraph"/>
        <w:numPr>
          <w:ilvl w:val="0"/>
          <w:numId w:val="2"/>
        </w:numPr>
        <w:spacing w:after="90"/>
      </w:pPr>
      <w:r>
        <w:t xml:space="preserve">Chạy docs/kbs-gpu-runbook.md trên máy GPU thật (Ollama n=500 + manipulation fold 1-2) — bước duy nhất thực sự chặn việc nộp.</w:t>
      </w:r>
    </w:p>
    <w:p>
      <w:pPr>
        <w:pStyle w:val="ListParagraph"/>
        <w:numPr>
          <w:ilvl w:val="0"/>
          <w:numId w:val="2"/>
        </w:numPr>
        <w:spacing w:after="90"/>
      </w:pPr>
      <w:r>
        <w:t xml:space="preserve">Điền số thật vào table_kc_jaccard_ig.tex và cập nhật cover letter (bỏ ngôn từ "planned").</w:t>
      </w:r>
    </w:p>
    <w:p>
      <w:pPr>
        <w:pStyle w:val="ListParagraph"/>
        <w:numPr>
          <w:ilvl w:val="0"/>
          <w:numId w:val="2"/>
        </w:numPr>
        <w:spacing w:after="90"/>
      </w:pPr>
      <w:r>
        <w:t xml:space="preserve">Đồng tác giả xác nhận CRediT / Declaration / Data availability theo docs/kbs-author-gate.md.</w:t>
      </w:r>
    </w:p>
    <w:p>
      <w:pPr>
        <w:pStyle w:val="ListParagraph"/>
        <w:numPr>
          <w:ilvl w:val="0"/>
          <w:numId w:val="2"/>
        </w:numPr>
        <w:spacing w:after="90"/>
      </w:pPr>
      <w:r>
        <w:t xml:space="preserve">Sau khi 3 bước trên hoàn tất: nộp bản thảo cho Knowledge-Based Systems.</w:t>
      </w:r>
    </w:p>
    <w:p>
      <w:pPr>
        <w:spacing w:before="300"/>
      </w:pPr>
    </w:p>
    <w:p>
      <w:pPr>
        <w:jc w:val="center"/>
      </w:pPr>
      <w:r>
        <w:rPr>
          <w:i/>
          <w:iCs/>
          <w:color w:val="666666"/>
        </w:rPr>
        <w:t xml:space="preserve">— Hết báo cáo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2026-08-10T04:00:34.410Z</dcterms:created>
  <dcterms:modified xsi:type="dcterms:W3CDTF">2026-08-10T04:00:34.411Z</dcterms:modified>
</cp:coreProperties>
</file>

<file path=docProps/custom.xml><?xml version="1.0" encoding="utf-8"?>
<Properties xmlns="http://schemas.openxmlformats.org/officeDocument/2006/custom-properties" xmlns:vt="http://schemas.openxmlformats.org/officeDocument/2006/docPropsVTypes"/>
</file>