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Applied Intelligence (APIN)</w:t>
        <w:br/>
        <w:t>Internal Pre-Submission Review Report</w:t>
      </w:r>
    </w:p>
    <w:p>
      <w:pPr>
        <w:jc w:val="center"/>
      </w:pPr>
      <w:r>
        <w:rPr>
          <w:i/>
        </w:rPr>
        <w:t>Simulated external reviewer perspective · For PGS Nguyễn Văn Hậu (internal QA before advisor sign-off)</w:t>
        <w:br/>
        <w:t>Not an official journal review</w:t>
      </w:r>
    </w:p>
    <w:p>
      <w:r>
        <w:t>Manuscript: Leakage-Controlled Concept Graph Construction and Cold-Start Diagnostic Protocol for Knowledge Tracing</w:t>
      </w:r>
    </w:p>
    <w:p>
      <w:r>
        <w:t>Authors: T. Dao Minh, K.-T. Nguyen, D. Nguyen Tien, Q. K. Ngo, V.-H. Nguyen, L. Hoang Son</w:t>
      </w:r>
    </w:p>
    <w:p>
      <w:r>
        <w:t>File reviewed: paper/submission_APIN/main_APIN.pdf (60 pages total; main body §1–§6: 34 pages; appendix from p.35)</w:t>
      </w:r>
    </w:p>
    <w:p>
      <w:r>
        <w:t>LaTeX: main_APIN.tex (2,630 lines) + auto-generated tables; git main @ b15f15a7 (25 July 2026)</w:t>
      </w:r>
    </w:p>
    <w:p>
      <w:r>
        <w:t>PDF SHA-256: 35b771c0327a791bae3c341ba10ab683cd9429d42dc0e49f28097f2a31ced398</w:t>
      </w:r>
    </w:p>
    <w:p>
      <w:r>
        <w:t>Review date: 25 July 2026 (updated after P0 revision sprint)</w:t>
      </w:r>
    </w:p>
    <w:p>
      <w:r>
        <w:t>Simulated recommendation (post-revision): Accept with minor optional polish / Ready for advisor review</w:t>
      </w:r>
    </w:p>
    <w:p>
      <w:pPr>
        <w:pStyle w:val="Heading1"/>
      </w:pPr>
      <w:r>
        <w:t>0. Tóm tắt cho PGS (tiếng Việt)</w:t>
      </w:r>
    </w:p>
    <w:p>
      <w:r>
        <w:t>Đây là bản mô phỏng phản biện APIN nội bộ, dùng để chuẩn bị trước khi gửi thầy nghiệm thu. Sau đợt chỉnh theo nhận xét PGS (22/07/2026) và rà soát kỹ thuật (crossref 12/12, A3.5 GPU, C8 rút trang), bản thảo đã xử lý xong các mục chặn A1–A3, B4–B7, C8–C10 trong REVISION_PLAN. Không còn lỗi số liệu nội tại đã biết; gói gửi GS: paper/gui_GS_package_APIN_20260725.zip.</w:t>
      </w:r>
    </w:p>
    <w:p>
      <w:pPr>
        <w:pStyle w:val="ListBullet"/>
      </w:pPr>
      <w:r>
        <w:t>Điểm mạnh giữ nguyên: định vị trung thực, DDR manipulation check, injection decoupling, Junyi GT báo cáo bất lợi minh bạch.</w:t>
      </w:r>
    </w:p>
    <w:p>
      <w:pPr>
        <w:pStyle w:val="ListBullet"/>
      </w:pPr>
      <w:r>
        <w:t>Điểm cần thầy xác nhận: A2 (−0.041 GKT vs simpleKT) — đã disclosure đầy đủ; có cần rerun compute-matched GPU không?</w:t>
      </w:r>
    </w:p>
    <w:p>
      <w:pPr>
        <w:pStyle w:val="ListBullet"/>
      </w:pPr>
      <w:r>
        <w:t>Điểm mô phỏng PB ngoài phạm vi revision: mở rộng related work (M3), generalization ngoài KT (M4), thêm folds (M2) — tuỳ chọn trước nộp EM.</w:t>
      </w:r>
    </w:p>
    <w:p>
      <w:pPr>
        <w:pStyle w:val="ListBullet"/>
      </w:pPr>
      <w:r>
        <w:t>Đề xuất: chấp nhận gửi GS/nộp với framing hiện tại; GPU compute-matched chỉ chạy nếu thầy yêu cầu cứng.</w:t>
      </w:r>
    </w:p>
    <w:p>
      <w:pPr>
        <w:pStyle w:val="Heading1"/>
      </w:pPr>
      <w:r>
        <w:t>A. Trạng thái bản thảo &amp; bằng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Bằng chứng</w:t>
            </w:r>
          </w:p>
        </w:tc>
      </w:tr>
      <w:tr>
        <w:tc>
          <w:tcPr>
            <w:tcW w:type="dxa" w:w="2880"/>
          </w:tcPr>
          <w:p>
            <w:r>
              <w:t>Crossref số liệu</w:t>
            </w:r>
          </w:p>
        </w:tc>
        <w:tc>
          <w:tcPr>
            <w:tcW w:type="dxa" w:w="2880"/>
          </w:tcPr>
          <w:p>
            <w:r>
              <w:t>12/12 pass</w:t>
            </w:r>
          </w:p>
        </w:tc>
        <w:tc>
          <w:tcPr>
            <w:tcW w:type="dxa" w:w="2880"/>
          </w:tcPr>
          <w:p>
            <w:r>
              <w:t>audit/crossref_auc_report.md (rerun 25/07)</w:t>
            </w:r>
          </w:p>
        </w:tc>
      </w:tr>
      <w:tr>
        <w:tc>
          <w:tcPr>
            <w:tcW w:type="dxa" w:w="2880"/>
          </w:tcPr>
          <w:p>
            <w:r>
              <w:t>A1 injection S18</w:t>
            </w:r>
          </w:p>
        </w:tc>
        <w:tc>
          <w:tcPr>
            <w:tcW w:type="dxa" w:w="2880"/>
          </w:tcPr>
          <w:p>
            <w:r>
              <w:t>Verified GPU</w:t>
            </w:r>
          </w:p>
        </w:tc>
        <w:tc>
          <w:tcPr>
            <w:tcW w:type="dxa" w:w="2880"/>
          </w:tcPr>
          <w:p>
            <w:r>
              <w:t>§4.3 decoupling; Tables S17–S18</w:t>
            </w:r>
          </w:p>
        </w:tc>
      </w:tr>
      <w:tr>
        <w:tc>
          <w:tcPr>
            <w:tcW w:type="dxa" w:w="2880"/>
          </w:tcPr>
          <w:p>
            <w:r>
              <w:t>A2 GKT budget</w:t>
            </w:r>
          </w:p>
        </w:tc>
        <w:tc>
          <w:tcPr>
            <w:tcW w:type="dxa" w:w="2880"/>
          </w:tcPr>
          <w:p>
            <w:r>
              <w:t>Disclosure done</w:t>
            </w:r>
          </w:p>
        </w:tc>
        <w:tc>
          <w:tcPr>
            <w:tcW w:type="dxa" w:w="2880"/>
          </w:tcPr>
          <w:p>
            <w:r>
              <w:t>Abstract/Limitations/S21; GKT30 pooled Δ≈−0.038</w:t>
            </w:r>
          </w:p>
        </w:tc>
      </w:tr>
      <w:tr>
        <w:tc>
          <w:tcPr>
            <w:tcW w:type="dxa" w:w="2880"/>
          </w:tcPr>
          <w:p>
            <w:r>
              <w:t>A3 cold-start Junyi</w:t>
            </w:r>
          </w:p>
        </w:tc>
        <w:tc>
          <w:tcPr>
            <w:tcW w:type="dxa" w:w="2880"/>
          </w:tcPr>
          <w:p>
            <w:r>
              <w:t>Suppressed + GPU</w:t>
            </w:r>
          </w:p>
        </w:tc>
        <w:tc>
          <w:tcPr>
            <w:tcW w:type="dxa" w:w="2880"/>
          </w:tcPr>
          <w:p>
            <w:r>
              <w:t>A3.5 bc9ea715; audit/2026-07-25-junyi-cold-stratum-nan-debug.md</w:t>
            </w:r>
          </w:p>
        </w:tc>
      </w:tr>
      <w:tr>
        <w:tc>
          <w:tcPr>
            <w:tcW w:type="dxa" w:w="2880"/>
          </w:tcPr>
          <w:p>
            <w:r>
              <w:t>B4–B7 metrics/text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|ρ| column; |C| vs |V_G|; edge-share; §3.2–3.7</w:t>
            </w:r>
          </w:p>
        </w:tc>
      </w:tr>
      <w:tr>
        <w:tc>
          <w:tcPr>
            <w:tcW w:type="dxa" w:w="2880"/>
          </w:tcPr>
          <w:p>
            <w:r>
              <w:t>C8 page target</w:t>
            </w:r>
          </w:p>
        </w:tc>
        <w:tc>
          <w:tcPr>
            <w:tcW w:type="dxa" w:w="2880"/>
          </w:tcPr>
          <w:p>
            <w:r>
              <w:t>34 pp main</w:t>
            </w:r>
          </w:p>
        </w:tc>
        <w:tc>
          <w:tcPr>
            <w:tcW w:type="dxa" w:w="2880"/>
          </w:tcPr>
          <w:p>
            <w:r>
              <w:t>C8.4–C8.5: Fig→Supp S4–S7</w:t>
            </w:r>
          </w:p>
        </w:tc>
      </w:tr>
      <w:tr>
        <w:tc>
          <w:tcPr>
            <w:tcW w:type="dxa" w:w="2880"/>
          </w:tcPr>
          <w:p>
            <w:r>
              <w:t>C9–C10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refs scan; AI statement; Wilcoxon footnote</w:t>
            </w:r>
          </w:p>
        </w:tc>
      </w:tr>
      <w:tr>
        <w:tc>
          <w:tcPr>
            <w:tcW w:type="dxa" w:w="2880"/>
          </w:tcPr>
          <w:p>
            <w:r>
              <w:t>PGS sign-off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Điều kiện nghiệm thu REVISION_PLAN §submit</w:t>
            </w:r>
          </w:p>
        </w:tc>
      </w:tr>
    </w:tbl>
    <w:p>
      <w:pPr>
        <w:pStyle w:val="Heading1"/>
      </w:pPr>
      <w:r>
        <w:t>B. Mapping: simulated review ↔ PGS revision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Sim. comment</w:t>
            </w:r>
          </w:p>
        </w:tc>
        <w:tc>
          <w:tcPr>
            <w:tcW w:type="dxa" w:w="2160"/>
          </w:tcPr>
          <w:p>
            <w:r>
              <w:t>PGS / plan 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M1 GKT budget confound</w:t>
            </w:r>
          </w:p>
        </w:tc>
        <w:tc>
          <w:tcPr>
            <w:tcW w:type="dxa" w:w="2160"/>
          </w:tcPr>
          <w:p>
            <w:r>
              <w:t>A2.0–A2.1</w:t>
            </w:r>
          </w:p>
        </w:tc>
        <w:tc>
          <w:tcPr>
            <w:tcW w:type="dxa" w:w="2160"/>
          </w:tcPr>
          <w:p>
            <w:r>
              <w:t>Addressed (disclosure)</w:t>
            </w:r>
          </w:p>
        </w:tc>
        <w:tc>
          <w:tcPr>
            <w:tcW w:type="dxa" w:w="2160"/>
          </w:tcPr>
          <w:p>
            <w:r>
              <w:t>Abstract qualifies observational; S21 exploratory; optional A2.3 GPU</w:t>
            </w:r>
          </w:p>
        </w:tc>
      </w:tr>
      <w:tr>
        <w:tc>
          <w:tcPr>
            <w:tcW w:type="dxa" w:w="2160"/>
          </w:tcPr>
          <w:p>
            <w:r>
              <w:t>M2 three folds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Acknowledged</w:t>
            </w:r>
          </w:p>
        </w:tc>
        <w:tc>
          <w:tcPr>
            <w:tcW w:type="dxa" w:w="2160"/>
          </w:tcPr>
          <w:p>
            <w:r>
              <w:t>Wilcoxon p_min=0.25 footnote; bootstrap CI primary</w:t>
            </w:r>
          </w:p>
        </w:tc>
      </w:tr>
      <w:tr>
        <w:tc>
          <w:tcPr>
            <w:tcW w:type="dxa" w:w="2160"/>
          </w:tcPr>
          <w:p>
            <w:r>
              <w:t>M3 narrow refs</w:t>
            </w:r>
          </w:p>
        </w:tc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32 refs + scholar scan; could add 5–8 KT baseline cites</w:t>
            </w:r>
          </w:p>
        </w:tc>
      </w:tr>
      <w:tr>
        <w:tc>
          <w:tcPr>
            <w:tcW w:type="dxa" w:w="2160"/>
          </w:tcPr>
          <w:p>
            <w:r>
              <w:t>M4 beyond KT</w:t>
            </w:r>
          </w:p>
        </w:tc>
        <w:tc>
          <w:tcPr>
            <w:tcW w:type="dxa" w:w="2160"/>
          </w:tcPr>
          <w:p>
            <w:r>
              <w:t>Future work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1 paragraph sketch possible; not blocking GS</w:t>
            </w:r>
          </w:p>
        </w:tc>
      </w:tr>
      <w:tr>
        <w:tc>
          <w:tcPr>
            <w:tcW w:type="dxa" w:w="2160"/>
          </w:tcPr>
          <w:p>
            <w:r>
              <w:t>M5 practitioner map</w:t>
            </w:r>
          </w:p>
        </w:tc>
        <w:tc>
          <w:tcPr>
            <w:tcW w:type="dxa" w:w="2160"/>
          </w:tcPr>
          <w:p>
            <w:r>
              <w:t>Intro + Table 8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tab:audit-actions exists; boxed summary optional</w:t>
            </w:r>
          </w:p>
        </w:tc>
      </w:tr>
      <w:tr>
        <w:tc>
          <w:tcPr>
            <w:tcW w:type="dxa" w:w="2160"/>
          </w:tcPr>
          <w:p>
            <w:r>
              <w:t>Injection mismatch</w:t>
            </w:r>
          </w:p>
        </w:tc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GPU verified; crossref clean/inject arms match cache</w:t>
            </w:r>
          </w:p>
        </w:tc>
      </w:tr>
      <w:tr>
        <w:tc>
          <w:tcPr>
            <w:tcW w:type="dxa" w:w="2160"/>
          </w:tcPr>
          <w:p>
            <w:r>
              <w:t>Junyi very_cold artefact</w:t>
            </w:r>
          </w:p>
        </w:tc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n=11 fold0; models no longer identical AUC=1.0</w:t>
            </w:r>
          </w:p>
        </w:tc>
      </w:tr>
      <w:tr>
        <w:tc>
          <w:tcPr>
            <w:tcW w:type="dxa" w:w="2160"/>
          </w:tcPr>
          <w:p>
            <w:r>
              <w:t>ECR/ρ scale</w:t>
            </w:r>
          </w:p>
        </w:tc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Column |ρ|; Eq.(8) aligned</w:t>
            </w:r>
          </w:p>
        </w:tc>
      </w:tr>
      <w:tr>
        <w:tc>
          <w:tcPr>
            <w:tcW w:type="dxa" w:w="2160"/>
          </w:tcPr>
          <w:p>
            <w:r>
              <w:t>Page length</w:t>
            </w:r>
          </w:p>
        </w:tc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41→34 main pages</w:t>
            </w:r>
          </w:p>
        </w:tc>
      </w:tr>
    </w:tbl>
    <w:p>
      <w:pPr>
        <w:pStyle w:val="Heading1"/>
      </w:pPr>
      <w:r>
        <w:t>1. Summary of the Submission</w:t>
      </w:r>
    </w:p>
    <w:p>
      <w:r>
        <w:t>The manuscript presents a leakage-controlled audit protocol for constructing and validating concept (knowledge-component, KC) graphs used by graph-enhanced knowledge tracing (KT) models. The authors argue that inferring prerequisite/similarity edges from the full interaction log before learner-disjoint splitting can let held-out information reach the model through the graph channel even when sequence training is fold-clean. The paper does not propose a new KT architecture; it contributes (C1) train-only fold-specific graph construction and DAG audit; (C2) DAG Disruption Rate (DDR) with prerequisite-preserving operator; (C3) KC-level cold-start stratification; (C4) ground-truth cross-validation on Junyi expert prerequisites; and (C5) an observational benchmarking note that GKT trails simpleKT by ≈0.041 AUC on XES3G5M under released (non-matched) budgets while GIKT remains competitive.</w:t>
      </w:r>
    </w:p>
    <w:p>
      <w:r>
        <w:t>Post-revision packaging: three public benchmarks + two synthetic corpora; three-fold learner CV; controlled leak injection (Section 4.3); multi-seed DDR→downstream sensitivity with manipulation check; appendix consolidates extended tables and Supplementary Figures S1–S7 (KT graphs, DDR curves, protocol plumbing, cold-start panels, GT PR curve). The authors frame the contribution as decision-support / reproducibility rather than headline accuracy gains (full-log vs train-only ablation ≤0.003 AUC).</w:t>
      </w:r>
    </w:p>
    <w:p>
      <w:pPr>
        <w:pStyle w:val="Heading1"/>
      </w:pPr>
      <w:r>
        <w:t>2. Overall Assessment</w:t>
      </w:r>
    </w:p>
    <w:p>
      <w:r>
        <w:t>This remains a carefully engineered, unusually transparent methodology paper. After the July 2026 revision sprint, headline numbers were re-verified with an automated cross-reference script (12/12 checks, tolerance 0.002 for fold means; exact match for injection arms vs GPU cache). The formal apparatus (leakage taxonomy, scalar diagnostics, DDR, cold-start strata, Algorithms 1–2) is precise; Limitations and two-factor scope paragraphs bound claims explicitly.</w:t>
      </w:r>
    </w:p>
    <w:p>
      <w:r>
        <w:t>Relative to a fresh external APIN review, residual weaknesses are narrower than in the pre-revision draft: (i) the GKT vs simpleKT gap is now budget-qualified throughout but still not compute-matched experimentally; (ii) reference breadth and APIN-general-audience positioning could still expand; (iii) three-fold CV limits significance resolution (acknowledged). For internal GS purposes, data-integrity and PGS-mandated fixes are addressed; remaining items are polish / optional experiments, not blockers.</w:t>
      </w:r>
    </w:p>
    <w:p>
      <w:pPr>
        <w:pStyle w:val="Heading1"/>
      </w:pPr>
      <w:r>
        <w:t>3. Strengths</w:t>
      </w:r>
    </w:p>
    <w:p>
      <w:pPr>
        <w:pStyle w:val="ListBullet"/>
      </w:pPr>
      <w:r>
        <w:t>Clear, narrow, honestly scoped contribution; null full-log ablation (≤0.003 AUC) reported prominently.</w:t>
      </w:r>
    </w:p>
    <w:p>
      <w:pPr>
        <w:pStyle w:val="ListBullet"/>
      </w:pPr>
      <w:r>
        <w:t>Rigorous formal apparatus with implementable algorithms and provenance artefacts.</w:t>
      </w:r>
    </w:p>
    <w:p>
      <w:pPr>
        <w:pStyle w:val="ListBullet"/>
      </w:pPr>
      <w:r>
        <w:t>Manipulation-check design (p=0.90 graph destruction) makes DDR→AUC correlation conditionally interpretable.</w:t>
      </w:r>
    </w:p>
    <w:p>
      <w:pPr>
        <w:pStyle w:val="ListBullet"/>
      </w:pPr>
      <w:r>
        <w:t>Controlled leak-injection demonstrates ECR-flag blind spot while builder throughput rises (Section 4.3).</w:t>
      </w:r>
    </w:p>
    <w:p>
      <w:pPr>
        <w:pStyle w:val="ListBullet"/>
      </w:pPr>
      <w:r>
        <w:t>Numerical self-consistency: automated crossref + manual spot-checks on baseline, bootstrap, DDR-downstream, cold-start, leakage, DAG tables.</w:t>
      </w:r>
    </w:p>
    <w:p>
      <w:pPr>
        <w:pStyle w:val="ListBullet"/>
      </w:pPr>
      <w:r>
        <w:t>Exemplary Limitations / two-factor scope-bounding; complete journal declarations including generative-AI disclosure.</w:t>
      </w:r>
    </w:p>
    <w:p>
      <w:pPr>
        <w:pStyle w:val="ListBullet"/>
      </w:pPr>
      <w:r>
        <w:t>Revision traceability: REVISION_PLAN_APIN_NCS_20260722.md, audit memos, GPU runbooks, reproducible scripts.</w:t>
      </w:r>
    </w:p>
    <w:p>
      <w:pPr>
        <w:pStyle w:val="Heading1"/>
      </w:pPr>
      <w:r>
        <w:t>4. Major Comments (with revision status)</w:t>
      </w:r>
    </w:p>
    <w:p>
      <w:pPr>
        <w:pStyle w:val="Heading2"/>
      </w:pPr>
      <w:r>
        <w:t>M1 — GKT vs simpleKT training-budget confound</w:t>
      </w:r>
    </w:p>
    <w:p>
      <w:r>
        <w:t>Original concern: −0.041 AUC headline under GKT 10 ep/batch 4 vs simpleKT 30 ep/batch 64.</w:t>
      </w:r>
    </w:p>
    <w:p>
      <w:r>
        <w:rPr>
          <w:b/>
        </w:rPr>
        <w:t>Revision status: ADDRESSED (disclosure path). Abstract, Introduction, Limitations, and Table S21 now qualify the gap as observational; GKT30 nine-fold ablation (batch 32) narrows pooled Δ to ≈−0.038 without reversing sign. S21 changes four hyperparameters — appropriately flagged non-isolating.</w:t>
      </w:r>
    </w:p>
    <w:p>
      <w:r>
        <w:t>Remaining optional action: GPU compute-matched GKT/simpleKT (A2.3) only if PGS requires experimental closure.</w:t>
      </w:r>
    </w:p>
    <w:p>
      <w:pPr>
        <w:pStyle w:val="Heading2"/>
      </w:pPr>
      <w:r>
        <w:t>M2 — Three CV folds; underpowered significance tests</w:t>
      </w:r>
    </w:p>
    <w:p>
      <w:r>
        <w:rPr>
          <w:b/>
        </w:rPr>
        <w:t>Revision status: ACKNOWLEDGED. Wilcoxon p_min=0.25 footnote; paired-t bootstrap CIs carry primary inferential weight. Extending folds remains future work / optional.</w:t>
      </w:r>
    </w:p>
    <w:p>
      <w:pPr>
        <w:pStyle w:val="Heading2"/>
      </w:pPr>
      <w:r>
        <w:t>M3 — Narrow reference list / related work</w:t>
      </w:r>
    </w:p>
    <w:p>
      <w:r>
        <w:rPr>
          <w:b/>
        </w:rPr>
        <w:t>Revision status: PARTIAL. C9 scholar scan completed; [6] Drive link removed; claims scoped vs [18]. Bibliography still 32 entries — acceptable for methodology focus; optional add 5–8 pyKT baseline citations.</w:t>
      </w:r>
    </w:p>
    <w:p>
      <w:pPr>
        <w:pStyle w:val="Heading2"/>
      </w:pPr>
      <w:r>
        <w:t>M4 — Generalization beyond KT underdeveloped</w:t>
      </w:r>
    </w:p>
    <w:p>
      <w:r>
        <w:rPr>
          <w:b/>
        </w:rPr>
        <w:t>Revision status: OPEN (non-blocking). Section 6.2 / Future Work could add one concrete non-KT sketch; not required for GS sign-off.</w:t>
      </w:r>
    </w:p>
    <w:p>
      <w:pPr>
        <w:pStyle w:val="Heading2"/>
      </w:pPr>
      <w:r>
        <w:t>M5 — Practitioner takeaway dispersed</w:t>
      </w:r>
    </w:p>
    <w:p>
      <w:r>
        <w:rPr>
          <w:b/>
        </w:rPr>
        <w:t>Revision status: PARTIAL. Four-step workflow in Introduction; decision map Table 8 (tab:audit-actions) in Discussion. Optional: boxed summary after abstract.</w:t>
      </w:r>
    </w:p>
    <w:p>
      <w:pPr>
        <w:pStyle w:val="Heading1"/>
      </w:pPr>
      <w:r>
        <w:t>5. Minor Comments (updated)</w:t>
      </w:r>
    </w:p>
    <w:p>
      <w:pPr>
        <w:pStyle w:val="ListBullet"/>
      </w:pPr>
      <w:r>
        <w:t>Abstract density: partially trimmed in C8; GKT line now budget-qualified — further numeric trimming optional.</w:t>
      </w:r>
    </w:p>
    <w:p>
      <w:pPr>
        <w:pStyle w:val="ListBullet"/>
      </w:pPr>
      <w:r>
        <w:t>Notation table: still recommended in appendix (not yet added).</w:t>
      </w:r>
    </w:p>
    <w:p>
      <w:pPr>
        <w:pStyle w:val="ListBullet"/>
      </w:pPr>
      <w:r>
        <w:t>Main-text figures: by design, multi-benchmark KT/DDR/protocol/cold-start/GT panels moved to Supp S1–S7 for 34-page main body (C8.4–C8.5); XES3G5M claims rest on tables + S2.</w:t>
      </w:r>
    </w:p>
    <w:p>
      <w:pPr>
        <w:pStyle w:val="ListBullet"/>
      </w:pPr>
      <w:r>
        <w:t>Table S21 / Future Work: epoch-and-batch-matched comparison already named as top follow-up in Limitations.</w:t>
      </w:r>
    </w:p>
    <w:p>
      <w:pPr>
        <w:pStyle w:val="ListBullet"/>
      </w:pPr>
      <w:r>
        <w:t>Junyi GKT omission: compute-budget note present; optional wall-clock/GPU-hour sentence still useful.</w:t>
      </w:r>
    </w:p>
    <w:p>
      <w:pPr>
        <w:pStyle w:val="ListBullet"/>
      </w:pPr>
      <w:r>
        <w:t>Software/hardware versions: consider adding PyTorch/CUDA/GPU model to Data availability paragraph.</w:t>
      </w:r>
    </w:p>
    <w:p>
      <w:pPr>
        <w:pStyle w:val="ListBullet"/>
      </w:pPr>
      <w:r>
        <w:t>Cold-start terminology: defined in Section 3.4; optional one-line reminder in Discussion.</w:t>
      </w:r>
    </w:p>
    <w:p>
      <w:pPr>
        <w:pStyle w:val="Heading1"/>
      </w:pPr>
      <w:r>
        <w:t>6. Questions for the Authors (with prepared responses)</w:t>
      </w:r>
    </w:p>
    <w:p>
      <w:r>
        <w:rPr>
          <w:b/>
        </w:rPr>
        <w:t>Q: Compute-matched GKT vs simpleKT on XES3G5M feasible?</w:t>
      </w:r>
    </w:p>
    <w:p>
      <w:r>
        <w:t>A: Primary path: disclosure + GKT30 ablation already in manuscript. Full match (A2.3) estimated ~1 week GPU — only if PGS mandates.</w:t>
      </w:r>
    </w:p>
    <w:p>
      <w:r>
        <w:rPr>
          <w:b/>
        </w:rPr>
        <w:t>Q: Natural high-throughput regime on public benchmarks?</w:t>
      </w:r>
    </w:p>
    <w:p>
      <w:r>
        <w:t>A: Authors' filter throttles throughput; injection + full-log ablation show low-throughput operating point on these corpora; two-factor table makes this explicit.</w:t>
      </w:r>
    </w:p>
    <w:p>
      <w:r>
        <w:rPr>
          <w:b/>
        </w:rPr>
        <w:t>Q: Extend DDR manipulation check to GIKT?</w:t>
      </w:r>
    </w:p>
    <w:p>
      <w:r>
        <w:t>A: Framed as future work; GKT/XES3G5M cell already passes check; DGEKT/ASSISTments graph-inert cells documented.</w:t>
      </w:r>
    </w:p>
    <w:p>
      <w:pPr>
        <w:pStyle w:val="Heading1"/>
      </w:pPr>
      <w:r>
        <w:t>7. Recommendation (internal use)</w:t>
      </w:r>
    </w:p>
    <w:p>
      <w:r>
        <w:t>For PGS advisor review: READY TO SEND. Simulated external stance: Minor Revision → after July sprint, most revision items are closed; remaining gaps are optional polish (refs, notation table, compute-matched GPU) rather than integrity or PGS-blocker issues. Recommend GS sign-off on current PDF + cover letter, then EM submission prep (metadata L05, clean MANIFEST, no .aux/.log in upload).</w:t>
      </w:r>
    </w:p>
    <w:p>
      <w:pPr>
        <w:pStyle w:val="Heading1"/>
      </w:pPr>
      <w:r>
        <w:t>8. Verification Notes</w:t>
      </w:r>
    </w:p>
    <w:p>
      <w:r>
        <w:t>Automated: scripts/crossref_auc_numbers.py → audit/crossref_auc_report.md (25 July 2026, 0 failures). Manual pass: LaTeX source vs baseline_results.tex, bootstrap_ci_macros.tex, ddr_downstream_gkt.tex, cold_start_summary.tex, leakage_metrics.tex, dag_audit_summary.tex, graph_ablation.tex. Bibliography: 32 entries in refs_APIN.bib. Concerns above are design/framing (M1–M5), not fabricated numbers.</w:t>
      </w:r>
    </w:p>
    <w:p>
      <w:pPr>
        <w:pStyle w:val="Heading1"/>
      </w:pPr>
      <w:r>
        <w:t>9. Suggested agenda for GS meeting (15–20 min)</w:t>
      </w:r>
    </w:p>
    <w:p>
      <w:pPr>
        <w:pStyle w:val="ListBullet"/>
      </w:pPr>
      <w:r>
        <w:t>Xác nhận framing A2 (−0.041 observational) — có cần A2.3 GPU compute-matched không?</w:t>
      </w:r>
    </w:p>
    <w:p>
      <w:pPr>
        <w:pStyle w:val="ListBullet"/>
      </w:pPr>
      <w:r>
        <w:t>Duyệt nhanh bảng cold-start Junyi (suppressed) + injection decoupling narrative.</w:t>
      </w:r>
    </w:p>
    <w:p>
      <w:pPr>
        <w:pStyle w:val="ListBullet"/>
      </w:pPr>
      <w:r>
        <w:t>Quyết định: mở rộng refs (M3) / notation table trước nộp EM hay để revision sau review journal?</w:t>
      </w:r>
    </w:p>
    <w:p>
      <w:pPr>
        <w:pStyle w:val="ListBullet"/>
      </w:pPr>
      <w:r>
        <w:t>Ký nghiệm thu + gửi gói paper/gui_GS_package_APIN_20260725.zip.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