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jc w:val="center"/>
      </w:pPr>
      <w:r>
        <w:rPr>
          <w:rFonts w:ascii="Liberation Serif" w:hAnsi="Liberation Serif"/>
          <w:b/>
          <w:color w:val="17365D"/>
          <w:sz w:val="64"/>
        </w:rPr>
        <w:t>SEMANTIQ</w:t>
      </w:r>
    </w:p>
    <w:p>
      <w:pPr>
        <w:jc w:val="center"/>
      </w:pPr>
      <w:r>
        <w:rPr>
          <w:rFonts w:ascii="Liberation Serif" w:hAnsi="Liberation Serif"/>
          <w:b/>
          <w:color w:val="2E75B6"/>
          <w:sz w:val="46"/>
        </w:rPr>
        <w:t>Phased Implementation Master Plan</w:t>
      </w:r>
    </w:p>
    <w:p>
      <w:pPr>
        <w:jc w:val="center"/>
      </w:pPr>
      <w:r>
        <w:rPr>
          <w:rFonts w:ascii="Liberation Sans" w:hAnsi="Liberation Sans"/>
          <w:color w:val="2A7F84"/>
          <w:sz w:val="26"/>
        </w:rPr>
        <w:t>Claude Code / GitHub Phase-Gated Delivery Reference</w:t>
      </w:r>
    </w:p>
    <w:p>
      <w:pPr>
        <w:spacing w:before="320"/>
        <w:jc w:val="center"/>
      </w:pPr>
      <w:r>
        <w:rPr>
          <w:b/>
          <w:color w:val="17365D"/>
          <w:sz w:val="24"/>
        </w:rPr>
        <w:t>MASTER-PLAN v1.3</w:t>
      </w:r>
    </w:p>
    <w:tbl>
      <w:tblPr>
        <w:tblW w:type="auto" w:w="0"/>
        <w:jc w:val="center"/>
        <w:tblLayout w:type="autofit"/>
        <w:tblLook w:firstColumn="1" w:firstRow="1" w:lastColumn="0" w:lastRow="0" w:noHBand="0" w:noVBand="1" w:val="04A0"/>
      </w:tblPr>
      <w:tblGrid>
        <w:gridCol w:w="9994"/>
      </w:tblGrid>
      <w:tr>
        <w:tc>
          <w:tcPr>
            <w:tcW w:type="dxa" w:w="9994"/>
            <w:shd w:fill="EAF3F4"/>
            <w:tcMar>
              <w:top w:w="110" w:type="dxa"/>
              <w:start w:w="140" w:type="dxa"/>
              <w:bottom w:w="110" w:type="dxa"/>
              <w:end w:w="140" w:type="dxa"/>
            </w:tcMar>
          </w:tcPr>
          <w:p>
            <w:pPr>
              <w:spacing w:after="0"/>
            </w:pPr>
            <w:r>
              <w:rPr>
                <w:b/>
                <w:color w:val="17365D"/>
              </w:rPr>
              <w:t xml:space="preserve">Product promise: </w:t>
            </w:r>
            <w:r>
              <w:t>Bring Your Data. Bring Your Fabric. We Build the Intelligence.</w:t>
            </w:r>
          </w:p>
        </w:tc>
      </w:tr>
    </w:tbl>
    <w:p>
      <w:pPr>
        <w:spacing w:after="20"/>
      </w:pP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592"/>
            <w:shd w:fill="17365D"/>
            <w:tcMar>
              <w:top w:w="100" w:type="dxa"/>
              <w:start w:w="110" w:type="dxa"/>
              <w:bottom w:w="100" w:type="dxa"/>
              <w:end w:w="110" w:type="dxa"/>
            </w:tcMar>
            <w:vAlign w:val="center"/>
          </w:tcPr>
          <w:p>
            <w:pPr>
              <w:jc w:val="center"/>
            </w:pPr>
            <w:r>
              <w:rPr>
                <w:b/>
                <w:color w:val="FFFFFF"/>
                <w:sz w:val="18"/>
              </w:rPr>
              <w:t>Document</w:t>
            </w:r>
          </w:p>
        </w:tc>
        <w:tc>
          <w:tcPr>
            <w:tcW w:type="dxa" w:w="7488"/>
            <w:shd w:fill="17365D"/>
            <w:tcMar>
              <w:top w:w="100" w:type="dxa"/>
              <w:start w:w="110" w:type="dxa"/>
              <w:bottom w:w="100" w:type="dxa"/>
              <w:end w:w="110" w:type="dxa"/>
            </w:tcMar>
            <w:vAlign w:val="center"/>
          </w:tcPr>
          <w:p>
            <w:pPr>
              <w:jc w:val="center"/>
            </w:pPr>
            <w:r>
              <w:rPr>
                <w:b/>
                <w:color w:val="FFFFFF"/>
                <w:sz w:val="18"/>
              </w:rPr>
              <w:t>Value</w:t>
            </w:r>
          </w:p>
        </w:tc>
      </w:tr>
      <w:tr>
        <w:trPr>
          <w:cantSplit/>
        </w:trPr>
        <w:tc>
          <w:tcPr>
            <w:tcW w:type="dxa" w:w="2592"/>
            <w:tcMar>
              <w:top w:w="100" w:type="dxa"/>
              <w:start w:w="110" w:type="dxa"/>
              <w:bottom w:w="100" w:type="dxa"/>
              <w:end w:w="110" w:type="dxa"/>
            </w:tcMar>
            <w:vAlign w:val="center"/>
          </w:tcPr>
          <w:p>
            <w:pPr>
              <w:spacing w:after="0" w:line="240" w:lineRule="auto"/>
            </w:pPr>
            <w:r>
              <w:rPr>
                <w:rFonts w:ascii="Liberation Sans" w:hAnsi="Liberation Sans"/>
                <w:color w:val="1F2937"/>
                <w:sz w:val="18"/>
              </w:rPr>
              <w:t>Document type</w:t>
            </w:r>
          </w:p>
        </w:tc>
        <w:tc>
          <w:tcPr>
            <w:tcW w:type="dxa" w:w="7488"/>
            <w:tcMar>
              <w:top w:w="100" w:type="dxa"/>
              <w:start w:w="110" w:type="dxa"/>
              <w:bottom w:w="100" w:type="dxa"/>
              <w:end w:w="110" w:type="dxa"/>
            </w:tcMar>
            <w:vAlign w:val="center"/>
          </w:tcPr>
          <w:p>
            <w:pPr>
              <w:spacing w:after="0" w:line="240" w:lineRule="auto"/>
            </w:pPr>
            <w:r>
              <w:rPr>
                <w:rFonts w:ascii="Liberation Sans" w:hAnsi="Liberation Sans"/>
                <w:color w:val="1F2937"/>
                <w:sz w:val="18"/>
              </w:rPr>
              <w:t>Phased implementation master / AI coding-agent control document</w:t>
            </w:r>
          </w:p>
        </w:tc>
      </w:tr>
      <w:tr>
        <w:trPr>
          <w:cantSplit/>
        </w:trPr>
        <w:tc>
          <w:tcPr>
            <w:tcW w:type="dxa" w:w="2592"/>
            <w:tcMar>
              <w:top w:w="100" w:type="dxa"/>
              <w:start w:w="110" w:type="dxa"/>
              <w:bottom w:w="100" w:type="dxa"/>
              <w:end w:w="110" w:type="dxa"/>
            </w:tcMar>
            <w:vAlign w:val="center"/>
          </w:tcPr>
          <w:p>
            <w:pPr>
              <w:spacing w:after="0" w:line="240" w:lineRule="auto"/>
            </w:pPr>
            <w:r>
              <w:rPr>
                <w:rFonts w:ascii="Liberation Sans" w:hAnsi="Liberation Sans"/>
                <w:color w:val="1F2937"/>
                <w:sz w:val="18"/>
              </w:rPr>
              <w:t>Version</w:t>
            </w:r>
          </w:p>
        </w:tc>
        <w:tc>
          <w:tcPr>
            <w:tcW w:type="dxa" w:w="7488"/>
            <w:tcMar>
              <w:top w:w="100" w:type="dxa"/>
              <w:start w:w="110" w:type="dxa"/>
              <w:bottom w:w="100" w:type="dxa"/>
              <w:end w:w="110" w:type="dxa"/>
            </w:tcMar>
            <w:vAlign w:val="center"/>
          </w:tcPr>
          <w:p>
            <w:r>
              <w:t>1.3</w:t>
            </w:r>
          </w:p>
        </w:tc>
      </w:tr>
      <w:tr>
        <w:trPr>
          <w:cantSplit/>
        </w:trPr>
        <w:tc>
          <w:tcPr>
            <w:tcW w:type="dxa" w:w="2592"/>
            <w:tcMar>
              <w:top w:w="100" w:type="dxa"/>
              <w:start w:w="110" w:type="dxa"/>
              <w:bottom w:w="100" w:type="dxa"/>
              <w:end w:w="110" w:type="dxa"/>
            </w:tcMar>
            <w:vAlign w:val="center"/>
          </w:tcPr>
          <w:p>
            <w:pPr>
              <w:spacing w:after="0" w:line="240" w:lineRule="auto"/>
            </w:pPr>
            <w:r>
              <w:rPr>
                <w:rFonts w:ascii="Liberation Sans" w:hAnsi="Liberation Sans"/>
                <w:color w:val="1F2937"/>
                <w:sz w:val="18"/>
              </w:rPr>
              <w:t>Date</w:t>
            </w:r>
          </w:p>
        </w:tc>
        <w:tc>
          <w:tcPr>
            <w:tcW w:type="dxa" w:w="7488"/>
            <w:tcMar>
              <w:top w:w="100" w:type="dxa"/>
              <w:start w:w="110" w:type="dxa"/>
              <w:bottom w:w="100" w:type="dxa"/>
              <w:end w:w="110" w:type="dxa"/>
            </w:tcMar>
            <w:vAlign w:val="center"/>
          </w:tcPr>
          <w:p>
            <w:pPr>
              <w:spacing w:after="0" w:line="240" w:lineRule="auto"/>
            </w:pPr>
            <w:r>
              <w:rPr>
                <w:rFonts w:ascii="Liberation Sans" w:hAnsi="Liberation Sans"/>
                <w:color w:val="1F2937"/>
                <w:sz w:val="18"/>
              </w:rPr>
              <w:t>22 August 2026</w:t>
            </w:r>
          </w:p>
        </w:tc>
      </w:tr>
      <w:tr>
        <w:trPr>
          <w:cantSplit/>
        </w:trPr>
        <w:tc>
          <w:tcPr>
            <w:tcW w:type="dxa" w:w="2592"/>
            <w:tcMar>
              <w:top w:w="100" w:type="dxa"/>
              <w:start w:w="110" w:type="dxa"/>
              <w:bottom w:w="100" w:type="dxa"/>
              <w:end w:w="110" w:type="dxa"/>
            </w:tcMar>
            <w:vAlign w:val="center"/>
          </w:tcPr>
          <w:p>
            <w:pPr>
              <w:spacing w:after="0" w:line="240" w:lineRule="auto"/>
            </w:pPr>
            <w:r>
              <w:rPr>
                <w:rFonts w:ascii="Liberation Sans" w:hAnsi="Liberation Sans"/>
                <w:color w:val="1F2937"/>
                <w:sz w:val="18"/>
              </w:rPr>
              <w:t>Source baseline</w:t>
            </w:r>
          </w:p>
        </w:tc>
        <w:tc>
          <w:tcPr>
            <w:tcW w:type="dxa" w:w="7488"/>
            <w:tcMar>
              <w:top w:w="100" w:type="dxa"/>
              <w:start w:w="110" w:type="dxa"/>
              <w:bottom w:w="100" w:type="dxa"/>
              <w:end w:w="110" w:type="dxa"/>
            </w:tcMar>
            <w:vAlign w:val="center"/>
          </w:tcPr>
          <w:p>
            <w:r>
              <w:t>SemantIQ Software Requirements Specification v0.3 repository-aligned baseline</w:t>
            </w:r>
          </w:p>
        </w:tc>
      </w:tr>
      <w:tr>
        <w:trPr>
          <w:cantSplit/>
        </w:trPr>
        <w:tc>
          <w:tcPr>
            <w:tcW w:type="dxa" w:w="2592"/>
            <w:tcMar>
              <w:top w:w="100" w:type="dxa"/>
              <w:start w:w="110" w:type="dxa"/>
              <w:bottom w:w="100" w:type="dxa"/>
              <w:end w:w="110" w:type="dxa"/>
            </w:tcMar>
            <w:vAlign w:val="center"/>
          </w:tcPr>
          <w:p>
            <w:pPr>
              <w:spacing w:after="0" w:line="240" w:lineRule="auto"/>
            </w:pPr>
            <w:r>
              <w:rPr>
                <w:rFonts w:ascii="Liberation Sans" w:hAnsi="Liberation Sans"/>
                <w:color w:val="1F2937"/>
                <w:sz w:val="18"/>
              </w:rPr>
              <w:t>Execution target</w:t>
            </w:r>
          </w:p>
        </w:tc>
        <w:tc>
          <w:tcPr>
            <w:tcW w:type="dxa" w:w="7488"/>
            <w:tcMar>
              <w:top w:w="100" w:type="dxa"/>
              <w:start w:w="110" w:type="dxa"/>
              <w:bottom w:w="100" w:type="dxa"/>
              <w:end w:w="110" w:type="dxa"/>
            </w:tcMar>
            <w:vAlign w:val="center"/>
          </w:tcPr>
          <w:p>
            <w:pPr>
              <w:spacing w:after="0" w:line="240" w:lineRule="auto"/>
            </w:pPr>
            <w:r>
              <w:rPr>
                <w:rFonts w:ascii="Liberation Sans" w:hAnsi="Liberation Sans"/>
                <w:color w:val="1F2937"/>
                <w:sz w:val="18"/>
              </w:rPr>
              <w:t>Claude Code operating from the Semantiq GitHub repository</w:t>
            </w:r>
          </w:p>
        </w:tc>
      </w:tr>
      <w:tr>
        <w:trPr>
          <w:cantSplit/>
        </w:trPr>
        <w:tc>
          <w:tcPr>
            <w:tcW w:type="dxa" w:w="2592"/>
            <w:tcMar>
              <w:top w:w="100" w:type="dxa"/>
              <w:start w:w="110" w:type="dxa"/>
              <w:bottom w:w="100" w:type="dxa"/>
              <w:end w:w="110" w:type="dxa"/>
            </w:tcMar>
            <w:vAlign w:val="center"/>
          </w:tcPr>
          <w:p>
            <w:pPr>
              <w:spacing w:after="0" w:line="240" w:lineRule="auto"/>
            </w:pPr>
            <w:r>
              <w:rPr>
                <w:rFonts w:ascii="Liberation Sans" w:hAnsi="Liberation Sans"/>
                <w:color w:val="1F2937"/>
                <w:sz w:val="18"/>
              </w:rPr>
              <w:t>Delivery method</w:t>
            </w:r>
          </w:p>
        </w:tc>
        <w:tc>
          <w:tcPr>
            <w:tcW w:type="dxa" w:w="7488"/>
            <w:tcMar>
              <w:top w:w="100" w:type="dxa"/>
              <w:start w:w="110" w:type="dxa"/>
              <w:bottom w:w="100" w:type="dxa"/>
              <w:end w:w="110" w:type="dxa"/>
            </w:tcMar>
            <w:vAlign w:val="center"/>
          </w:tcPr>
          <w:p>
            <w:pPr>
              <w:spacing w:after="0" w:line="240" w:lineRule="auto"/>
            </w:pPr>
            <w:r>
              <w:rPr>
                <w:rFonts w:ascii="Liberation Sans" w:hAnsi="Liberation Sans"/>
                <w:color w:val="1F2937"/>
                <w:sz w:val="18"/>
              </w:rPr>
              <w:t>Sequential phases with plan approval, verification evidence and explicit user confirmation</w:t>
            </w:r>
          </w:p>
        </w:tc>
      </w:tr>
    </w:tbl>
    <w:p>
      <w:pPr>
        <w:spacing w:after="20"/>
      </w:pPr>
    </w:p>
    <w:p>
      <w:r>
        <w:br w:type="page"/>
      </w:r>
    </w:p>
    <w:p>
      <w:pPr>
        <w:pStyle w:val="Heading1"/>
      </w:pPr>
      <w:r>
        <w:t>1. Purpose</w:t>
      </w:r>
    </w:p>
    <w:p>
      <w:r>
        <w:t>This master document converts the Semantiq SRS into a controlled implementation sequence suitable for Claude Code working in GitHub. It does not replace the SRS. The SRS remains the requirements baseline; this document controls implementation order, references the phase documents and defines the gate that prevents Claude Code from advancing without verified completion and user confirmation.</w:t>
      </w:r>
    </w:p>
    <w:tbl>
      <w:tblPr>
        <w:tblW w:type="auto" w:w="0"/>
        <w:jc w:val="center"/>
        <w:tblLayout w:type="autofit"/>
        <w:tblLook w:firstColumn="1" w:firstRow="1" w:lastColumn="0" w:lastRow="0" w:noHBand="0" w:noVBand="1" w:val="04A0"/>
      </w:tblPr>
      <w:tblGrid>
        <w:gridCol w:w="9994"/>
      </w:tblGrid>
      <w:tr>
        <w:tc>
          <w:tcPr>
            <w:tcW w:type="dxa" w:w="9994"/>
            <w:shd w:fill="FFF4CE"/>
            <w:tcMar>
              <w:top w:w="110" w:type="dxa"/>
              <w:start w:w="140" w:type="dxa"/>
              <w:bottom w:w="110" w:type="dxa"/>
              <w:end w:w="140" w:type="dxa"/>
            </w:tcMar>
          </w:tcPr>
          <w:p>
            <w:pPr>
              <w:spacing w:after="0"/>
            </w:pPr>
            <w:r>
              <w:rPr>
                <w:b/>
                <w:color w:val="9A6700"/>
              </w:rPr>
              <w:t xml:space="preserve">Source-of-truth rule: </w:t>
            </w:r>
            <w:r>
              <w:t>If a phase document conflicts with the SRS, stop and raise the conflict. Do not silently reinterpret the SRS. A baseline change requires a recorded decision and user approval.</w:t>
            </w:r>
          </w:p>
        </w:tc>
      </w:tr>
    </w:tbl>
    <w:p>
      <w:pPr>
        <w:spacing w:after="20"/>
      </w:pPr>
    </w:p>
    <w:p>
      <w:pPr>
        <w:pStyle w:val="Heading1"/>
      </w:pPr>
      <w:r>
        <w:t>2. How Claude Code Must Use These Documents</w:t>
      </w:r>
    </w:p>
    <w:p>
      <w:pPr>
        <w:spacing w:after="60"/>
        <w:ind w:left="317" w:hanging="317"/>
      </w:pPr>
      <w:r>
        <w:rPr>
          <w:b/>
        </w:rPr>
        <w:t xml:space="preserve">1. </w:t>
      </w:r>
      <w:r>
        <w:t>Read root CLAUDE.md first. It contains the non-negotiable execution protocol.</w:t>
      </w:r>
    </w:p>
    <w:p>
      <w:pPr>
        <w:spacing w:after="60"/>
        <w:ind w:left="317" w:hanging="317"/>
      </w:pPr>
      <w:r>
        <w:rPr>
          <w:b/>
        </w:rPr>
        <w:t>2. Read IMPLEMENTATION_STATUS.md to identify the single active/unlocked phase.</w:t>
      </w:r>
      <w:r/>
    </w:p>
    <w:p>
      <w:pPr>
        <w:spacing w:after="60"/>
        <w:ind w:left="317" w:hanging="317"/>
      </w:pPr>
      <w:r>
        <w:rPr>
          <w:b/>
        </w:rPr>
        <w:t>3. Read doc/MASTER_IMPLEMENTATION_PLAN.md and only the current phase reference plus required source references.</w:t>
      </w:r>
      <w:r/>
    </w:p>
    <w:p>
      <w:pPr>
        <w:spacing w:after="60"/>
        <w:ind w:left="317" w:hanging="317"/>
      </w:pPr>
      <w:r>
        <w:rPr>
          <w:b/>
        </w:rPr>
        <w:t xml:space="preserve">4. </w:t>
      </w:r>
      <w:r>
        <w:t>Inspect the real repository before planning; preserve the existing approved technology stack unless the user approves a change.</w:t>
      </w:r>
    </w:p>
    <w:p>
      <w:pPr>
        <w:spacing w:after="60"/>
        <w:ind w:left="317" w:hanging="317"/>
      </w:pPr>
      <w:r>
        <w:rPr>
          <w:b/>
        </w:rPr>
        <w:t xml:space="preserve">5. </w:t>
      </w:r>
      <w:r>
        <w:t>Write a phase implementation plan and obtain user approval before material implementation.</w:t>
      </w:r>
    </w:p>
    <w:p>
      <w:pPr>
        <w:spacing w:after="60"/>
        <w:ind w:left="317" w:hanging="317"/>
      </w:pPr>
      <w:r>
        <w:rPr>
          <w:b/>
        </w:rPr>
        <w:t xml:space="preserve">6. </w:t>
      </w:r>
      <w:r>
        <w:t>Implement, test and document evidence for the current phase only.</w:t>
      </w:r>
    </w:p>
    <w:p>
      <w:pPr>
        <w:spacing w:after="60"/>
        <w:ind w:left="317" w:hanging="317"/>
      </w:pPr>
      <w:r>
        <w:rPr>
          <w:b/>
        </w:rPr>
        <w:t xml:space="preserve">7. </w:t>
      </w:r>
      <w:r>
        <w:t>Present verification evidence to the user and request the exact phase completion confirmation.</w:t>
      </w:r>
    </w:p>
    <w:p>
      <w:pPr>
        <w:spacing w:after="60"/>
        <w:ind w:left="317" w:hanging="317"/>
      </w:pPr>
      <w:r>
        <w:rPr>
          <w:b/>
        </w:rPr>
        <w:t xml:space="preserve">8. </w:t>
      </w:r>
      <w:r>
        <w:t>Update status and unlock the next phase only after explicit user confirmation.</w:t>
      </w:r>
    </w:p>
    <w:p>
      <w:pPr>
        <w:spacing w:after="60"/>
        <w:ind w:left="317" w:hanging="317"/>
      </w:pPr>
      <w:r>
        <w:rPr>
          <w:b/>
        </w:rPr>
        <w:t xml:space="preserve">9. </w:t>
      </w:r>
      <w:r>
        <w:t>Repeat until Phase 09 is accepted and the baseline is marked complete.</w:t>
      </w:r>
    </w:p>
    <w:p>
      <w:pPr>
        <w:pStyle w:val="Heading1"/>
      </w:pPr>
      <w:r>
        <w:t>3. Phase Gate State Machine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7365D"/>
            <w:tcMar>
              <w:top w:w="100" w:type="dxa"/>
              <w:start w:w="110" w:type="dxa"/>
              <w:bottom w:w="100" w:type="dxa"/>
              <w:end w:w="110" w:type="dxa"/>
            </w:tcMar>
            <w:vAlign w:val="center"/>
          </w:tcPr>
          <w:p>
            <w:pPr>
              <w:jc w:val="center"/>
            </w:pPr>
            <w:r>
              <w:rPr>
                <w:b/>
                <w:color w:val="FFFFFF"/>
                <w:sz w:val="17"/>
              </w:rPr>
              <w:t>State</w:t>
            </w:r>
          </w:p>
        </w:tc>
        <w:tc>
          <w:tcPr>
            <w:tcW w:type="dxa" w:w="5616"/>
            <w:shd w:fill="17365D"/>
            <w:tcMar>
              <w:top w:w="100" w:type="dxa"/>
              <w:start w:w="110" w:type="dxa"/>
              <w:bottom w:w="100" w:type="dxa"/>
              <w:end w:w="110" w:type="dxa"/>
            </w:tcMar>
            <w:vAlign w:val="center"/>
          </w:tcPr>
          <w:p>
            <w:pPr>
              <w:jc w:val="center"/>
            </w:pPr>
            <w:r>
              <w:rPr>
                <w:b/>
                <w:color w:val="FFFFFF"/>
                <w:sz w:val="17"/>
              </w:rPr>
              <w:t>Meaning</w:t>
            </w:r>
          </w:p>
        </w:tc>
        <w:tc>
          <w:tcPr>
            <w:tcW w:type="dxa" w:w="2592"/>
            <w:shd w:fill="17365D"/>
            <w:tcMar>
              <w:top w:w="100" w:type="dxa"/>
              <w:start w:w="110" w:type="dxa"/>
              <w:bottom w:w="100" w:type="dxa"/>
              <w:end w:w="110" w:type="dxa"/>
            </w:tcMar>
            <w:vAlign w:val="center"/>
          </w:tcPr>
          <w:p>
            <w:pPr>
              <w:jc w:val="center"/>
            </w:pPr>
            <w:r>
              <w:rPr>
                <w:b/>
                <w:color w:val="FFFFFF"/>
                <w:sz w:val="17"/>
              </w:rPr>
              <w:t>Who can move it forward</w:t>
            </w:r>
          </w:p>
        </w:tc>
      </w:tr>
      <w:tr>
        <w:trPr>
          <w:cantSplit/>
        </w:trPr>
        <w:tc>
          <w:tcPr>
            <w:tcW w:type="dxa" w:w="2376"/>
            <w:tcMar>
              <w:top w:w="100" w:type="dxa"/>
              <w:start w:w="110" w:type="dxa"/>
              <w:bottom w:w="100" w:type="dxa"/>
              <w:end w:w="110" w:type="dxa"/>
            </w:tcMar>
            <w:vAlign w:val="center"/>
          </w:tcPr>
          <w:p>
            <w:pPr>
              <w:spacing w:after="0" w:line="240" w:lineRule="auto"/>
              <w:jc w:val="center"/>
            </w:pPr>
            <w:r>
              <w:rPr>
                <w:rFonts w:ascii="Liberation Sans" w:hAnsi="Liberation Sans"/>
                <w:color w:val="1F2937"/>
                <w:sz w:val="17"/>
              </w:rPr>
              <w:t>LOCKED</w:t>
            </w:r>
          </w:p>
        </w:tc>
        <w:tc>
          <w:tcPr>
            <w:tcW w:type="dxa" w:w="5616"/>
            <w:tcMar>
              <w:top w:w="100" w:type="dxa"/>
              <w:start w:w="110" w:type="dxa"/>
              <w:bottom w:w="100" w:type="dxa"/>
              <w:end w:w="110" w:type="dxa"/>
            </w:tcMar>
            <w:vAlign w:val="center"/>
          </w:tcPr>
          <w:p>
            <w:pPr>
              <w:spacing w:after="0" w:line="240" w:lineRule="auto"/>
            </w:pPr>
            <w:r>
              <w:rPr>
                <w:rFonts w:ascii="Liberation Sans" w:hAnsi="Liberation Sans"/>
                <w:color w:val="1F2937"/>
                <w:sz w:val="17"/>
              </w:rPr>
              <w:t>Previous phase is not user-confirmed.</w:t>
            </w:r>
          </w:p>
        </w:tc>
        <w:tc>
          <w:tcPr>
            <w:tcW w:type="dxa" w:w="2592"/>
            <w:tcMar>
              <w:top w:w="100" w:type="dxa"/>
              <w:start w:w="110" w:type="dxa"/>
              <w:bottom w:w="100" w:type="dxa"/>
              <w:end w:w="110" w:type="dxa"/>
            </w:tcMar>
            <w:vAlign w:val="center"/>
          </w:tcPr>
          <w:p>
            <w:pPr>
              <w:spacing w:after="0" w:line="240" w:lineRule="auto"/>
            </w:pPr>
            <w:r>
              <w:rPr>
                <w:rFonts w:ascii="Liberation Sans" w:hAnsi="Liberation Sans"/>
                <w:color w:val="1F2937"/>
                <w:sz w:val="17"/>
              </w:rPr>
              <w:t>No one; previous phase must complete.</w:t>
            </w:r>
          </w:p>
        </w:tc>
      </w:tr>
      <w:tr>
        <w:trPr>
          <w:cantSplit/>
        </w:trPr>
        <w:tc>
          <w:tcPr>
            <w:tcW w:type="dxa" w:w="2376"/>
            <w:tcMar>
              <w:top w:w="100" w:type="dxa"/>
              <w:start w:w="110" w:type="dxa"/>
              <w:bottom w:w="100" w:type="dxa"/>
              <w:end w:w="110" w:type="dxa"/>
            </w:tcMar>
            <w:vAlign w:val="center"/>
          </w:tcPr>
          <w:p>
            <w:pPr>
              <w:spacing w:after="0" w:line="240" w:lineRule="auto"/>
              <w:jc w:val="center"/>
            </w:pPr>
            <w:r>
              <w:rPr>
                <w:rFonts w:ascii="Liberation Sans" w:hAnsi="Liberation Sans"/>
                <w:color w:val="1F2937"/>
                <w:sz w:val="17"/>
              </w:rPr>
              <w:t>READY_FOR_PLAN</w:t>
            </w:r>
          </w:p>
        </w:tc>
        <w:tc>
          <w:tcPr>
            <w:tcW w:type="dxa" w:w="5616"/>
            <w:tcMar>
              <w:top w:w="100" w:type="dxa"/>
              <w:start w:w="110" w:type="dxa"/>
              <w:bottom w:w="100" w:type="dxa"/>
              <w:end w:w="110" w:type="dxa"/>
            </w:tcMar>
            <w:vAlign w:val="center"/>
          </w:tcPr>
          <w:p>
            <w:pPr>
              <w:spacing w:after="0" w:line="240" w:lineRule="auto"/>
            </w:pPr>
            <w:r>
              <w:rPr>
                <w:rFonts w:ascii="Liberation Sans" w:hAnsi="Liberation Sans"/>
                <w:color w:val="1F2937"/>
                <w:sz w:val="17"/>
              </w:rPr>
              <w:t>Prerequisites met; Claude may inspect and propose a plan.</w:t>
            </w:r>
          </w:p>
        </w:tc>
        <w:tc>
          <w:tcPr>
            <w:tcW w:type="dxa" w:w="2592"/>
            <w:tcMar>
              <w:top w:w="100" w:type="dxa"/>
              <w:start w:w="110" w:type="dxa"/>
              <w:bottom w:w="100" w:type="dxa"/>
              <w:end w:w="110" w:type="dxa"/>
            </w:tcMar>
            <w:vAlign w:val="center"/>
          </w:tcPr>
          <w:p>
            <w:pPr>
              <w:spacing w:after="0" w:line="240" w:lineRule="auto"/>
            </w:pPr>
            <w:r>
              <w:rPr>
                <w:rFonts w:ascii="Liberation Sans" w:hAnsi="Liberation Sans"/>
                <w:color w:val="1F2937"/>
                <w:sz w:val="17"/>
              </w:rPr>
              <w:t>Claude Code after reading status/docs.</w:t>
            </w:r>
          </w:p>
        </w:tc>
      </w:tr>
      <w:tr>
        <w:trPr>
          <w:cantSplit/>
        </w:trPr>
        <w:tc>
          <w:tcPr>
            <w:tcW w:type="dxa" w:w="2376"/>
            <w:tcMar>
              <w:top w:w="100" w:type="dxa"/>
              <w:start w:w="110" w:type="dxa"/>
              <w:bottom w:w="100" w:type="dxa"/>
              <w:end w:w="110" w:type="dxa"/>
            </w:tcMar>
            <w:vAlign w:val="center"/>
          </w:tcPr>
          <w:p>
            <w:pPr>
              <w:spacing w:after="0" w:line="240" w:lineRule="auto"/>
              <w:jc w:val="center"/>
            </w:pPr>
            <w:r>
              <w:rPr>
                <w:rFonts w:ascii="Liberation Sans" w:hAnsi="Liberation Sans"/>
                <w:color w:val="1F2937"/>
                <w:sz w:val="17"/>
              </w:rPr>
              <w:t>PLAN_PENDING_APPROVAL</w:t>
            </w:r>
          </w:p>
        </w:tc>
        <w:tc>
          <w:tcPr>
            <w:tcW w:type="dxa" w:w="5616"/>
            <w:tcMar>
              <w:top w:w="100" w:type="dxa"/>
              <w:start w:w="110" w:type="dxa"/>
              <w:bottom w:w="100" w:type="dxa"/>
              <w:end w:w="110" w:type="dxa"/>
            </w:tcMar>
            <w:vAlign w:val="center"/>
          </w:tcPr>
          <w:p>
            <w:pPr>
              <w:spacing w:after="0" w:line="240" w:lineRule="auto"/>
            </w:pPr>
            <w:r>
              <w:rPr>
                <w:rFonts w:ascii="Liberation Sans" w:hAnsi="Liberation Sans"/>
                <w:color w:val="1F2937"/>
                <w:sz w:val="17"/>
              </w:rPr>
              <w:t>Plan has been presented to user.</w:t>
            </w:r>
          </w:p>
        </w:tc>
        <w:tc>
          <w:tcPr>
            <w:tcW w:type="dxa" w:w="2592"/>
            <w:tcMar>
              <w:top w:w="100" w:type="dxa"/>
              <w:start w:w="110" w:type="dxa"/>
              <w:bottom w:w="100" w:type="dxa"/>
              <w:end w:w="110" w:type="dxa"/>
            </w:tcMar>
            <w:vAlign w:val="center"/>
          </w:tcPr>
          <w:p>
            <w:pPr>
              <w:spacing w:after="0" w:line="240" w:lineRule="auto"/>
            </w:pPr>
            <w:r>
              <w:rPr>
                <w:rFonts w:ascii="Liberation Sans" w:hAnsi="Liberation Sans"/>
                <w:color w:val="1F2937"/>
                <w:sz w:val="17"/>
              </w:rPr>
              <w:t>User approves plan.</w:t>
            </w:r>
          </w:p>
        </w:tc>
      </w:tr>
      <w:tr>
        <w:trPr>
          <w:cantSplit/>
        </w:trPr>
        <w:tc>
          <w:tcPr>
            <w:tcW w:type="dxa" w:w="2376"/>
            <w:tcMar>
              <w:top w:w="100" w:type="dxa"/>
              <w:start w:w="110" w:type="dxa"/>
              <w:bottom w:w="100" w:type="dxa"/>
              <w:end w:w="110" w:type="dxa"/>
            </w:tcMar>
            <w:vAlign w:val="center"/>
          </w:tcPr>
          <w:p>
            <w:pPr>
              <w:spacing w:after="0" w:line="240" w:lineRule="auto"/>
              <w:jc w:val="center"/>
            </w:pPr>
            <w:r>
              <w:rPr>
                <w:rFonts w:ascii="Liberation Sans" w:hAnsi="Liberation Sans"/>
                <w:color w:val="1F2937"/>
                <w:sz w:val="17"/>
              </w:rPr>
              <w:t>IN_PROGRESS</w:t>
            </w:r>
          </w:p>
        </w:tc>
        <w:tc>
          <w:tcPr>
            <w:tcW w:type="dxa" w:w="5616"/>
            <w:tcMar>
              <w:top w:w="100" w:type="dxa"/>
              <w:start w:w="110" w:type="dxa"/>
              <w:bottom w:w="100" w:type="dxa"/>
              <w:end w:w="110" w:type="dxa"/>
            </w:tcMar>
            <w:vAlign w:val="center"/>
          </w:tcPr>
          <w:p>
            <w:pPr>
              <w:spacing w:after="0" w:line="240" w:lineRule="auto"/>
            </w:pPr>
            <w:r>
              <w:rPr>
                <w:rFonts w:ascii="Liberation Sans" w:hAnsi="Liberation Sans"/>
                <w:color w:val="1F2937"/>
                <w:sz w:val="17"/>
              </w:rPr>
              <w:t>Approved phase implementation is underway.</w:t>
            </w:r>
          </w:p>
        </w:tc>
        <w:tc>
          <w:tcPr>
            <w:tcW w:type="dxa" w:w="2592"/>
            <w:tcMar>
              <w:top w:w="100" w:type="dxa"/>
              <w:start w:w="110" w:type="dxa"/>
              <w:bottom w:w="100" w:type="dxa"/>
              <w:end w:w="110" w:type="dxa"/>
            </w:tcMar>
            <w:vAlign w:val="center"/>
          </w:tcPr>
          <w:p>
            <w:pPr>
              <w:spacing w:after="0" w:line="240" w:lineRule="auto"/>
            </w:pPr>
            <w:r>
              <w:rPr>
                <w:rFonts w:ascii="Liberation Sans" w:hAnsi="Liberation Sans"/>
                <w:color w:val="1F2937"/>
                <w:sz w:val="17"/>
              </w:rPr>
              <w:t>Claude Code.</w:t>
            </w:r>
          </w:p>
        </w:tc>
      </w:tr>
      <w:tr>
        <w:trPr>
          <w:cantSplit/>
        </w:trPr>
        <w:tc>
          <w:tcPr>
            <w:tcW w:type="dxa" w:w="2376"/>
            <w:tcMar>
              <w:top w:w="100" w:type="dxa"/>
              <w:start w:w="110" w:type="dxa"/>
              <w:bottom w:w="100" w:type="dxa"/>
              <w:end w:w="110" w:type="dxa"/>
            </w:tcMar>
            <w:vAlign w:val="center"/>
          </w:tcPr>
          <w:p>
            <w:pPr>
              <w:spacing w:after="0" w:line="240" w:lineRule="auto"/>
              <w:jc w:val="center"/>
            </w:pPr>
            <w:r>
              <w:rPr>
                <w:rFonts w:ascii="Liberation Sans" w:hAnsi="Liberation Sans"/>
                <w:color w:val="1F2937"/>
                <w:sz w:val="17"/>
              </w:rPr>
              <w:t>VERIFYING</w:t>
            </w:r>
          </w:p>
        </w:tc>
        <w:tc>
          <w:tcPr>
            <w:tcW w:type="dxa" w:w="5616"/>
            <w:tcMar>
              <w:top w:w="100" w:type="dxa"/>
              <w:start w:w="110" w:type="dxa"/>
              <w:bottom w:w="100" w:type="dxa"/>
              <w:end w:w="110" w:type="dxa"/>
            </w:tcMar>
            <w:vAlign w:val="center"/>
          </w:tcPr>
          <w:p>
            <w:pPr>
              <w:spacing w:after="0" w:line="240" w:lineRule="auto"/>
            </w:pPr>
            <w:r>
              <w:rPr>
                <w:rFonts w:ascii="Liberation Sans" w:hAnsi="Liberation Sans"/>
                <w:color w:val="1F2937"/>
                <w:sz w:val="17"/>
              </w:rPr>
              <w:t>Implementation complete enough for tests/manual checks.</w:t>
            </w:r>
          </w:p>
        </w:tc>
        <w:tc>
          <w:tcPr>
            <w:tcW w:type="dxa" w:w="2592"/>
            <w:tcMar>
              <w:top w:w="100" w:type="dxa"/>
              <w:start w:w="110" w:type="dxa"/>
              <w:bottom w:w="100" w:type="dxa"/>
              <w:end w:w="110" w:type="dxa"/>
            </w:tcMar>
            <w:vAlign w:val="center"/>
          </w:tcPr>
          <w:p>
            <w:pPr>
              <w:spacing w:after="0" w:line="240" w:lineRule="auto"/>
            </w:pPr>
            <w:r>
              <w:rPr>
                <w:rFonts w:ascii="Liberation Sans" w:hAnsi="Liberation Sans"/>
                <w:color w:val="1F2937"/>
                <w:sz w:val="17"/>
              </w:rPr>
              <w:t>Claude Code.</w:t>
            </w:r>
          </w:p>
        </w:tc>
      </w:tr>
      <w:tr>
        <w:trPr>
          <w:cantSplit/>
        </w:trPr>
        <w:tc>
          <w:tcPr>
            <w:tcW w:type="dxa" w:w="2376"/>
            <w:tcMar>
              <w:top w:w="100" w:type="dxa"/>
              <w:start w:w="110" w:type="dxa"/>
              <w:bottom w:w="100" w:type="dxa"/>
              <w:end w:w="110" w:type="dxa"/>
            </w:tcMar>
            <w:vAlign w:val="center"/>
          </w:tcPr>
          <w:p>
            <w:pPr>
              <w:spacing w:after="0" w:line="240" w:lineRule="auto"/>
              <w:jc w:val="center"/>
            </w:pPr>
            <w:r>
              <w:rPr>
                <w:rFonts w:ascii="Liberation Sans" w:hAnsi="Liberation Sans"/>
                <w:color w:val="1F2937"/>
                <w:sz w:val="17"/>
              </w:rPr>
              <w:t>AWAITING_USER_CONFIRMATION</w:t>
            </w:r>
          </w:p>
        </w:tc>
        <w:tc>
          <w:tcPr>
            <w:tcW w:type="dxa" w:w="5616"/>
            <w:tcMar>
              <w:top w:w="100" w:type="dxa"/>
              <w:start w:w="110" w:type="dxa"/>
              <w:bottom w:w="100" w:type="dxa"/>
              <w:end w:w="110" w:type="dxa"/>
            </w:tcMar>
            <w:vAlign w:val="center"/>
          </w:tcPr>
          <w:p>
            <w:pPr>
              <w:spacing w:after="0" w:line="240" w:lineRule="auto"/>
            </w:pPr>
            <w:r>
              <w:rPr>
                <w:rFonts w:ascii="Liberation Sans" w:hAnsi="Liberation Sans"/>
                <w:color w:val="1F2937"/>
                <w:sz w:val="17"/>
              </w:rPr>
              <w:t>Verification evidence presented; no further phase may start.</w:t>
            </w:r>
          </w:p>
        </w:tc>
        <w:tc>
          <w:tcPr>
            <w:tcW w:type="dxa" w:w="2592"/>
            <w:tcMar>
              <w:top w:w="100" w:type="dxa"/>
              <w:start w:w="110" w:type="dxa"/>
              <w:bottom w:w="100" w:type="dxa"/>
              <w:end w:w="110" w:type="dxa"/>
            </w:tcMar>
            <w:vAlign w:val="center"/>
          </w:tcPr>
          <w:p>
            <w:pPr>
              <w:spacing w:after="0" w:line="240" w:lineRule="auto"/>
            </w:pPr>
            <w:r>
              <w:rPr>
                <w:rFonts w:ascii="Liberation Sans" w:hAnsi="Liberation Sans"/>
                <w:color w:val="1F2937"/>
                <w:sz w:val="17"/>
              </w:rPr>
              <w:t>User only.</w:t>
            </w:r>
          </w:p>
        </w:tc>
      </w:tr>
      <w:tr>
        <w:trPr>
          <w:cantSplit/>
        </w:trPr>
        <w:tc>
          <w:tcPr>
            <w:tcW w:type="dxa" w:w="2376"/>
            <w:tcMar>
              <w:top w:w="100" w:type="dxa"/>
              <w:start w:w="110" w:type="dxa"/>
              <w:bottom w:w="100" w:type="dxa"/>
              <w:end w:w="110" w:type="dxa"/>
            </w:tcMar>
            <w:vAlign w:val="center"/>
          </w:tcPr>
          <w:p>
            <w:pPr>
              <w:spacing w:after="0" w:line="240" w:lineRule="auto"/>
              <w:jc w:val="center"/>
            </w:pPr>
            <w:r>
              <w:rPr>
                <w:rFonts w:ascii="Liberation Sans" w:hAnsi="Liberation Sans"/>
                <w:color w:val="1F2937"/>
                <w:sz w:val="17"/>
              </w:rPr>
              <w:t>CONFIRMED</w:t>
            </w:r>
          </w:p>
        </w:tc>
        <w:tc>
          <w:tcPr>
            <w:tcW w:type="dxa" w:w="5616"/>
            <w:tcMar>
              <w:top w:w="100" w:type="dxa"/>
              <w:start w:w="110" w:type="dxa"/>
              <w:bottom w:w="100" w:type="dxa"/>
              <w:end w:w="110" w:type="dxa"/>
            </w:tcMar>
            <w:vAlign w:val="center"/>
          </w:tcPr>
          <w:p>
            <w:pPr>
              <w:spacing w:after="0" w:line="240" w:lineRule="auto"/>
            </w:pPr>
            <w:r>
              <w:rPr>
                <w:rFonts w:ascii="Liberation Sans" w:hAnsi="Liberation Sans"/>
                <w:color w:val="1F2937"/>
                <w:sz w:val="17"/>
              </w:rPr>
              <w:t>User explicitly confirmed phase completion.</w:t>
            </w:r>
          </w:p>
        </w:tc>
        <w:tc>
          <w:tcPr>
            <w:tcW w:type="dxa" w:w="2592"/>
            <w:tcMar>
              <w:top w:w="100" w:type="dxa"/>
              <w:start w:w="110" w:type="dxa"/>
              <w:bottom w:w="100" w:type="dxa"/>
              <w:end w:w="110" w:type="dxa"/>
            </w:tcMar>
            <w:vAlign w:val="center"/>
          </w:tcPr>
          <w:p>
            <w:pPr>
              <w:spacing w:after="0" w:line="240" w:lineRule="auto"/>
            </w:pPr>
            <w:r>
              <w:rPr>
                <w:rFonts w:ascii="Liberation Sans" w:hAnsi="Liberation Sans"/>
                <w:color w:val="1F2937"/>
                <w:sz w:val="17"/>
              </w:rPr>
              <w:t>Claude updates status after user confirmation.</w:t>
            </w:r>
          </w:p>
        </w:tc>
      </w:tr>
      <w:tr>
        <w:trPr>
          <w:cantSplit/>
        </w:trPr>
        <w:tc>
          <w:tcPr>
            <w:tcW w:type="dxa" w:w="2376"/>
            <w:tcMar>
              <w:top w:w="100" w:type="dxa"/>
              <w:start w:w="110" w:type="dxa"/>
              <w:bottom w:w="100" w:type="dxa"/>
              <w:end w:w="110" w:type="dxa"/>
            </w:tcMar>
            <w:vAlign w:val="center"/>
          </w:tcPr>
          <w:p>
            <w:pPr>
              <w:spacing w:after="0" w:line="240" w:lineRule="auto"/>
              <w:jc w:val="center"/>
            </w:pPr>
            <w:r>
              <w:rPr>
                <w:rFonts w:ascii="Liberation Sans" w:hAnsi="Liberation Sans"/>
                <w:color w:val="1F2937"/>
                <w:sz w:val="17"/>
              </w:rPr>
              <w:t>BLOCKED</w:t>
            </w:r>
          </w:p>
        </w:tc>
        <w:tc>
          <w:tcPr>
            <w:tcW w:type="dxa" w:w="5616"/>
            <w:tcMar>
              <w:top w:w="100" w:type="dxa"/>
              <w:start w:w="110" w:type="dxa"/>
              <w:bottom w:w="100" w:type="dxa"/>
              <w:end w:w="110" w:type="dxa"/>
            </w:tcMar>
            <w:vAlign w:val="center"/>
          </w:tcPr>
          <w:p>
            <w:pPr>
              <w:spacing w:after="0" w:line="240" w:lineRule="auto"/>
            </w:pPr>
            <w:r>
              <w:rPr>
                <w:rFonts w:ascii="Liberation Sans" w:hAnsi="Liberation Sans"/>
                <w:color w:val="1F2937"/>
                <w:sz w:val="17"/>
              </w:rPr>
              <w:t>Dependency/API/security/requirement conflict prevents safe progress.</w:t>
            </w:r>
          </w:p>
        </w:tc>
        <w:tc>
          <w:tcPr>
            <w:tcW w:type="dxa" w:w="2592"/>
            <w:tcMar>
              <w:top w:w="100" w:type="dxa"/>
              <w:start w:w="110" w:type="dxa"/>
              <w:bottom w:w="100" w:type="dxa"/>
              <w:end w:w="110" w:type="dxa"/>
            </w:tcMar>
            <w:vAlign w:val="center"/>
          </w:tcPr>
          <w:p>
            <w:pPr>
              <w:spacing w:after="0" w:line="240" w:lineRule="auto"/>
            </w:pPr>
            <w:r>
              <w:rPr>
                <w:rFonts w:ascii="Liberation Sans" w:hAnsi="Liberation Sans"/>
                <w:color w:val="1F2937"/>
                <w:sz w:val="17"/>
              </w:rPr>
              <w:t>User/owner resolves or approves decision.</w:t>
            </w:r>
          </w:p>
        </w:tc>
      </w:tr>
    </w:tbl>
    <w:p>
      <w:pPr>
        <w:spacing w:after="20"/>
      </w:pPr>
    </w:p>
    <w:p>
      <w:pPr>
        <w:pStyle w:val="Heading1"/>
      </w:pPr>
      <w:r>
        <w:t>4. Master Phase Map</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792"/>
            <w:shd w:fill="17365D"/>
            <w:tcMar>
              <w:top w:w="100" w:type="dxa"/>
              <w:start w:w="110" w:type="dxa"/>
              <w:bottom w:w="100" w:type="dxa"/>
              <w:end w:w="110" w:type="dxa"/>
            </w:tcMar>
            <w:vAlign w:val="center"/>
          </w:tcPr>
          <w:p>
            <w:pPr>
              <w:jc w:val="center"/>
            </w:pPr>
            <w:r>
              <w:rPr>
                <w:b/>
                <w:color w:val="FFFFFF"/>
                <w:sz w:val="15"/>
              </w:rPr>
              <w:t>Phase</w:t>
            </w:r>
          </w:p>
        </w:tc>
        <w:tc>
          <w:tcPr>
            <w:tcW w:type="dxa" w:w="1224"/>
            <w:shd w:fill="17365D"/>
            <w:tcMar>
              <w:top w:w="100" w:type="dxa"/>
              <w:start w:w="110" w:type="dxa"/>
              <w:bottom w:w="100" w:type="dxa"/>
              <w:end w:w="110" w:type="dxa"/>
            </w:tcMar>
            <w:vAlign w:val="center"/>
          </w:tcPr>
          <w:p>
            <w:pPr>
              <w:jc w:val="center"/>
            </w:pPr>
            <w:r>
              <w:rPr>
                <w:b/>
                <w:color w:val="FFFFFF"/>
                <w:sz w:val="15"/>
              </w:rPr>
              <w:t>Ref</w:t>
            </w:r>
          </w:p>
        </w:tc>
        <w:tc>
          <w:tcPr>
            <w:tcW w:type="dxa" w:w="3312"/>
            <w:shd w:fill="17365D"/>
            <w:tcMar>
              <w:top w:w="100" w:type="dxa"/>
              <w:start w:w="110" w:type="dxa"/>
              <w:bottom w:w="100" w:type="dxa"/>
              <w:end w:w="110" w:type="dxa"/>
            </w:tcMar>
            <w:vAlign w:val="center"/>
          </w:tcPr>
          <w:p>
            <w:pPr>
              <w:jc w:val="center"/>
            </w:pPr>
            <w:r>
              <w:rPr>
                <w:b/>
                <w:color w:val="FFFFFF"/>
                <w:sz w:val="15"/>
              </w:rPr>
              <w:t>Title</w:t>
            </w:r>
          </w:p>
        </w:tc>
        <w:tc>
          <w:tcPr>
            <w:tcW w:type="dxa" w:w="3600"/>
            <w:shd w:fill="17365D"/>
            <w:tcMar>
              <w:top w:w="100" w:type="dxa"/>
              <w:start w:w="110" w:type="dxa"/>
              <w:bottom w:w="100" w:type="dxa"/>
              <w:end w:w="110" w:type="dxa"/>
            </w:tcMar>
            <w:vAlign w:val="center"/>
          </w:tcPr>
          <w:p>
            <w:pPr>
              <w:jc w:val="center"/>
            </w:pPr>
            <w:r>
              <w:rPr>
                <w:b/>
                <w:color w:val="FFFFFF"/>
                <w:sz w:val="15"/>
              </w:rPr>
              <w:t>GitHub phase reference</w:t>
            </w:r>
          </w:p>
        </w:tc>
        <w:tc>
          <w:tcPr>
            <w:tcW w:type="dxa" w:w="2016"/>
            <w:shd w:fill="17365D"/>
            <w:tcMar>
              <w:top w:w="100" w:type="dxa"/>
              <w:start w:w="110" w:type="dxa"/>
              <w:bottom w:w="100" w:type="dxa"/>
              <w:end w:w="110" w:type="dxa"/>
            </w:tcMar>
            <w:vAlign w:val="center"/>
          </w:tcPr>
          <w:p>
            <w:pPr>
              <w:jc w:val="center"/>
            </w:pPr>
            <w:r>
              <w:rPr>
                <w:b/>
                <w:color w:val="FFFFFF"/>
                <w:sz w:val="15"/>
              </w:rPr>
              <w:t>Completion confirmation</w:t>
            </w:r>
          </w:p>
        </w:tc>
      </w:tr>
      <w:tr>
        <w:trPr>
          <w:cantSplit/>
        </w:trPr>
        <w:tc>
          <w:tcPr>
            <w:tcW w:type="dxa" w:w="792"/>
            <w:tcMar>
              <w:top w:w="100" w:type="dxa"/>
              <w:start w:w="110" w:type="dxa"/>
              <w:bottom w:w="100" w:type="dxa"/>
              <w:end w:w="110" w:type="dxa"/>
            </w:tcMar>
            <w:vAlign w:val="center"/>
          </w:tcPr>
          <w:p>
            <w:pPr>
              <w:spacing w:after="0" w:line="240" w:lineRule="auto"/>
              <w:jc w:val="center"/>
            </w:pPr>
            <w:r>
              <w:rPr>
                <w:rFonts w:ascii="Liberation Sans" w:hAnsi="Liberation Sans"/>
                <w:color w:val="1F2937"/>
                <w:sz w:val="15"/>
              </w:rPr>
              <w:t>00</w:t>
            </w:r>
          </w:p>
        </w:tc>
        <w:tc>
          <w:tcPr>
            <w:tcW w:type="dxa" w:w="1224"/>
            <w:tcMar>
              <w:top w:w="100" w:type="dxa"/>
              <w:start w:w="110" w:type="dxa"/>
              <w:bottom w:w="100" w:type="dxa"/>
              <w:end w:w="110" w:type="dxa"/>
            </w:tcMar>
            <w:vAlign w:val="center"/>
          </w:tcPr>
          <w:p>
            <w:pPr>
              <w:spacing w:after="0" w:line="240" w:lineRule="auto"/>
            </w:pPr>
            <w:r>
              <w:rPr>
                <w:rFonts w:ascii="Liberation Sans" w:hAnsi="Liberation Sans"/>
                <w:color w:val="1F2937"/>
                <w:sz w:val="15"/>
              </w:rPr>
              <w:t>P00-FND</w:t>
            </w:r>
          </w:p>
        </w:tc>
        <w:tc>
          <w:tcPr>
            <w:tcW w:type="dxa" w:w="3312"/>
            <w:tcMar>
              <w:top w:w="100" w:type="dxa"/>
              <w:start w:w="110" w:type="dxa"/>
              <w:bottom w:w="100" w:type="dxa"/>
              <w:end w:w="110" w:type="dxa"/>
            </w:tcMar>
            <w:vAlign w:val="center"/>
          </w:tcPr>
          <w:p>
            <w:pPr>
              <w:spacing w:after="0" w:line="240" w:lineRule="auto"/>
            </w:pPr>
            <w:r>
              <w:rPr>
                <w:rFonts w:ascii="Liberation Sans" w:hAnsi="Liberation Sans"/>
                <w:color w:val="1F2937"/>
                <w:sz w:val="15"/>
              </w:rPr>
              <w:t>Engineering Foundation and Control Plane Skeleton</w:t>
            </w:r>
          </w:p>
        </w:tc>
        <w:tc>
          <w:tcPr>
            <w:tcW w:type="dxa" w:w="3600"/>
            <w:tcMar>
              <w:top w:w="100" w:type="dxa"/>
              <w:start w:w="110" w:type="dxa"/>
              <w:bottom w:w="100" w:type="dxa"/>
              <w:end w:w="110" w:type="dxa"/>
            </w:tcMar>
            <w:vAlign w:val="center"/>
          </w:tcPr>
          <w:p>
            <w:pPr>
              <w:spacing w:after="0" w:line="240" w:lineRule="auto"/>
            </w:pPr>
            <w:r>
              <w:rPr>
                <w:rFonts w:ascii="Liberation Sans" w:hAnsi="Liberation Sans"/>
                <w:color w:val="1F2937"/>
                <w:sz w:val="15"/>
              </w:rPr>
              <w:t>doc/phases/PHASE-00-FOUNDATION.md</w:t>
            </w:r>
          </w:p>
        </w:tc>
        <w:tc>
          <w:tcPr>
            <w:tcW w:type="dxa" w:w="2016"/>
            <w:tcMar>
              <w:top w:w="100" w:type="dxa"/>
              <w:start w:w="110" w:type="dxa"/>
              <w:bottom w:w="100" w:type="dxa"/>
              <w:end w:w="110" w:type="dxa"/>
            </w:tcMar>
            <w:vAlign w:val="center"/>
          </w:tcPr>
          <w:p>
            <w:pPr>
              <w:spacing w:after="0" w:line="240" w:lineRule="auto"/>
            </w:pPr>
            <w:r>
              <w:rPr>
                <w:rFonts w:ascii="Liberation Sans" w:hAnsi="Liberation Sans"/>
                <w:color w:val="1F2937"/>
                <w:sz w:val="15"/>
              </w:rPr>
              <w:t>CONFIRM PHASE 00 COMPLETE</w:t>
            </w:r>
          </w:p>
        </w:tc>
      </w:tr>
      <w:tr>
        <w:trPr>
          <w:cantSplit/>
        </w:trPr>
        <w:tc>
          <w:tcPr>
            <w:tcW w:type="dxa" w:w="792"/>
            <w:tcMar>
              <w:top w:w="100" w:type="dxa"/>
              <w:start w:w="110" w:type="dxa"/>
              <w:bottom w:w="100" w:type="dxa"/>
              <w:end w:w="110" w:type="dxa"/>
            </w:tcMar>
            <w:vAlign w:val="center"/>
          </w:tcPr>
          <w:p>
            <w:pPr>
              <w:spacing w:after="0" w:line="240" w:lineRule="auto"/>
              <w:jc w:val="center"/>
            </w:pPr>
            <w:r>
              <w:rPr>
                <w:rFonts w:ascii="Liberation Sans" w:hAnsi="Liberation Sans"/>
                <w:color w:val="1F2937"/>
                <w:sz w:val="15"/>
              </w:rPr>
              <w:t>01</w:t>
            </w:r>
          </w:p>
        </w:tc>
        <w:tc>
          <w:tcPr>
            <w:tcW w:type="dxa" w:w="1224"/>
            <w:tcMar>
              <w:top w:w="100" w:type="dxa"/>
              <w:start w:w="110" w:type="dxa"/>
              <w:bottom w:w="100" w:type="dxa"/>
              <w:end w:w="110" w:type="dxa"/>
            </w:tcMar>
            <w:vAlign w:val="center"/>
          </w:tcPr>
          <w:p>
            <w:pPr>
              <w:spacing w:after="0" w:line="240" w:lineRule="auto"/>
            </w:pPr>
            <w:r>
              <w:rPr>
                <w:rFonts w:ascii="Liberation Sans" w:hAnsi="Liberation Sans"/>
                <w:color w:val="1F2937"/>
                <w:sz w:val="15"/>
              </w:rPr>
              <w:t>P01-IDN</w:t>
            </w:r>
          </w:p>
        </w:tc>
        <w:tc>
          <w:tcPr>
            <w:tcW w:type="dxa" w:w="3312"/>
            <w:tcMar>
              <w:top w:w="100" w:type="dxa"/>
              <w:start w:w="110" w:type="dxa"/>
              <w:bottom w:w="100" w:type="dxa"/>
              <w:end w:w="110" w:type="dxa"/>
            </w:tcMar>
            <w:vAlign w:val="center"/>
          </w:tcPr>
          <w:p>
            <w:pPr>
              <w:spacing w:after="0" w:line="240" w:lineRule="auto"/>
            </w:pPr>
            <w:r>
              <w:rPr>
                <w:rFonts w:ascii="Liberation Sans" w:hAnsi="Liberation Sans"/>
                <w:color w:val="1F2937"/>
                <w:sz w:val="15"/>
              </w:rPr>
              <w:t>Tenant Onboarding, SSO and Fabric Automation Identity</w:t>
            </w:r>
          </w:p>
        </w:tc>
        <w:tc>
          <w:tcPr>
            <w:tcW w:type="dxa" w:w="3600"/>
            <w:tcMar>
              <w:top w:w="100" w:type="dxa"/>
              <w:start w:w="110" w:type="dxa"/>
              <w:bottom w:w="100" w:type="dxa"/>
              <w:end w:w="110" w:type="dxa"/>
            </w:tcMar>
            <w:vAlign w:val="center"/>
          </w:tcPr>
          <w:p>
            <w:pPr>
              <w:spacing w:after="0" w:line="240" w:lineRule="auto"/>
            </w:pPr>
            <w:r>
              <w:rPr>
                <w:rFonts w:ascii="Liberation Sans" w:hAnsi="Liberation Sans"/>
                <w:color w:val="1F2937"/>
                <w:sz w:val="15"/>
              </w:rPr>
              <w:t>doc/phases/PHASE-01-IDENTITY.md</w:t>
            </w:r>
          </w:p>
        </w:tc>
        <w:tc>
          <w:tcPr>
            <w:tcW w:type="dxa" w:w="2016"/>
            <w:tcMar>
              <w:top w:w="100" w:type="dxa"/>
              <w:start w:w="110" w:type="dxa"/>
              <w:bottom w:w="100" w:type="dxa"/>
              <w:end w:w="110" w:type="dxa"/>
            </w:tcMar>
            <w:vAlign w:val="center"/>
          </w:tcPr>
          <w:p>
            <w:pPr>
              <w:spacing w:after="0" w:line="240" w:lineRule="auto"/>
            </w:pPr>
            <w:r>
              <w:rPr>
                <w:rFonts w:ascii="Liberation Sans" w:hAnsi="Liberation Sans"/>
                <w:color w:val="1F2937"/>
                <w:sz w:val="15"/>
              </w:rPr>
              <w:t>CONFIRM PHASE 01 COMPLETE</w:t>
            </w:r>
          </w:p>
        </w:tc>
      </w:tr>
      <w:tr>
        <w:trPr>
          <w:cantSplit/>
        </w:trPr>
        <w:tc>
          <w:tcPr>
            <w:tcW w:type="dxa" w:w="792"/>
            <w:tcMar>
              <w:top w:w="100" w:type="dxa"/>
              <w:start w:w="110" w:type="dxa"/>
              <w:bottom w:w="100" w:type="dxa"/>
              <w:end w:w="110" w:type="dxa"/>
            </w:tcMar>
            <w:vAlign w:val="center"/>
          </w:tcPr>
          <w:p>
            <w:pPr>
              <w:spacing w:after="0" w:line="240" w:lineRule="auto"/>
              <w:jc w:val="center"/>
            </w:pPr>
            <w:r>
              <w:rPr>
                <w:rFonts w:ascii="Liberation Sans" w:hAnsi="Liberation Sans"/>
                <w:color w:val="1F2937"/>
                <w:sz w:val="15"/>
              </w:rPr>
              <w:t>02</w:t>
            </w:r>
          </w:p>
        </w:tc>
        <w:tc>
          <w:tcPr>
            <w:tcW w:type="dxa" w:w="1224"/>
            <w:tcMar>
              <w:top w:w="100" w:type="dxa"/>
              <w:start w:w="110" w:type="dxa"/>
              <w:bottom w:w="100" w:type="dxa"/>
              <w:end w:w="110" w:type="dxa"/>
            </w:tcMar>
            <w:vAlign w:val="center"/>
          </w:tcPr>
          <w:p>
            <w:pPr>
              <w:spacing w:after="0" w:line="240" w:lineRule="auto"/>
            </w:pPr>
            <w:r>
              <w:rPr>
                <w:rFonts w:ascii="Liberation Sans" w:hAnsi="Liberation Sans"/>
                <w:color w:val="1F2937"/>
                <w:sz w:val="15"/>
              </w:rPr>
              <w:t>P02-FAB</w:t>
            </w:r>
          </w:p>
        </w:tc>
        <w:tc>
          <w:tcPr>
            <w:tcW w:type="dxa" w:w="3312"/>
            <w:tcMar>
              <w:top w:w="100" w:type="dxa"/>
              <w:start w:w="110" w:type="dxa"/>
              <w:bottom w:w="100" w:type="dxa"/>
              <w:end w:w="110" w:type="dxa"/>
            </w:tcMar>
            <w:vAlign w:val="center"/>
          </w:tcPr>
          <w:p>
            <w:pPr>
              <w:spacing w:after="0" w:line="240" w:lineRule="auto"/>
            </w:pPr>
            <w:r>
              <w:rPr>
                <w:rFonts w:ascii="Liberation Sans" w:hAnsi="Liberation Sans"/>
                <w:color w:val="1F2937"/>
                <w:sz w:val="15"/>
              </w:rPr>
              <w:t>Fabric Readiness, Capacity and Workspace Provisioning</w:t>
            </w:r>
          </w:p>
        </w:tc>
        <w:tc>
          <w:tcPr>
            <w:tcW w:type="dxa" w:w="3600"/>
            <w:tcMar>
              <w:top w:w="100" w:type="dxa"/>
              <w:start w:w="110" w:type="dxa"/>
              <w:bottom w:w="100" w:type="dxa"/>
              <w:end w:w="110" w:type="dxa"/>
            </w:tcMar>
            <w:vAlign w:val="center"/>
          </w:tcPr>
          <w:p>
            <w:pPr>
              <w:spacing w:after="0" w:line="240" w:lineRule="auto"/>
            </w:pPr>
            <w:r>
              <w:rPr>
                <w:rFonts w:ascii="Liberation Sans" w:hAnsi="Liberation Sans"/>
                <w:color w:val="1F2937"/>
                <w:sz w:val="15"/>
              </w:rPr>
              <w:t>doc/phases/PHASE-02-FABRIC-CORE.md</w:t>
            </w:r>
          </w:p>
        </w:tc>
        <w:tc>
          <w:tcPr>
            <w:tcW w:type="dxa" w:w="2016"/>
            <w:tcMar>
              <w:top w:w="100" w:type="dxa"/>
              <w:start w:w="110" w:type="dxa"/>
              <w:bottom w:w="100" w:type="dxa"/>
              <w:end w:w="110" w:type="dxa"/>
            </w:tcMar>
            <w:vAlign w:val="center"/>
          </w:tcPr>
          <w:p>
            <w:pPr>
              <w:spacing w:after="0" w:line="240" w:lineRule="auto"/>
            </w:pPr>
            <w:r>
              <w:rPr>
                <w:rFonts w:ascii="Liberation Sans" w:hAnsi="Liberation Sans"/>
                <w:color w:val="1F2937"/>
                <w:sz w:val="15"/>
              </w:rPr>
              <w:t>CONFIRM PHASE 02 COMPLETE</w:t>
            </w:r>
          </w:p>
        </w:tc>
      </w:tr>
      <w:tr>
        <w:trPr>
          <w:cantSplit/>
        </w:trPr>
        <w:tc>
          <w:tcPr>
            <w:tcW w:type="dxa" w:w="792"/>
            <w:tcMar>
              <w:top w:w="100" w:type="dxa"/>
              <w:start w:w="110" w:type="dxa"/>
              <w:bottom w:w="100" w:type="dxa"/>
              <w:end w:w="110" w:type="dxa"/>
            </w:tcMar>
            <w:vAlign w:val="center"/>
          </w:tcPr>
          <w:p>
            <w:pPr>
              <w:spacing w:after="0" w:line="240" w:lineRule="auto"/>
              <w:jc w:val="center"/>
            </w:pPr>
            <w:r>
              <w:rPr>
                <w:rFonts w:ascii="Liberation Sans" w:hAnsi="Liberation Sans"/>
                <w:color w:val="1F2937"/>
                <w:sz w:val="15"/>
              </w:rPr>
              <w:t>03</w:t>
            </w:r>
          </w:p>
        </w:tc>
        <w:tc>
          <w:tcPr>
            <w:tcW w:type="dxa" w:w="1224"/>
            <w:tcMar>
              <w:top w:w="100" w:type="dxa"/>
              <w:start w:w="110" w:type="dxa"/>
              <w:bottom w:w="100" w:type="dxa"/>
              <w:end w:w="110" w:type="dxa"/>
            </w:tcMar>
            <w:vAlign w:val="center"/>
          </w:tcPr>
          <w:p>
            <w:pPr>
              <w:spacing w:after="0" w:line="240" w:lineRule="auto"/>
            </w:pPr>
            <w:r>
              <w:rPr>
                <w:rFonts w:ascii="Liberation Sans" w:hAnsi="Liberation Sans"/>
                <w:color w:val="1F2937"/>
                <w:sz w:val="15"/>
              </w:rPr>
              <w:t>P03-SRC</w:t>
            </w:r>
          </w:p>
        </w:tc>
        <w:tc>
          <w:tcPr>
            <w:tcW w:type="dxa" w:w="3312"/>
            <w:tcMar>
              <w:top w:w="100" w:type="dxa"/>
              <w:start w:w="110" w:type="dxa"/>
              <w:bottom w:w="100" w:type="dxa"/>
              <w:end w:w="110" w:type="dxa"/>
            </w:tcMar>
            <w:vAlign w:val="center"/>
          </w:tcPr>
          <w:p>
            <w:pPr>
              <w:spacing w:after="0" w:line="240" w:lineRule="auto"/>
            </w:pPr>
            <w:r>
              <w:rPr>
                <w:rFonts w:ascii="Liberation Sans" w:hAnsi="Liberation Sans"/>
                <w:color w:val="1F2937"/>
                <w:sz w:val="15"/>
              </w:rPr>
              <w:t>Source Connectivity, Gateway and Schema Discovery</w:t>
            </w:r>
          </w:p>
        </w:tc>
        <w:tc>
          <w:tcPr>
            <w:tcW w:type="dxa" w:w="3600"/>
            <w:tcMar>
              <w:top w:w="100" w:type="dxa"/>
              <w:start w:w="110" w:type="dxa"/>
              <w:bottom w:w="100" w:type="dxa"/>
              <w:end w:w="110" w:type="dxa"/>
            </w:tcMar>
            <w:vAlign w:val="center"/>
          </w:tcPr>
          <w:p>
            <w:pPr>
              <w:spacing w:after="0" w:line="240" w:lineRule="auto"/>
            </w:pPr>
            <w:r>
              <w:rPr>
                <w:rFonts w:ascii="Liberation Sans" w:hAnsi="Liberation Sans"/>
                <w:color w:val="1F2937"/>
                <w:sz w:val="15"/>
              </w:rPr>
              <w:t>doc/phases/PHASE-03-SOURCE-CONNECTIVITY.md</w:t>
            </w:r>
          </w:p>
        </w:tc>
        <w:tc>
          <w:tcPr>
            <w:tcW w:type="dxa" w:w="2016"/>
            <w:tcMar>
              <w:top w:w="100" w:type="dxa"/>
              <w:start w:w="110" w:type="dxa"/>
              <w:bottom w:w="100" w:type="dxa"/>
              <w:end w:w="110" w:type="dxa"/>
            </w:tcMar>
            <w:vAlign w:val="center"/>
          </w:tcPr>
          <w:p>
            <w:pPr>
              <w:spacing w:after="0" w:line="240" w:lineRule="auto"/>
            </w:pPr>
            <w:r>
              <w:rPr>
                <w:rFonts w:ascii="Liberation Sans" w:hAnsi="Liberation Sans"/>
                <w:color w:val="1F2937"/>
                <w:sz w:val="15"/>
              </w:rPr>
              <w:t>CONFIRM PHASE 03 COMPLETE</w:t>
            </w:r>
          </w:p>
        </w:tc>
      </w:tr>
      <w:tr>
        <w:trPr>
          <w:cantSplit/>
        </w:trPr>
        <w:tc>
          <w:tcPr>
            <w:tcW w:type="dxa" w:w="792"/>
            <w:tcMar>
              <w:top w:w="100" w:type="dxa"/>
              <w:start w:w="110" w:type="dxa"/>
              <w:bottom w:w="100" w:type="dxa"/>
              <w:end w:w="110" w:type="dxa"/>
            </w:tcMar>
            <w:vAlign w:val="center"/>
          </w:tcPr>
          <w:p>
            <w:pPr>
              <w:spacing w:after="0" w:line="240" w:lineRule="auto"/>
              <w:jc w:val="center"/>
            </w:pPr>
            <w:r>
              <w:rPr>
                <w:rFonts w:ascii="Liberation Sans" w:hAnsi="Liberation Sans"/>
                <w:color w:val="1F2937"/>
                <w:sz w:val="15"/>
              </w:rPr>
              <w:t>04</w:t>
            </w:r>
          </w:p>
        </w:tc>
        <w:tc>
          <w:tcPr>
            <w:tcW w:type="dxa" w:w="1224"/>
            <w:tcMar>
              <w:top w:w="100" w:type="dxa"/>
              <w:start w:w="110" w:type="dxa"/>
              <w:bottom w:w="100" w:type="dxa"/>
              <w:end w:w="110" w:type="dxa"/>
            </w:tcMar>
            <w:vAlign w:val="center"/>
          </w:tcPr>
          <w:p>
            <w:pPr>
              <w:spacing w:after="0" w:line="240" w:lineRule="auto"/>
            </w:pPr>
            <w:r>
              <w:rPr>
                <w:rFonts w:ascii="Liberation Sans" w:hAnsi="Liberation Sans"/>
                <w:color w:val="1F2937"/>
                <w:sz w:val="15"/>
              </w:rPr>
              <w:t>P04-ING</w:t>
            </w:r>
          </w:p>
        </w:tc>
        <w:tc>
          <w:tcPr>
            <w:tcW w:type="dxa" w:w="3312"/>
            <w:tcMar>
              <w:top w:w="100" w:type="dxa"/>
              <w:start w:w="110" w:type="dxa"/>
              <w:bottom w:w="100" w:type="dxa"/>
              <w:end w:w="110" w:type="dxa"/>
            </w:tcMar>
            <w:vAlign w:val="center"/>
          </w:tcPr>
          <w:p>
            <w:pPr>
              <w:spacing w:after="0" w:line="240" w:lineRule="auto"/>
            </w:pPr>
            <w:r>
              <w:rPr>
                <w:rFonts w:ascii="Liberation Sans" w:hAnsi="Liberation Sans"/>
                <w:color w:val="1F2937"/>
                <w:sz w:val="15"/>
              </w:rPr>
              <w:t>Ingestion, Lakehouse and Medallion Data Foundation</w:t>
            </w:r>
          </w:p>
        </w:tc>
        <w:tc>
          <w:tcPr>
            <w:tcW w:type="dxa" w:w="3600"/>
            <w:tcMar>
              <w:top w:w="100" w:type="dxa"/>
              <w:start w:w="110" w:type="dxa"/>
              <w:bottom w:w="100" w:type="dxa"/>
              <w:end w:w="110" w:type="dxa"/>
            </w:tcMar>
            <w:vAlign w:val="center"/>
          </w:tcPr>
          <w:p>
            <w:pPr>
              <w:spacing w:after="0" w:line="240" w:lineRule="auto"/>
            </w:pPr>
            <w:r>
              <w:rPr>
                <w:rFonts w:ascii="Liberation Sans" w:hAnsi="Liberation Sans"/>
                <w:color w:val="1F2937"/>
                <w:sz w:val="15"/>
              </w:rPr>
              <w:t>doc/phases/PHASE-04-INGESTION-LAKEHOUSE.md</w:t>
            </w:r>
          </w:p>
        </w:tc>
        <w:tc>
          <w:tcPr>
            <w:tcW w:type="dxa" w:w="2016"/>
            <w:tcMar>
              <w:top w:w="100" w:type="dxa"/>
              <w:start w:w="110" w:type="dxa"/>
              <w:bottom w:w="100" w:type="dxa"/>
              <w:end w:w="110" w:type="dxa"/>
            </w:tcMar>
            <w:vAlign w:val="center"/>
          </w:tcPr>
          <w:p>
            <w:pPr>
              <w:spacing w:after="0" w:line="240" w:lineRule="auto"/>
            </w:pPr>
            <w:r>
              <w:rPr>
                <w:rFonts w:ascii="Liberation Sans" w:hAnsi="Liberation Sans"/>
                <w:color w:val="1F2937"/>
                <w:sz w:val="15"/>
              </w:rPr>
              <w:t>CONFIRM PHASE 04 COMPLETE</w:t>
            </w:r>
          </w:p>
        </w:tc>
      </w:tr>
      <w:tr>
        <w:trPr>
          <w:cantSplit/>
        </w:trPr>
        <w:tc>
          <w:tcPr>
            <w:tcW w:type="dxa" w:w="792"/>
            <w:tcMar>
              <w:top w:w="100" w:type="dxa"/>
              <w:start w:w="110" w:type="dxa"/>
              <w:bottom w:w="100" w:type="dxa"/>
              <w:end w:w="110" w:type="dxa"/>
            </w:tcMar>
            <w:vAlign w:val="center"/>
          </w:tcPr>
          <w:p>
            <w:pPr>
              <w:spacing w:after="0" w:line="240" w:lineRule="auto"/>
              <w:jc w:val="center"/>
            </w:pPr>
            <w:r>
              <w:rPr>
                <w:rFonts w:ascii="Liberation Sans" w:hAnsi="Liberation Sans"/>
                <w:color w:val="1F2937"/>
                <w:sz w:val="15"/>
              </w:rPr>
              <w:t>05</w:t>
            </w:r>
          </w:p>
        </w:tc>
        <w:tc>
          <w:tcPr>
            <w:tcW w:type="dxa" w:w="1224"/>
            <w:tcMar>
              <w:top w:w="100" w:type="dxa"/>
              <w:start w:w="110" w:type="dxa"/>
              <w:bottom w:w="100" w:type="dxa"/>
              <w:end w:w="110" w:type="dxa"/>
            </w:tcMar>
            <w:vAlign w:val="center"/>
          </w:tcPr>
          <w:p>
            <w:pPr>
              <w:spacing w:after="0" w:line="240" w:lineRule="auto"/>
            </w:pPr>
            <w:r>
              <w:rPr>
                <w:rFonts w:ascii="Liberation Sans" w:hAnsi="Liberation Sans"/>
                <w:color w:val="1F2937"/>
                <w:sz w:val="15"/>
              </w:rPr>
              <w:t>P05-DQM</w:t>
            </w:r>
          </w:p>
        </w:tc>
        <w:tc>
          <w:tcPr>
            <w:tcW w:type="dxa" w:w="3312"/>
            <w:tcMar>
              <w:top w:w="100" w:type="dxa"/>
              <w:start w:w="110" w:type="dxa"/>
              <w:bottom w:w="100" w:type="dxa"/>
              <w:end w:w="110" w:type="dxa"/>
            </w:tcMar>
            <w:vAlign w:val="center"/>
          </w:tcPr>
          <w:p>
            <w:pPr>
              <w:spacing w:after="0" w:line="240" w:lineRule="auto"/>
            </w:pPr>
            <w:r>
              <w:rPr>
                <w:rFonts w:ascii="Liberation Sans" w:hAnsi="Liberation Sans"/>
                <w:color w:val="1F2937"/>
                <w:sz w:val="15"/>
              </w:rPr>
              <w:t>Data Quality, Standardisation and Business Modelling</w:t>
            </w:r>
          </w:p>
        </w:tc>
        <w:tc>
          <w:tcPr>
            <w:tcW w:type="dxa" w:w="3600"/>
            <w:tcMar>
              <w:top w:w="100" w:type="dxa"/>
              <w:start w:w="110" w:type="dxa"/>
              <w:bottom w:w="100" w:type="dxa"/>
              <w:end w:w="110" w:type="dxa"/>
            </w:tcMar>
            <w:vAlign w:val="center"/>
          </w:tcPr>
          <w:p>
            <w:pPr>
              <w:spacing w:after="0" w:line="240" w:lineRule="auto"/>
            </w:pPr>
            <w:r>
              <w:rPr>
                <w:rFonts w:ascii="Liberation Sans" w:hAnsi="Liberation Sans"/>
                <w:color w:val="1F2937"/>
                <w:sz w:val="15"/>
              </w:rPr>
              <w:t>doc/phases/PHASE-05-DATA-QUALITY-MODELLING.md</w:t>
            </w:r>
          </w:p>
        </w:tc>
        <w:tc>
          <w:tcPr>
            <w:tcW w:type="dxa" w:w="2016"/>
            <w:tcMar>
              <w:top w:w="100" w:type="dxa"/>
              <w:start w:w="110" w:type="dxa"/>
              <w:bottom w:w="100" w:type="dxa"/>
              <w:end w:w="110" w:type="dxa"/>
            </w:tcMar>
            <w:vAlign w:val="center"/>
          </w:tcPr>
          <w:p>
            <w:pPr>
              <w:spacing w:after="0" w:line="240" w:lineRule="auto"/>
            </w:pPr>
            <w:r>
              <w:rPr>
                <w:rFonts w:ascii="Liberation Sans" w:hAnsi="Liberation Sans"/>
                <w:color w:val="1F2937"/>
                <w:sz w:val="15"/>
              </w:rPr>
              <w:t>CONFIRM PHASE 05 COMPLETE</w:t>
            </w:r>
          </w:p>
        </w:tc>
      </w:tr>
      <w:tr>
        <w:trPr>
          <w:cantSplit/>
        </w:trPr>
        <w:tc>
          <w:tcPr>
            <w:tcW w:type="dxa" w:w="792"/>
            <w:tcMar>
              <w:top w:w="100" w:type="dxa"/>
              <w:start w:w="110" w:type="dxa"/>
              <w:bottom w:w="100" w:type="dxa"/>
              <w:end w:w="110" w:type="dxa"/>
            </w:tcMar>
            <w:vAlign w:val="center"/>
          </w:tcPr>
          <w:p>
            <w:pPr>
              <w:spacing w:after="0" w:line="240" w:lineRule="auto"/>
              <w:jc w:val="center"/>
            </w:pPr>
            <w:r>
              <w:rPr>
                <w:rFonts w:ascii="Liberation Sans" w:hAnsi="Liberation Sans"/>
                <w:color w:val="1F2937"/>
                <w:sz w:val="15"/>
              </w:rPr>
              <w:t>06</w:t>
            </w:r>
          </w:p>
        </w:tc>
        <w:tc>
          <w:tcPr>
            <w:tcW w:type="dxa" w:w="1224"/>
            <w:tcMar>
              <w:top w:w="100" w:type="dxa"/>
              <w:start w:w="110" w:type="dxa"/>
              <w:bottom w:w="100" w:type="dxa"/>
              <w:end w:w="110" w:type="dxa"/>
            </w:tcMar>
            <w:vAlign w:val="center"/>
          </w:tcPr>
          <w:p>
            <w:pPr>
              <w:spacing w:after="0" w:line="240" w:lineRule="auto"/>
            </w:pPr>
            <w:r>
              <w:rPr>
                <w:rFonts w:ascii="Liberation Sans" w:hAnsi="Liberation Sans"/>
                <w:color w:val="1F2937"/>
                <w:sz w:val="15"/>
              </w:rPr>
              <w:t>P06-SEM</w:t>
            </w:r>
          </w:p>
        </w:tc>
        <w:tc>
          <w:tcPr>
            <w:tcW w:type="dxa" w:w="3312"/>
            <w:tcMar>
              <w:top w:w="100" w:type="dxa"/>
              <w:start w:w="110" w:type="dxa"/>
              <w:bottom w:w="100" w:type="dxa"/>
              <w:end w:w="110" w:type="dxa"/>
            </w:tcMar>
            <w:vAlign w:val="center"/>
          </w:tcPr>
          <w:p>
            <w:pPr>
              <w:spacing w:after="0" w:line="240" w:lineRule="auto"/>
            </w:pPr>
            <w:r>
              <w:rPr>
                <w:rFonts w:ascii="Liberation Sans" w:hAnsi="Liberation Sans"/>
                <w:color w:val="1F2937"/>
                <w:sz w:val="15"/>
              </w:rPr>
              <w:t>Semantic Model, Security and Governance</w:t>
            </w:r>
          </w:p>
        </w:tc>
        <w:tc>
          <w:tcPr>
            <w:tcW w:type="dxa" w:w="3600"/>
            <w:tcMar>
              <w:top w:w="100" w:type="dxa"/>
              <w:start w:w="110" w:type="dxa"/>
              <w:bottom w:w="100" w:type="dxa"/>
              <w:end w:w="110" w:type="dxa"/>
            </w:tcMar>
            <w:vAlign w:val="center"/>
          </w:tcPr>
          <w:p>
            <w:pPr>
              <w:spacing w:after="0" w:line="240" w:lineRule="auto"/>
            </w:pPr>
            <w:r>
              <w:rPr>
                <w:rFonts w:ascii="Liberation Sans" w:hAnsi="Liberation Sans"/>
                <w:color w:val="1F2937"/>
                <w:sz w:val="15"/>
              </w:rPr>
              <w:t>doc/phases/PHASE-06-SEMANTIC-GOVERNANCE.md</w:t>
            </w:r>
          </w:p>
        </w:tc>
        <w:tc>
          <w:tcPr>
            <w:tcW w:type="dxa" w:w="2016"/>
            <w:tcMar>
              <w:top w:w="100" w:type="dxa"/>
              <w:start w:w="110" w:type="dxa"/>
              <w:bottom w:w="100" w:type="dxa"/>
              <w:end w:w="110" w:type="dxa"/>
            </w:tcMar>
            <w:vAlign w:val="center"/>
          </w:tcPr>
          <w:p>
            <w:pPr>
              <w:spacing w:after="0" w:line="240" w:lineRule="auto"/>
            </w:pPr>
            <w:r>
              <w:rPr>
                <w:rFonts w:ascii="Liberation Sans" w:hAnsi="Liberation Sans"/>
                <w:color w:val="1F2937"/>
                <w:sz w:val="15"/>
              </w:rPr>
              <w:t>CONFIRM PHASE 06 COMPLETE</w:t>
            </w:r>
          </w:p>
        </w:tc>
      </w:tr>
      <w:tr>
        <w:trPr>
          <w:cantSplit/>
        </w:trPr>
        <w:tc>
          <w:tcPr>
            <w:tcW w:type="dxa" w:w="792"/>
            <w:tcMar>
              <w:top w:w="100" w:type="dxa"/>
              <w:start w:w="110" w:type="dxa"/>
              <w:bottom w:w="100" w:type="dxa"/>
              <w:end w:w="110" w:type="dxa"/>
            </w:tcMar>
            <w:vAlign w:val="center"/>
          </w:tcPr>
          <w:p>
            <w:pPr>
              <w:spacing w:after="0" w:line="240" w:lineRule="auto"/>
              <w:jc w:val="center"/>
            </w:pPr>
            <w:r>
              <w:rPr>
                <w:rFonts w:ascii="Liberation Sans" w:hAnsi="Liberation Sans"/>
                <w:color w:val="1F2937"/>
                <w:sz w:val="15"/>
              </w:rPr>
              <w:t>07</w:t>
            </w:r>
          </w:p>
        </w:tc>
        <w:tc>
          <w:tcPr>
            <w:tcW w:type="dxa" w:w="1224"/>
            <w:tcMar>
              <w:top w:w="100" w:type="dxa"/>
              <w:start w:w="110" w:type="dxa"/>
              <w:bottom w:w="100" w:type="dxa"/>
              <w:end w:w="110" w:type="dxa"/>
            </w:tcMar>
            <w:vAlign w:val="center"/>
          </w:tcPr>
          <w:p>
            <w:pPr>
              <w:spacing w:after="0" w:line="240" w:lineRule="auto"/>
            </w:pPr>
            <w:r>
              <w:rPr>
                <w:rFonts w:ascii="Liberation Sans" w:hAnsi="Liberation Sans"/>
                <w:color w:val="1F2937"/>
                <w:sz w:val="15"/>
              </w:rPr>
              <w:t>P07-AI</w:t>
            </w:r>
          </w:p>
        </w:tc>
        <w:tc>
          <w:tcPr>
            <w:tcW w:type="dxa" w:w="3312"/>
            <w:tcMar>
              <w:top w:w="100" w:type="dxa"/>
              <w:start w:w="110" w:type="dxa"/>
              <w:bottom w:w="100" w:type="dxa"/>
              <w:end w:w="110" w:type="dxa"/>
            </w:tcMar>
            <w:vAlign w:val="center"/>
          </w:tcPr>
          <w:p>
            <w:pPr>
              <w:spacing w:after="0" w:line="240" w:lineRule="auto"/>
            </w:pPr>
            <w:r>
              <w:rPr>
                <w:rFonts w:ascii="Liberation Sans" w:hAnsi="Liberation Sans"/>
                <w:color w:val="1F2937"/>
                <w:sz w:val="15"/>
              </w:rPr>
              <w:t>AI Readiness, Fabric Data Agent and Validation Centre</w:t>
            </w:r>
          </w:p>
        </w:tc>
        <w:tc>
          <w:tcPr>
            <w:tcW w:type="dxa" w:w="3600"/>
            <w:tcMar>
              <w:top w:w="100" w:type="dxa"/>
              <w:start w:w="110" w:type="dxa"/>
              <w:bottom w:w="100" w:type="dxa"/>
              <w:end w:w="110" w:type="dxa"/>
            </w:tcMar>
            <w:vAlign w:val="center"/>
          </w:tcPr>
          <w:p>
            <w:pPr>
              <w:spacing w:after="0" w:line="240" w:lineRule="auto"/>
            </w:pPr>
            <w:r>
              <w:rPr>
                <w:rFonts w:ascii="Liberation Sans" w:hAnsi="Liberation Sans"/>
                <w:color w:val="1F2937"/>
                <w:sz w:val="15"/>
              </w:rPr>
              <w:t>doc/phases/PHASE-07-AI-DATA-AGENT.md</w:t>
            </w:r>
          </w:p>
        </w:tc>
        <w:tc>
          <w:tcPr>
            <w:tcW w:type="dxa" w:w="2016"/>
            <w:tcMar>
              <w:top w:w="100" w:type="dxa"/>
              <w:start w:w="110" w:type="dxa"/>
              <w:bottom w:w="100" w:type="dxa"/>
              <w:end w:w="110" w:type="dxa"/>
            </w:tcMar>
            <w:vAlign w:val="center"/>
          </w:tcPr>
          <w:p>
            <w:pPr>
              <w:spacing w:after="0" w:line="240" w:lineRule="auto"/>
            </w:pPr>
            <w:r>
              <w:rPr>
                <w:rFonts w:ascii="Liberation Sans" w:hAnsi="Liberation Sans"/>
                <w:color w:val="1F2937"/>
                <w:sz w:val="15"/>
              </w:rPr>
              <w:t>CONFIRM PHASE 07 COMPLETE</w:t>
            </w:r>
          </w:p>
        </w:tc>
      </w:tr>
      <w:tr>
        <w:trPr>
          <w:cantSplit/>
        </w:trPr>
        <w:tc>
          <w:tcPr>
            <w:tcW w:type="dxa" w:w="792"/>
            <w:tcMar>
              <w:top w:w="100" w:type="dxa"/>
              <w:start w:w="110" w:type="dxa"/>
              <w:bottom w:w="100" w:type="dxa"/>
              <w:end w:w="110" w:type="dxa"/>
            </w:tcMar>
            <w:vAlign w:val="center"/>
          </w:tcPr>
          <w:p>
            <w:pPr>
              <w:spacing w:after="0" w:line="240" w:lineRule="auto"/>
              <w:jc w:val="center"/>
            </w:pPr>
            <w:r>
              <w:rPr>
                <w:rFonts w:ascii="Liberation Sans" w:hAnsi="Liberation Sans"/>
                <w:color w:val="1F2937"/>
                <w:sz w:val="15"/>
              </w:rPr>
              <w:t>08</w:t>
            </w:r>
          </w:p>
        </w:tc>
        <w:tc>
          <w:tcPr>
            <w:tcW w:type="dxa" w:w="1224"/>
            <w:tcMar>
              <w:top w:w="100" w:type="dxa"/>
              <w:start w:w="110" w:type="dxa"/>
              <w:bottom w:w="100" w:type="dxa"/>
              <w:end w:w="110" w:type="dxa"/>
            </w:tcMar>
            <w:vAlign w:val="center"/>
          </w:tcPr>
          <w:p>
            <w:pPr>
              <w:spacing w:after="0" w:line="240" w:lineRule="auto"/>
            </w:pPr>
            <w:r>
              <w:rPr>
                <w:rFonts w:ascii="Liberation Sans" w:hAnsi="Liberation Sans"/>
                <w:color w:val="1F2937"/>
                <w:sz w:val="15"/>
              </w:rPr>
              <w:t>P08-OPS</w:t>
            </w:r>
          </w:p>
        </w:tc>
        <w:tc>
          <w:tcPr>
            <w:tcW w:type="dxa" w:w="3312"/>
            <w:tcMar>
              <w:top w:w="100" w:type="dxa"/>
              <w:start w:w="110" w:type="dxa"/>
              <w:bottom w:w="100" w:type="dxa"/>
              <w:end w:w="110" w:type="dxa"/>
            </w:tcMar>
            <w:vAlign w:val="center"/>
          </w:tcPr>
          <w:p>
            <w:pPr>
              <w:spacing w:after="0" w:line="240" w:lineRule="auto"/>
            </w:pPr>
            <w:r>
              <w:rPr>
                <w:rFonts w:ascii="Liberation Sans" w:hAnsi="Liberation Sans"/>
                <w:color w:val="1F2937"/>
                <w:sz w:val="15"/>
              </w:rPr>
              <w:t>Deployment, Operations, Help Centre and Lifecycle Management</w:t>
            </w:r>
          </w:p>
        </w:tc>
        <w:tc>
          <w:tcPr>
            <w:tcW w:type="dxa" w:w="3600"/>
            <w:tcMar>
              <w:top w:w="100" w:type="dxa"/>
              <w:start w:w="110" w:type="dxa"/>
              <w:bottom w:w="100" w:type="dxa"/>
              <w:end w:w="110" w:type="dxa"/>
            </w:tcMar>
            <w:vAlign w:val="center"/>
          </w:tcPr>
          <w:p>
            <w:pPr>
              <w:spacing w:after="0" w:line="240" w:lineRule="auto"/>
            </w:pPr>
            <w:r>
              <w:rPr>
                <w:rFonts w:ascii="Liberation Sans" w:hAnsi="Liberation Sans"/>
                <w:color w:val="1F2937"/>
                <w:sz w:val="15"/>
              </w:rPr>
              <w:t>doc/phases/PHASE-08-DEPLOYMENT-OPERATIONS.md</w:t>
            </w:r>
          </w:p>
        </w:tc>
        <w:tc>
          <w:tcPr>
            <w:tcW w:type="dxa" w:w="2016"/>
            <w:tcMar>
              <w:top w:w="100" w:type="dxa"/>
              <w:start w:w="110" w:type="dxa"/>
              <w:bottom w:w="100" w:type="dxa"/>
              <w:end w:w="110" w:type="dxa"/>
            </w:tcMar>
            <w:vAlign w:val="center"/>
          </w:tcPr>
          <w:p>
            <w:pPr>
              <w:spacing w:after="0" w:line="240" w:lineRule="auto"/>
            </w:pPr>
            <w:r>
              <w:rPr>
                <w:rFonts w:ascii="Liberation Sans" w:hAnsi="Liberation Sans"/>
                <w:color w:val="1F2937"/>
                <w:sz w:val="15"/>
              </w:rPr>
              <w:t>CONFIRM PHASE 08 COMPLETE</w:t>
            </w:r>
          </w:p>
        </w:tc>
      </w:tr>
      <w:tr>
        <w:trPr>
          <w:cantSplit/>
        </w:trPr>
        <w:tc>
          <w:tcPr>
            <w:tcW w:type="dxa" w:w="792"/>
            <w:tcMar>
              <w:top w:w="100" w:type="dxa"/>
              <w:start w:w="110" w:type="dxa"/>
              <w:bottom w:w="100" w:type="dxa"/>
              <w:end w:w="110" w:type="dxa"/>
            </w:tcMar>
            <w:vAlign w:val="center"/>
          </w:tcPr>
          <w:p>
            <w:pPr>
              <w:spacing w:after="0" w:line="240" w:lineRule="auto"/>
              <w:jc w:val="center"/>
            </w:pPr>
            <w:r>
              <w:rPr>
                <w:rFonts w:ascii="Liberation Sans" w:hAnsi="Liberation Sans"/>
                <w:color w:val="1F2937"/>
                <w:sz w:val="15"/>
              </w:rPr>
              <w:t>09</w:t>
            </w:r>
          </w:p>
        </w:tc>
        <w:tc>
          <w:tcPr>
            <w:tcW w:type="dxa" w:w="1224"/>
            <w:tcMar>
              <w:top w:w="100" w:type="dxa"/>
              <w:start w:w="110" w:type="dxa"/>
              <w:bottom w:w="100" w:type="dxa"/>
              <w:end w:w="110" w:type="dxa"/>
            </w:tcMar>
            <w:vAlign w:val="center"/>
          </w:tcPr>
          <w:p>
            <w:pPr>
              <w:spacing w:after="0" w:line="240" w:lineRule="auto"/>
            </w:pPr>
            <w:r>
              <w:rPr>
                <w:rFonts w:ascii="Liberation Sans" w:hAnsi="Liberation Sans"/>
                <w:color w:val="1F2937"/>
                <w:sz w:val="15"/>
              </w:rPr>
              <w:t>P09-GO</w:t>
            </w:r>
          </w:p>
        </w:tc>
        <w:tc>
          <w:tcPr>
            <w:tcW w:type="dxa" w:w="3312"/>
            <w:tcMar>
              <w:top w:w="100" w:type="dxa"/>
              <w:start w:w="110" w:type="dxa"/>
              <w:bottom w:w="100" w:type="dxa"/>
              <w:end w:w="110" w:type="dxa"/>
            </w:tcMar>
            <w:vAlign w:val="center"/>
          </w:tcPr>
          <w:p>
            <w:pPr>
              <w:spacing w:after="0" w:line="240" w:lineRule="auto"/>
            </w:pPr>
            <w:r>
              <w:rPr>
                <w:rFonts w:ascii="Liberation Sans" w:hAnsi="Liberation Sans"/>
                <w:color w:val="1F2937"/>
                <w:sz w:val="15"/>
              </w:rPr>
              <w:t>End-to-End UAT, Production Go-Live and Customer Handover</w:t>
            </w:r>
          </w:p>
        </w:tc>
        <w:tc>
          <w:tcPr>
            <w:tcW w:type="dxa" w:w="3600"/>
            <w:tcMar>
              <w:top w:w="100" w:type="dxa"/>
              <w:start w:w="110" w:type="dxa"/>
              <w:bottom w:w="100" w:type="dxa"/>
              <w:end w:w="110" w:type="dxa"/>
            </w:tcMar>
            <w:vAlign w:val="center"/>
          </w:tcPr>
          <w:p>
            <w:pPr>
              <w:spacing w:after="0" w:line="240" w:lineRule="auto"/>
            </w:pPr>
            <w:r>
              <w:rPr>
                <w:rFonts w:ascii="Liberation Sans" w:hAnsi="Liberation Sans"/>
                <w:color w:val="1F2937"/>
                <w:sz w:val="15"/>
              </w:rPr>
              <w:t>doc/phases/PHASE-09-UAT-GOLIVE.md</w:t>
            </w:r>
          </w:p>
        </w:tc>
        <w:tc>
          <w:tcPr>
            <w:tcW w:type="dxa" w:w="2016"/>
            <w:tcMar>
              <w:top w:w="100" w:type="dxa"/>
              <w:start w:w="110" w:type="dxa"/>
              <w:bottom w:w="100" w:type="dxa"/>
              <w:end w:w="110" w:type="dxa"/>
            </w:tcMar>
            <w:vAlign w:val="center"/>
          </w:tcPr>
          <w:p>
            <w:pPr>
              <w:spacing w:after="0" w:line="240" w:lineRule="auto"/>
            </w:pPr>
            <w:r>
              <w:rPr>
                <w:rFonts w:ascii="Liberation Sans" w:hAnsi="Liberation Sans"/>
                <w:color w:val="1F2937"/>
                <w:sz w:val="15"/>
              </w:rPr>
              <w:t>CONFIRM PHASE 09 COMPLETE AND BASELINE ACCEPTED</w:t>
            </w:r>
          </w:p>
        </w:tc>
      </w:tr>
    </w:tbl>
    <w:p>
      <w:pPr>
        <w:spacing w:after="20"/>
      </w:pPr>
    </w:p>
    <w:p>
      <w:pPr>
        <w:pStyle w:val="Heading1"/>
      </w:pPr>
      <w:r>
        <w:t>5. Phase Dependency Flow</w:t>
      </w:r>
    </w:p>
    <w:p>
      <w:pPr>
        <w:jc w:val="center"/>
      </w:pPr>
      <w:r>
        <w:rPr>
          <w:b/>
          <w:color w:val="17365D"/>
        </w:rPr>
        <w:t>00 FOUNDATION</w:t>
      </w:r>
      <w:r>
        <w:t xml:space="preserve">  -&gt;  </w:t>
      </w:r>
      <w:r>
        <w:rPr>
          <w:b/>
          <w:color w:val="17365D"/>
        </w:rPr>
        <w:t>01 IDENTITY</w:t>
      </w:r>
      <w:r>
        <w:t xml:space="preserve">  -&gt;  </w:t>
      </w:r>
      <w:r>
        <w:rPr>
          <w:b/>
          <w:color w:val="17365D"/>
        </w:rPr>
        <w:t>02 FABRIC CORE</w:t>
      </w:r>
      <w:r>
        <w:t xml:space="preserve">  -&gt;  </w:t>
      </w:r>
      <w:r>
        <w:rPr>
          <w:b/>
          <w:color w:val="17365D"/>
        </w:rPr>
        <w:t>03 SOURCE CONNECTIVITY</w:t>
      </w:r>
      <w:r>
        <w:t xml:space="preserve">  -&gt;  </w:t>
      </w:r>
      <w:r>
        <w:rPr>
          <w:b/>
          <w:color w:val="17365D"/>
        </w:rPr>
        <w:t>04 INGESTION LAKEHOUSE</w:t>
      </w:r>
      <w:r>
        <w:t xml:space="preserve">  -&gt;  </w:t>
      </w:r>
      <w:r>
        <w:rPr>
          <w:b/>
          <w:color w:val="17365D"/>
        </w:rPr>
        <w:t>05 DATA QUALITY MODELLING</w:t>
      </w:r>
      <w:r>
        <w:t xml:space="preserve">  -&gt;  </w:t>
      </w:r>
      <w:r>
        <w:rPr>
          <w:b/>
          <w:color w:val="17365D"/>
        </w:rPr>
        <w:t>06 SEMANTIC GOVERNANCE</w:t>
      </w:r>
      <w:r>
        <w:t xml:space="preserve">  -&gt;  </w:t>
      </w:r>
      <w:r>
        <w:rPr>
          <w:b/>
          <w:color w:val="17365D"/>
        </w:rPr>
        <w:t>07 AI DATA AGENT</w:t>
      </w:r>
      <w:r>
        <w:t xml:space="preserve">  -&gt;  </w:t>
      </w:r>
      <w:r>
        <w:rPr>
          <w:b/>
          <w:color w:val="17365D"/>
        </w:rPr>
        <w:t>08 DEPLOYMENT OPERATIONS</w:t>
      </w:r>
      <w:r>
        <w:t xml:space="preserve">  -&gt;  </w:t>
      </w:r>
      <w:r>
        <w:rPr>
          <w:b/>
          <w:color w:val="17365D"/>
        </w:rPr>
        <w:t>09 UAT GOLIVE</w:t>
      </w:r>
    </w:p>
    <w:tbl>
      <w:tblPr>
        <w:tblW w:type="auto" w:w="0"/>
        <w:jc w:val="center"/>
        <w:tblLayout w:type="autofit"/>
        <w:tblLook w:firstColumn="1" w:firstRow="1" w:lastColumn="0" w:lastRow="0" w:noHBand="0" w:noVBand="1" w:val="04A0"/>
      </w:tblPr>
      <w:tblGrid>
        <w:gridCol w:w="9994"/>
      </w:tblGrid>
      <w:tr>
        <w:tc>
          <w:tcPr>
            <w:tcW w:type="dxa" w:w="9994"/>
            <w:shd w:fill="FFF4CE"/>
            <w:tcMar>
              <w:top w:w="110" w:type="dxa"/>
              <w:start w:w="140" w:type="dxa"/>
              <w:bottom w:w="110" w:type="dxa"/>
              <w:end w:w="140" w:type="dxa"/>
            </w:tcMar>
          </w:tcPr>
          <w:p>
            <w:pPr>
              <w:spacing w:after="0"/>
            </w:pPr>
            <w:r>
              <w:rPr>
                <w:b/>
                <w:color w:val="9A6700"/>
              </w:rPr>
              <w:t xml:space="preserve">Hard gate: </w:t>
            </w:r>
            <w:r>
              <w:t>The arrow means dependency, not automatic continuation. Every arrow requires verified completion plus explicit user confirmation of the preceding phase.</w:t>
            </w:r>
          </w:p>
        </w:tc>
      </w:tr>
    </w:tbl>
    <w:p>
      <w:pPr>
        <w:spacing w:after="20"/>
      </w:pPr>
    </w:p>
    <w:p>
      <w:pPr>
        <w:pStyle w:val="Heading1"/>
      </w:pPr>
      <w:r>
        <w:t>6. Phase Summary and Exit Criteria</w:t>
      </w:r>
    </w:p>
    <w:p>
      <w:pPr>
        <w:pStyle w:val="Heading2"/>
      </w:pPr>
      <w:r>
        <w:t>Phase 00 - Engineering Foundation and Control Plane Skeleton</w:t>
      </w:r>
    </w:p>
    <w:p>
      <w:r>
        <w:t>Establish the repository, application shell, control-plane architecture, configuration persistence, security baseline, orchestration framework, auditability, help framework and phase-gate workflow before customer-facing Fabric automation is built.</w:t>
      </w:r>
    </w:p>
    <w:p>
      <w:r>
        <w:rPr>
          <w:b/>
        </w:rPr>
        <w:t>Reference: doc/phases/PHASE-00-FOUNDATION.md</w:t>
      </w:r>
      <w:r/>
    </w:p>
    <w:p>
      <w:r>
        <w:rPr>
          <w:b/>
        </w:rPr>
        <w:t>Primary exit evidence: Repository stack and architecture are documented and approved.; Organisation/tenant boundary tests prevent access outside the active organisation context.; A sample long-running workflow can resume and records correlation/audit data..</w:t>
      </w:r>
      <w:r/>
    </w:p>
    <w:p>
      <w:r>
        <w:rPr>
          <w:b/>
          <w:color w:val="2E7D32"/>
        </w:rPr>
        <w:t xml:space="preserve">User completion phrase: </w:t>
      </w:r>
      <w:r>
        <w:t>CONFIRM PHASE 00 COMPLETE</w:t>
      </w:r>
    </w:p>
    <w:p>
      <w:pPr>
        <w:pStyle w:val="Heading2"/>
      </w:pPr>
      <w:r>
        <w:t>Phase 01 - Tenant Onboarding, SSO and Fabric Automation Identity</w:t>
      </w:r>
    </w:p>
    <w:p>
      <w:r>
        <w:t>Allow a customer to sign in securely, establish tenant identity, obtain required tenant-admin consent, register/connect a customer-owned automation identity and verify a backend Fabric token without exposing credentials to the browser.</w:t>
      </w:r>
    </w:p>
    <w:p>
      <w:r>
        <w:rPr>
          <w:b/>
        </w:rPr>
        <w:t>Reference: doc/phases/PHASE-01-IDENTITY.md</w:t>
      </w:r>
      <w:r/>
    </w:p>
    <w:p>
      <w:r>
        <w:rPr>
          <w:b/>
        </w:rPr>
        <w:t xml:space="preserve">Primary exit evidence: </w:t>
      </w:r>
      <w:r>
        <w:t>New customer can sign in and tenant ID is validated.; Admin consent can be re-checked and reflected in the UI.; Automation credential is never returned to browser after save..</w:t>
      </w:r>
    </w:p>
    <w:p>
      <w:r>
        <w:rPr>
          <w:b/>
          <w:color w:val="2E7D32"/>
        </w:rPr>
        <w:t xml:space="preserve">User completion phrase: </w:t>
      </w:r>
      <w:r>
        <w:t>CONFIRM PHASE 01 COMPLETE</w:t>
      </w:r>
    </w:p>
    <w:p>
      <w:pPr>
        <w:pStyle w:val="Heading2"/>
      </w:pPr>
      <w:r>
        <w:t>Phase 02 - Fabric Readiness, Capacity and Workspace Provisioning</w:t>
      </w:r>
    </w:p>
    <w:p>
      <w:r>
        <w:t>Assess customer Fabric readiness, detect blockers, select or provision capacity, create the DEV/TEST/PROD topology, assign capacity and manage approved workspace access with least privilege.</w:t>
      </w:r>
    </w:p>
    <w:p>
      <w:r>
        <w:rPr>
          <w:b/>
        </w:rPr>
        <w:t>Reference: doc/phases/PHASE-02-FABRIC-CORE.md</w:t>
      </w:r>
      <w:r/>
    </w:p>
    <w:p>
      <w:r>
        <w:rPr>
          <w:b/>
        </w:rPr>
        <w:t xml:space="preserve">Primary exit evidence: </w:t>
      </w:r>
      <w:r>
        <w:t>All blocker checks have deterministic pass/fail/unknown states.; Existing workspace/capacity is reused without duplication.; New DEV workspace creation and capacity assignment succeed in test tenant..</w:t>
      </w:r>
    </w:p>
    <w:p>
      <w:r>
        <w:rPr>
          <w:b/>
          <w:color w:val="2E7D32"/>
        </w:rPr>
        <w:t xml:space="preserve">User completion phrase: </w:t>
      </w:r>
      <w:r>
        <w:t>CONFIRM PHASE 02 COMPLETE</w:t>
      </w:r>
    </w:p>
    <w:p>
      <w:pPr>
        <w:pStyle w:val="Heading2"/>
      </w:pPr>
      <w:r>
        <w:t>Phase 03 - Source Connectivity, Gateway and Schema Discovery</w:t>
      </w:r>
    </w:p>
    <w:p>
      <w:r>
        <w:t>Provide a guided source-onboarding experience that registers enterprise sources, creates/tests supported Fabric connections, handles gateway requirements and discovers only the customer-approved source scope.</w:t>
      </w:r>
    </w:p>
    <w:p>
      <w:r>
        <w:rPr>
          <w:b/>
        </w:rPr>
        <w:t>Reference: doc/phases/PHASE-03-SOURCE-CONNECTIVITY.md</w:t>
      </w:r>
      <w:r/>
    </w:p>
    <w:p>
      <w:r>
        <w:rPr>
          <w:b/>
        </w:rPr>
        <w:t xml:space="preserve">Primary exit evidence: </w:t>
      </w:r>
      <w:r>
        <w:t>A supported source can be registered and connection tested.; A failed connection returns a diagnosable error without exposing credentials.; Schema discovery can be refreshed..</w:t>
      </w:r>
    </w:p>
    <w:p>
      <w:r>
        <w:rPr>
          <w:b/>
          <w:color w:val="2E7D32"/>
        </w:rPr>
        <w:t xml:space="preserve">User completion phrase: </w:t>
      </w:r>
      <w:r>
        <w:t>CONFIRM PHASE 03 COMPLETE</w:t>
      </w:r>
    </w:p>
    <w:p>
      <w:pPr>
        <w:pStyle w:val="Heading2"/>
      </w:pPr>
      <w:r>
        <w:t>Phase 04 - Ingestion, Lakehouse and Medallion Data Foundation</w:t>
      </w:r>
    </w:p>
    <w:p>
      <w:r>
        <w:t>Create the Fabric Lakehouse/data foundation and deploy controlled ingestion definitions that land source data into Bronze, support incremental/scheduled execution and establish the path to Silver and Gold.</w:t>
      </w:r>
    </w:p>
    <w:p>
      <w:r>
        <w:rPr>
          <w:b/>
        </w:rPr>
        <w:t>Reference: doc/phases/PHASE-04-INGESTION-LAKEHOUSE.md</w:t>
      </w:r>
      <w:r/>
    </w:p>
    <w:p>
      <w:r>
        <w:rPr>
          <w:b/>
        </w:rPr>
        <w:t xml:space="preserve">Primary exit evidence: </w:t>
      </w:r>
      <w:r>
        <w:t>Initial data lands in Bronze with load/source/run metadata.; Re-running setup does not create duplicate managed artifacts.; Incremental watermark advances only after successful run..</w:t>
      </w:r>
    </w:p>
    <w:p>
      <w:r>
        <w:rPr>
          <w:b/>
          <w:color w:val="2E7D32"/>
        </w:rPr>
        <w:t xml:space="preserve">User completion phrase: </w:t>
      </w:r>
      <w:r>
        <w:t>CONFIRM PHASE 04 COMPLETE</w:t>
      </w:r>
    </w:p>
    <w:p>
      <w:pPr>
        <w:pStyle w:val="Heading2"/>
      </w:pPr>
      <w:r>
        <w:t>Phase 05 - Data Quality, Standardisation and Business Modelling</w:t>
      </w:r>
    </w:p>
    <w:p>
      <w:r>
        <w:t>Turn raw/ingested data into trusted business-ready structures through profiling, approved quality rules, canonical business entities, business keys and explainable model recommendations.</w:t>
      </w:r>
    </w:p>
    <w:p>
      <w:r>
        <w:rPr>
          <w:b/>
        </w:rPr>
        <w:t>Reference: doc/phases/PHASE-05-DATA-QUALITY-MODELLING.md</w:t>
      </w:r>
      <w:r/>
    </w:p>
    <w:p>
      <w:r>
        <w:rPr>
          <w:b/>
        </w:rPr>
        <w:t xml:space="preserve">Primary exit evidence: </w:t>
      </w:r>
      <w:r>
        <w:t>Known duplicate/null defects are detected by test data.; Critical rule can block Gold promotion.; Approved mapping is traceable from source field to canonical field..</w:t>
      </w:r>
    </w:p>
    <w:p>
      <w:r>
        <w:rPr>
          <w:b/>
          <w:color w:val="2E7D32"/>
        </w:rPr>
        <w:t xml:space="preserve">User completion phrase: </w:t>
      </w:r>
      <w:r>
        <w:t>CONFIRM PHASE 05 COMPLETE</w:t>
      </w:r>
    </w:p>
    <w:p>
      <w:pPr>
        <w:pStyle w:val="Heading2"/>
      </w:pPr>
      <w:r>
        <w:t>Phase 06 - Semantic Model, Security and Governance</w:t>
      </w:r>
    </w:p>
    <w:p>
      <w:r>
        <w:t>Generate a governed Power BI semantic layer from approved Gold data, establish certified business meaning, implement row/object-level restrictions and prove that security and lineage are enforced before AI use.</w:t>
      </w:r>
    </w:p>
    <w:p>
      <w:r>
        <w:rPr>
          <w:b/>
        </w:rPr>
        <w:t>Reference: doc/phases/PHASE-06-SEMANTIC-GOVERNANCE.md</w:t>
      </w:r>
      <w:r/>
    </w:p>
    <w:p>
      <w:r>
        <w:rPr>
          <w:b/>
        </w:rPr>
        <w:t xml:space="preserve">Primary exit evidence: </w:t>
      </w:r>
      <w:r>
        <w:t>Semantic model deploys with approved relationships and measures.; Restricted test user cannot access protected objects/data.; Every certified KPI has owner, definition, formula/measure and grain..</w:t>
      </w:r>
    </w:p>
    <w:p>
      <w:r>
        <w:rPr>
          <w:b/>
          <w:color w:val="2E7D32"/>
        </w:rPr>
        <w:t xml:space="preserve">User completion phrase: </w:t>
      </w:r>
      <w:r>
        <w:t>CONFIRM PHASE 06 COMPLETE</w:t>
      </w:r>
    </w:p>
    <w:p>
      <w:pPr>
        <w:pStyle w:val="Heading2"/>
      </w:pPr>
      <w:r>
        <w:t>Phase 07 - AI Readiness, Fabric Data Agent and Validation Centre</w:t>
      </w:r>
    </w:p>
    <w:p>
      <w:r>
        <w:t>Prepare only approved governed data for AI, create/version/configure a Fabric Data Agent, run ground-truth and security regression tests, and publish only after the required validation and user approval.</w:t>
      </w:r>
    </w:p>
    <w:p>
      <w:r>
        <w:rPr>
          <w:b/>
        </w:rPr>
        <w:t>Reference: doc/phases/PHASE-07-AI-DATA-AGENT.md</w:t>
      </w:r>
      <w:r/>
    </w:p>
    <w:p>
      <w:r>
        <w:rPr>
          <w:b/>
        </w:rPr>
        <w:t xml:space="preserve">Primary exit evidence: </w:t>
      </w:r>
      <w:r>
        <w:t>Unapproved semantic objects are absent from generated AI configuration.; Data Agent definition can be backed up and round-tripped.; Ground-truth tests store evidence and score..</w:t>
      </w:r>
    </w:p>
    <w:p>
      <w:r>
        <w:rPr>
          <w:b/>
          <w:color w:val="2E7D32"/>
        </w:rPr>
        <w:t xml:space="preserve">User completion phrase: </w:t>
      </w:r>
      <w:r>
        <w:t>CONFIRM PHASE 07 COMPLETE</w:t>
      </w:r>
    </w:p>
    <w:p>
      <w:pPr>
        <w:pStyle w:val="Heading2"/>
      </w:pPr>
      <w:r>
        <w:t>Phase 08 - Deployment, Operations, Help Centre and Lifecycle Management</w:t>
      </w:r>
    </w:p>
    <w:p>
      <w:r>
        <w:t>Operationalise Semantiq through controlled DEV-TEST-PROD promotion, monitoring, alerting, audit, drift/revalidation management, supportable guided help and safe release controls.</w:t>
      </w:r>
    </w:p>
    <w:p>
      <w:r>
        <w:rPr>
          <w:b/>
        </w:rPr>
        <w:t>Reference: doc/phases/PHASE-08-DEPLOYMENT-OPERATIONS.md</w:t>
      </w:r>
      <w:r/>
    </w:p>
    <w:p>
      <w:r>
        <w:rPr>
          <w:b/>
        </w:rPr>
        <w:t xml:space="preserve">Primary exit evidence: </w:t>
      </w:r>
      <w:r>
        <w:t>Production deployment cannot bypass configured approval.; Failed post-check results in Degraded/Failed state and documented recovery path.; Operations monitor shows representative ingestion/quality/agent signals..</w:t>
      </w:r>
    </w:p>
    <w:p>
      <w:r>
        <w:rPr>
          <w:b/>
          <w:color w:val="2E7D32"/>
        </w:rPr>
        <w:t xml:space="preserve">User completion phrase: </w:t>
      </w:r>
      <w:r>
        <w:t>CONFIRM PHASE 08 COMPLETE</w:t>
      </w:r>
    </w:p>
    <w:p>
      <w:pPr>
        <w:pStyle w:val="Heading2"/>
      </w:pPr>
      <w:r>
        <w:t>Phase 09 - End-to-End UAT, Production Go-Live and Customer Handover</w:t>
      </w:r>
    </w:p>
    <w:p>
      <w:r>
        <w:t>Prove the product as an end-to-end customer journey, verify non-functional and security expectations, obtain formal user acceptance, release the production baseline and hand over operating/support guidance.</w:t>
      </w:r>
    </w:p>
    <w:p>
      <w:r>
        <w:rPr>
          <w:b/>
        </w:rPr>
        <w:t>Reference: doc/phases/PHASE-09-UAT-GOLIVE.md</w:t>
      </w:r>
      <w:r/>
    </w:p>
    <w:p>
      <w:r>
        <w:rPr>
          <w:b/>
        </w:rPr>
        <w:t xml:space="preserve">Primary exit evidence: </w:t>
      </w:r>
      <w:r>
        <w:t>AT-001 through AT-016 are Pass or have explicitly accepted exceptions.; All mandatory NFRs have evidence or approved exception.; No unresolved blocker/critical security issue remains..</w:t>
      </w:r>
    </w:p>
    <w:p>
      <w:r>
        <w:rPr>
          <w:b/>
          <w:color w:val="2E7D32"/>
        </w:rPr>
        <w:t xml:space="preserve">User completion phrase: </w:t>
      </w:r>
      <w:r>
        <w:t>CONFIRM PHASE 09 COMPLETE AND BASELINE ACCEPTED</w:t>
      </w:r>
    </w:p>
    <w:p>
      <w:pPr>
        <w:pStyle w:val="Heading1"/>
      </w:pPr>
      <w:r>
        <w:t>7. Repository Documentation Structure</w:t>
      </w:r>
    </w:p>
    <w:p>
      <w:pPr>
        <w:pStyle w:val="CodePath"/>
      </w:pPr>
      <w:r>
        <w:t>CLAUDE.md - mandatory execution rules for Claude Code</w:t>
      </w:r>
    </w:p>
    <w:p>
      <w:pPr>
        <w:pStyle w:val="CodePath"/>
      </w:pPr>
      <w:r>
        <w:t>doc/MASTER_IMPLEMENTATION_PLAN.md - GitHub-readable master plan</w:t>
      </w:r>
    </w:p>
    <w:p>
      <w:pPr>
        <w:pStyle w:val="CodePath"/>
      </w:pPr>
      <w:r>
        <w:t>IMPLEMENTATION_STATUS.md - single authoritative phase-state file</w:t>
      </w:r>
    </w:p>
    <w:p>
      <w:pPr>
        <w:pStyle w:val="CodePath"/>
      </w:pPr>
      <w:r>
        <w:t>doc/phases/PHASE-00-FOUNDATION.md ... PHASE-09-UAT-GOLIVE.md - phase references</w:t>
      </w:r>
    </w:p>
    <w:p>
      <w:pPr>
        <w:pStyle w:val="CodePath"/>
      </w:pPr>
      <w:r>
        <w:t>doc/reference/SEMANTIQ_SRS_BASELINE.md - Markdown mirror of SRS baseline</w:t>
      </w:r>
    </w:p>
    <w:p>
      <w:pPr>
        <w:pStyle w:val="CodePath"/>
      </w:pPr>
      <w:r>
        <w:t>doc/reference/REQUIREMENT_TRACEABILITY.md - requirement/screen/API mapping to phases</w:t>
      </w:r>
    </w:p>
    <w:p>
      <w:pPr>
        <w:pStyle w:val="CodePath"/>
      </w:pPr>
      <w:r>
        <w:t>doc/reference/API_REGISTER.md - API operation register from SRS</w:t>
      </w:r>
    </w:p>
    <w:p>
      <w:pPr>
        <w:pStyle w:val="CodePath"/>
      </w:pPr>
      <w:r>
        <w:t>doc/reference/HELP_TOPIC_INDEX.md - required guided-help topics</w:t>
      </w:r>
    </w:p>
    <w:p>
      <w:pPr>
        <w:pStyle w:val="CodePath"/>
      </w:pPr>
      <w:r>
        <w:t>doc/execution/PHASE-XX-PLAN.md - created/updated by Claude for current phase</w:t>
      </w:r>
    </w:p>
    <w:p>
      <w:pPr>
        <w:pStyle w:val="CodePath"/>
      </w:pPr>
      <w:r>
        <w:t>doc/execution/PHASE-XX-VERIFICATION.md - evidence produced before user confirmation</w:t>
      </w:r>
    </w:p>
    <w:p>
      <w:pPr>
        <w:pStyle w:val="CodePath"/>
      </w:pPr>
      <w:r>
        <w:t>doc/templates/PHASE_PLAN_TEMPLATE.md, PHASE_VERIFICATION_TEMPLATE.md and DECISION_LOG_TEMPLATE.md - reusable control templates</w:t>
      </w:r>
    </w:p>
    <w:p>
      <w:pPr>
        <w:pStyle w:val="Heading1"/>
      </w:pPr>
      <w:r>
        <w:t>8. Requirement Traceability Rule</w:t>
      </w:r>
    </w:p>
    <w:p>
      <w:r>
        <w:t>Every implemented feature must be traceable to one or more SRS requirement IDs, screen IDs, API IDs, help-topic IDs or acceptance scenarios. Claude Code should include these IDs in planning and verification documents, commit/PR descriptions where practical, and decision records when the implementation deviates from the baseline.</w:t>
      </w:r>
    </w:p>
    <w:p>
      <w:pPr>
        <w:pStyle w:val="Heading1"/>
      </w:pPr>
      <w:r>
        <w:t>9. Microsoft API Freshness Rule</w:t>
      </w:r>
    </w:p>
    <w:p>
      <w:r>
        <w:t>The SRS API register is a baseline reference. Before implementing or changing an integration, Claude Code must verify the current Microsoft documentation for endpoint support, identity support, permissions/scopes, preview/stable status, long-running-operation behavior and limits. A difference must be recorded in the decision log and approved before altering the documented approach.</w:t>
      </w:r>
    </w:p>
    <w:p>
      <w:pPr>
        <w:pStyle w:val="Heading1"/>
      </w:pPr>
      <w:r>
        <w:t>10. Security and Secret Handling Rules</w:t>
      </w:r>
    </w:p>
    <w:p>
      <w:pPr>
        <w:pStyle w:val="ListBullet"/>
      </w:pPr>
      <w:r>
        <w:t>Never commit tenant secrets, certificates/private keys, bearer tokens or production connection credentials to GitHub.</w:t>
      </w:r>
    </w:p>
    <w:p>
      <w:pPr>
        <w:pStyle w:val="ListBullet"/>
      </w:pPr>
      <w:r>
        <w:t>Use environment/secret-manager references; redact secrets from logs, tests, screenshots and support exports.</w:t>
      </w:r>
    </w:p>
    <w:p>
      <w:pPr>
        <w:pStyle w:val="ListBullet"/>
      </w:pPr>
      <w:r>
        <w:t>Do not grant broader Entra/Azure/Fabric roles simply to make automation pass.</w:t>
      </w:r>
    </w:p>
    <w:p>
      <w:pPr>
        <w:pStyle w:val="ListBullet"/>
      </w:pPr>
      <w:r>
        <w:t>Privileged/destructive/production changes require explicit approval and audit evidence.</w:t>
      </w:r>
    </w:p>
    <w:p>
      <w:pPr>
        <w:pStyle w:val="ListBullet"/>
      </w:pPr>
      <w:r>
        <w:t>Tenant isolation and semantic-model security are release-blocking controls, not optional improvements.</w:t>
      </w:r>
    </w:p>
    <w:p>
      <w:pPr>
        <w:pStyle w:val="Heading1"/>
      </w:pPr>
      <w:r>
        <w:t>11. Completion Rule</w:t>
      </w:r>
    </w:p>
    <w:tbl>
      <w:tblPr>
        <w:tblW w:type="auto" w:w="0"/>
        <w:jc w:val="center"/>
        <w:tblLayout w:type="autofit"/>
        <w:tblLook w:firstColumn="1" w:firstRow="1" w:lastColumn="0" w:lastRow="0" w:noHBand="0" w:noVBand="1" w:val="04A0"/>
      </w:tblPr>
      <w:tblGrid>
        <w:gridCol w:w="9994"/>
      </w:tblGrid>
      <w:tr>
        <w:tc>
          <w:tcPr>
            <w:tcW w:type="dxa" w:w="9994"/>
            <w:shd w:fill="E8F5E9"/>
            <w:tcMar>
              <w:top w:w="110" w:type="dxa"/>
              <w:start w:w="140" w:type="dxa"/>
              <w:bottom w:w="110" w:type="dxa"/>
              <w:end w:w="140" w:type="dxa"/>
            </w:tcMar>
          </w:tcPr>
          <w:p>
            <w:pPr>
              <w:spacing w:after="0"/>
            </w:pPr>
            <w:r>
              <w:rPr>
                <w:b/>
                <w:color w:val="2E7D32"/>
              </w:rPr>
              <w:t xml:space="preserve">Baseline complete: </w:t>
            </w:r>
            <w:r>
              <w:t>The implementation baseline is complete only when Phase 09 is verified and the user explicitly sends: CONFIRM PHASE 09 COMPLETE AND BASELINE ACCEPTED</w:t>
            </w:r>
          </w:p>
        </w:tc>
      </w:tr>
    </w:tbl>
    <w:p>
      <w:pPr>
        <w:spacing w:after="20"/>
      </w:pPr>
    </w:p>
    <w:p>
      <w:pPr>
        <w:pStyle w:val="Heading1"/>
      </w:pPr>
      <w:r>
        <w:t>12. AI and Conversational Technology Selection Rule</w:t>
      </w:r>
    </w:p>
    <w:p>
      <w:r>
        <w:t>Any implementation phase that introduces AI, an LLM, RAG, Fabric Data Agent, conversational UI, Copilot Studio, Microsoft Foundry, agent orchestration, MCP or model hosting must read the dedicated Semantiq AI and Conversational AI Technology Selection Reference (AI-TECH-001).</w:t>
      </w:r>
    </w:p>
    <w:tbl>
      <w:tblPr>
        <w:tblW w:type="auto" w:w="0"/>
        <w:jc w:val="center"/>
        <w:tblLook w:firstColumn="1" w:firstRow="1" w:lastColumn="0" w:lastRow="0" w:noHBand="0" w:noVBand="1" w:val="04A0"/>
      </w:tblPr>
      <w:tblGrid>
        <w:gridCol w:w="9994"/>
      </w:tblGrid>
      <w:tr>
        <w:tc>
          <w:tcPr>
            <w:tcW w:type="dxa" w:w="9994"/>
            <w:shd w:fill="DDEFEF"/>
            <w:tcMar>
              <w:top w:w="130" w:type="dxa"/>
              <w:start w:w="160" w:type="dxa"/>
              <w:bottom w:w="130" w:type="dxa"/>
              <w:end w:w="160" w:type="dxa"/>
            </w:tcMar>
          </w:tcPr>
          <w:p>
            <w:pPr>
              <w:spacing w:after="0"/>
            </w:pPr>
            <w:r>
              <w:rPr>
                <w:b/>
                <w:color w:val="00707E"/>
              </w:rPr>
              <w:t>Claude Code gate: Create doc/execution/AI-TECHNOLOGY-DECISION.md, compare the Microsoft-first and open-source options for the exact scenario, re-verify current product/API maturity and obtain explicit user approval before material AI implementation.</w:t>
            </w:r>
            <w:r/>
          </w:p>
        </w:tc>
      </w:tr>
    </w:tbl>
    <w:p/>
    <w:tbl>
      <w:tblPr>
        <w:tblStyle w:val="TableGrid"/>
        <w:tblW w:type="auto" w:w="0"/>
        <w:jc w:val="center"/>
        <w:tblLook w:firstColumn="1" w:firstRow="1" w:lastColumn="0" w:lastRow="0" w:noHBand="0" w:noVBand="1" w:val="04A0"/>
      </w:tblPr>
      <w:tblGrid>
        <w:gridCol w:w="3331"/>
        <w:gridCol w:w="3331"/>
        <w:gridCol w:w="3331"/>
      </w:tblGrid>
      <w:tr>
        <w:tc>
          <w:tcPr>
            <w:tcW w:type="dxa" w:w="2880"/>
            <w:vAlign w:val="center"/>
            <w:tcMar>
              <w:top w:w="90" w:type="dxa"/>
              <w:start w:w="100" w:type="dxa"/>
              <w:bottom w:w="90" w:type="dxa"/>
              <w:end w:w="100" w:type="dxa"/>
            </w:tcMar>
            <w:shd w:fill="1F4E79"/>
          </w:tcPr>
          <w:p>
            <w:pPr>
              <w:spacing w:after="40"/>
            </w:pPr>
            <w:r>
              <w:rPr>
                <w:rFonts w:ascii="Aptos" w:hAnsi="Aptos"/>
                <w:b/>
                <w:color w:val="FFFFFF"/>
                <w:sz w:val="18"/>
              </w:rPr>
              <w:t>Scenario</w:t>
            </w:r>
          </w:p>
        </w:tc>
        <w:tc>
          <w:tcPr>
            <w:tcW w:type="dxa" w:w="3600"/>
            <w:vAlign w:val="center"/>
            <w:tcMar>
              <w:top w:w="90" w:type="dxa"/>
              <w:start w:w="100" w:type="dxa"/>
              <w:bottom w:w="90" w:type="dxa"/>
              <w:end w:w="100" w:type="dxa"/>
            </w:tcMar>
            <w:shd w:fill="1F4E79"/>
          </w:tcPr>
          <w:p>
            <w:pPr>
              <w:spacing w:after="40"/>
            </w:pPr>
            <w:r>
              <w:rPr>
                <w:rFonts w:ascii="Aptos" w:hAnsi="Aptos"/>
                <w:b/>
                <w:color w:val="FFFFFF"/>
                <w:sz w:val="18"/>
              </w:rPr>
              <w:t>Default Microsoft evaluation</w:t>
            </w:r>
          </w:p>
        </w:tc>
        <w:tc>
          <w:tcPr>
            <w:tcW w:type="dxa" w:w="3888"/>
            <w:vAlign w:val="center"/>
            <w:tcMar>
              <w:top w:w="90" w:type="dxa"/>
              <w:start w:w="100" w:type="dxa"/>
              <w:bottom w:w="90" w:type="dxa"/>
              <w:end w:w="100" w:type="dxa"/>
            </w:tcMar>
            <w:shd w:fill="1F4E79"/>
          </w:tcPr>
          <w:p>
            <w:pPr>
              <w:spacing w:after="40"/>
            </w:pPr>
            <w:r>
              <w:rPr>
                <w:rFonts w:ascii="Aptos" w:hAnsi="Aptos"/>
                <w:b/>
                <w:color w:val="FFFFFF"/>
                <w:sz w:val="18"/>
              </w:rPr>
              <w:t>Open-source alternative</w:t>
            </w:r>
          </w:p>
        </w:tc>
      </w:tr>
      <w:tr>
        <w:tc>
          <w:tcPr>
            <w:tcW w:type="dxa" w:w="2880"/>
            <w:vAlign w:val="center"/>
            <w:tcMar>
              <w:top w:w="90" w:type="dxa"/>
              <w:start w:w="100" w:type="dxa"/>
              <w:bottom w:w="90" w:type="dxa"/>
              <w:end w:w="100" w:type="dxa"/>
            </w:tcMar>
          </w:tcPr>
          <w:p>
            <w:pPr>
              <w:spacing w:after="40"/>
            </w:pPr>
            <w:r>
              <w:rPr>
                <w:rFonts w:ascii="Aptos" w:hAnsi="Aptos"/>
                <w:sz w:val="18"/>
              </w:rPr>
              <w:t>Structured Fabric Q&amp;A</w:t>
            </w:r>
          </w:p>
        </w:tc>
        <w:tc>
          <w:tcPr>
            <w:tcW w:type="dxa" w:w="3600"/>
            <w:vAlign w:val="center"/>
            <w:tcMar>
              <w:top w:w="90" w:type="dxa"/>
              <w:start w:w="100" w:type="dxa"/>
              <w:bottom w:w="90" w:type="dxa"/>
              <w:end w:w="100" w:type="dxa"/>
            </w:tcMar>
          </w:tcPr>
          <w:p>
            <w:pPr>
              <w:spacing w:after="40"/>
            </w:pPr>
            <w:r>
              <w:rPr>
                <w:rFonts w:ascii="Aptos" w:hAnsi="Aptos"/>
                <w:sz w:val="18"/>
              </w:rPr>
              <w:t>Fabric Data Agent / Fabric IQ</w:t>
            </w:r>
          </w:p>
        </w:tc>
        <w:tc>
          <w:tcPr>
            <w:tcW w:type="dxa" w:w="3888"/>
            <w:vAlign w:val="center"/>
            <w:tcMar>
              <w:top w:w="90" w:type="dxa"/>
              <w:start w:w="100" w:type="dxa"/>
              <w:bottom w:w="90" w:type="dxa"/>
              <w:end w:w="100" w:type="dxa"/>
            </w:tcMar>
          </w:tcPr>
          <w:p>
            <w:pPr>
              <w:spacing w:after="40"/>
            </w:pPr>
            <w:r>
              <w:rPr>
                <w:rFonts w:ascii="Aptos" w:hAnsi="Aptos"/>
                <w:sz w:val="18"/>
              </w:rPr>
              <w:t>Custom governed MAF/LangGraph integration</w:t>
            </w:r>
          </w:p>
        </w:tc>
      </w:tr>
      <w:tr>
        <w:tc>
          <w:tcPr>
            <w:tcW w:type="dxa" w:w="2880"/>
            <w:vAlign w:val="center"/>
            <w:tcMar>
              <w:top w:w="90" w:type="dxa"/>
              <w:start w:w="100" w:type="dxa"/>
              <w:bottom w:w="90" w:type="dxa"/>
              <w:end w:w="100" w:type="dxa"/>
            </w:tcMar>
          </w:tcPr>
          <w:p>
            <w:pPr>
              <w:spacing w:after="40"/>
            </w:pPr>
            <w:r>
              <w:rPr>
                <w:rFonts w:ascii="Aptos" w:hAnsi="Aptos"/>
                <w:sz w:val="18"/>
              </w:rPr>
              <w:t>Teams/M365/low-code conversation</w:t>
            </w:r>
          </w:p>
        </w:tc>
        <w:tc>
          <w:tcPr>
            <w:tcW w:type="dxa" w:w="3600"/>
            <w:vAlign w:val="center"/>
            <w:tcMar>
              <w:top w:w="90" w:type="dxa"/>
              <w:start w:w="100" w:type="dxa"/>
              <w:bottom w:w="90" w:type="dxa"/>
              <w:end w:w="100" w:type="dxa"/>
            </w:tcMar>
          </w:tcPr>
          <w:p>
            <w:pPr>
              <w:spacing w:after="40"/>
            </w:pPr>
            <w:r>
              <w:rPr>
                <w:rFonts w:ascii="Aptos" w:hAnsi="Aptos"/>
                <w:sz w:val="18"/>
              </w:rPr>
              <w:t>Copilot Studio + Fabric Data Agent</w:t>
            </w:r>
          </w:p>
        </w:tc>
        <w:tc>
          <w:tcPr>
            <w:tcW w:type="dxa" w:w="3888"/>
            <w:vAlign w:val="center"/>
            <w:tcMar>
              <w:top w:w="90" w:type="dxa"/>
              <w:start w:w="100" w:type="dxa"/>
              <w:bottom w:w="90" w:type="dxa"/>
              <w:end w:w="100" w:type="dxa"/>
            </w:tcMar>
          </w:tcPr>
          <w:p>
            <w:pPr>
              <w:spacing w:after="40"/>
            </w:pPr>
            <w:r>
              <w:rPr>
                <w:rFonts w:ascii="Aptos" w:hAnsi="Aptos"/>
                <w:sz w:val="18"/>
              </w:rPr>
              <w:t>Custom channel integration</w:t>
            </w:r>
          </w:p>
        </w:tc>
      </w:tr>
      <w:tr>
        <w:tc>
          <w:tcPr>
            <w:tcW w:type="dxa" w:w="2880"/>
            <w:vAlign w:val="center"/>
            <w:tcMar>
              <w:top w:w="90" w:type="dxa"/>
              <w:start w:w="100" w:type="dxa"/>
              <w:bottom w:w="90" w:type="dxa"/>
              <w:end w:w="100" w:type="dxa"/>
            </w:tcMar>
          </w:tcPr>
          <w:p>
            <w:pPr>
              <w:spacing w:after="40"/>
            </w:pPr>
            <w:r>
              <w:rPr>
                <w:rFonts w:ascii="Aptos" w:hAnsi="Aptos"/>
                <w:sz w:val="18"/>
              </w:rPr>
              <w:t>Custom coded agent workflow</w:t>
            </w:r>
          </w:p>
        </w:tc>
        <w:tc>
          <w:tcPr>
            <w:tcW w:type="dxa" w:w="3600"/>
            <w:vAlign w:val="center"/>
            <w:tcMar>
              <w:top w:w="90" w:type="dxa"/>
              <w:start w:w="100" w:type="dxa"/>
              <w:bottom w:w="90" w:type="dxa"/>
              <w:end w:w="100" w:type="dxa"/>
            </w:tcMar>
          </w:tcPr>
          <w:p>
            <w:pPr>
              <w:spacing w:after="40"/>
            </w:pPr>
            <w:r>
              <w:rPr>
                <w:rFonts w:ascii="Aptos" w:hAnsi="Aptos"/>
                <w:sz w:val="18"/>
              </w:rPr>
              <w:t>Microsoft Agent Framework + Foundry Agent Service</w:t>
            </w:r>
          </w:p>
        </w:tc>
        <w:tc>
          <w:tcPr>
            <w:tcW w:type="dxa" w:w="3888"/>
            <w:vAlign w:val="center"/>
            <w:tcMar>
              <w:top w:w="90" w:type="dxa"/>
              <w:start w:w="100" w:type="dxa"/>
              <w:bottom w:w="90" w:type="dxa"/>
              <w:end w:w="100" w:type="dxa"/>
            </w:tcMar>
          </w:tcPr>
          <w:p>
            <w:pPr>
              <w:spacing w:after="40"/>
            </w:pPr>
            <w:r>
              <w:rPr>
                <w:rFonts w:ascii="Aptos" w:hAnsi="Aptos"/>
                <w:sz w:val="18"/>
              </w:rPr>
              <w:t>LangGraph</w:t>
            </w:r>
          </w:p>
        </w:tc>
      </w:tr>
      <w:tr>
        <w:tc>
          <w:tcPr>
            <w:tcW w:type="dxa" w:w="2880"/>
            <w:vAlign w:val="center"/>
            <w:tcMar>
              <w:top w:w="90" w:type="dxa"/>
              <w:start w:w="100" w:type="dxa"/>
              <w:bottom w:w="90" w:type="dxa"/>
              <w:end w:w="100" w:type="dxa"/>
            </w:tcMar>
          </w:tcPr>
          <w:p>
            <w:pPr>
              <w:spacing w:after="40"/>
            </w:pPr>
            <w:r>
              <w:rPr>
                <w:rFonts w:ascii="Aptos" w:hAnsi="Aptos"/>
                <w:sz w:val="18"/>
              </w:rPr>
              <w:t>Unstructured enterprise RAG</w:t>
            </w:r>
          </w:p>
        </w:tc>
        <w:tc>
          <w:tcPr>
            <w:tcW w:type="dxa" w:w="3600"/>
            <w:vAlign w:val="center"/>
            <w:tcMar>
              <w:top w:w="90" w:type="dxa"/>
              <w:start w:w="100" w:type="dxa"/>
              <w:bottom w:w="90" w:type="dxa"/>
              <w:end w:w="100" w:type="dxa"/>
            </w:tcMar>
          </w:tcPr>
          <w:p>
            <w:pPr>
              <w:spacing w:after="40"/>
            </w:pPr>
            <w:r>
              <w:rPr>
                <w:rFonts w:ascii="Aptos" w:hAnsi="Aptos"/>
                <w:sz w:val="18"/>
              </w:rPr>
              <w:t>Foundry IQ / Azure AI Search</w:t>
            </w:r>
          </w:p>
        </w:tc>
        <w:tc>
          <w:tcPr>
            <w:tcW w:type="dxa" w:w="3888"/>
            <w:vAlign w:val="center"/>
            <w:tcMar>
              <w:top w:w="90" w:type="dxa"/>
              <w:start w:w="100" w:type="dxa"/>
              <w:bottom w:w="90" w:type="dxa"/>
              <w:end w:w="100" w:type="dxa"/>
            </w:tcMar>
          </w:tcPr>
          <w:p>
            <w:pPr>
              <w:spacing w:after="40"/>
            </w:pPr>
            <w:r>
              <w:rPr>
                <w:rFonts w:ascii="Aptos" w:hAnsi="Aptos"/>
                <w:sz w:val="18"/>
              </w:rPr>
              <w:t>LlamaIndex + approved vector/search store</w:t>
            </w:r>
          </w:p>
        </w:tc>
      </w:tr>
      <w:tr>
        <w:tc>
          <w:tcPr>
            <w:tcW w:type="dxa" w:w="2880"/>
            <w:vAlign w:val="center"/>
            <w:tcMar>
              <w:top w:w="90" w:type="dxa"/>
              <w:start w:w="100" w:type="dxa"/>
              <w:bottom w:w="90" w:type="dxa"/>
              <w:end w:w="100" w:type="dxa"/>
            </w:tcMar>
          </w:tcPr>
          <w:p>
            <w:pPr>
              <w:spacing w:after="40"/>
            </w:pPr>
            <w:r>
              <w:rPr>
                <w:rFonts w:ascii="Aptos" w:hAnsi="Aptos"/>
                <w:sz w:val="18"/>
              </w:rPr>
              <w:t>Self-hosted model inference</w:t>
            </w:r>
          </w:p>
        </w:tc>
        <w:tc>
          <w:tcPr>
            <w:tcW w:type="dxa" w:w="3600"/>
            <w:vAlign w:val="center"/>
            <w:tcMar>
              <w:top w:w="90" w:type="dxa"/>
              <w:start w:w="100" w:type="dxa"/>
              <w:bottom w:w="90" w:type="dxa"/>
              <w:end w:w="100" w:type="dxa"/>
            </w:tcMar>
          </w:tcPr>
          <w:p>
            <w:pPr>
              <w:spacing w:after="40"/>
            </w:pPr>
            <w:r>
              <w:rPr>
                <w:rFonts w:ascii="Aptos" w:hAnsi="Aptos"/>
                <w:sz w:val="18"/>
              </w:rPr>
              <w:t>Foundry model if permitted</w:t>
            </w:r>
          </w:p>
        </w:tc>
        <w:tc>
          <w:tcPr>
            <w:tcW w:type="dxa" w:w="3888"/>
            <w:vAlign w:val="center"/>
            <w:tcMar>
              <w:top w:w="90" w:type="dxa"/>
              <w:start w:w="100" w:type="dxa"/>
              <w:bottom w:w="90" w:type="dxa"/>
              <w:end w:w="100" w:type="dxa"/>
            </w:tcMar>
          </w:tcPr>
          <w:p>
            <w:pPr>
              <w:spacing w:after="40"/>
            </w:pPr>
            <w:r>
              <w:rPr>
                <w:rFonts w:ascii="Aptos" w:hAnsi="Aptos"/>
                <w:sz w:val="18"/>
              </w:rPr>
              <w:t>vLLM; Ollama for local/POC</w:t>
            </w:r>
          </w:p>
        </w:tc>
      </w:tr>
    </w:tbl>
    <w:p>
      <w:r>
        <w:t>Deterministic Fabric provisioning and configuration remain validated API/workflow operations; they are not delegated to an LLM. The full selection matrix, controls and current reference URLs are maintained in AI-TECH-001 and the GitHub file doc/reference/AI_CONVERSATIONAL_TECHNOLOGY_GUIDE.md.</w:t>
      </w:r>
    </w:p>
    <w:p>
      <w:r>
        <w:br w:type="page"/>
      </w:r>
    </w:p>
    <w:p>
      <w:pPr>
        <w:pStyle w:val="Heading1"/>
      </w:pPr>
      <w:r>
        <w:t>Mandatory Cross-Cutting Standard: Data Protection, Sovereignty &amp; Engineering Context</w:t>
      </w:r>
    </w:p>
    <w:p>
      <w:r>
        <w:t>Package v1.3 makes data protection, data sovereignty and durable engineering context mandatory phase-gate requirements. Claude Code must use the dedicated reference and keep the context registers synchronized with the implementation.</w:t>
      </w:r>
    </w:p>
    <w:p>
      <w:pPr>
        <w:pStyle w:val="ListBullet"/>
      </w:pPr>
      <w:r>
        <w:t>Customer-approved storage and processing geographies are captured before production Fabric provisioning.</w:t>
      </w:r>
    </w:p>
    <w:p>
      <w:pPr>
        <w:pStyle w:val="ListBullet"/>
      </w:pPr>
      <w:r>
        <w:t>Cross-geo Fabric/AI processing, storage and conversation-history settings are deny-by-default and require explicit approval when needed.</w:t>
      </w:r>
    </w:p>
    <w:p>
      <w:pPr>
        <w:pStyle w:val="ListBullet"/>
      </w:pPr>
      <w:r>
        <w:t>Every phase plan and verification includes classification, region, network, encryption, Purview/DLP, retention and logging implications as applicable.</w:t>
      </w:r>
    </w:p>
    <w:p>
      <w:pPr>
        <w:pStyle w:val="ListBullet"/>
      </w:pPr>
      <w:r>
        <w:t>Code, Data, Validation, Configuration and Sovereignty context registers are updated in the same change as behavior.</w:t>
      </w:r>
    </w:p>
    <w:p>
      <w:pPr>
        <w:pStyle w:val="ListBullet"/>
      </w:pPr>
      <w:r>
        <w:t>A phase cannot be confirmed when security/sovereignty evidence is missing or context is stale.</w:t>
      </w:r>
    </w:p>
    <w:tbl>
      <w:tblPr>
        <w:tblStyle w:val="TableGrid"/>
        <w:tblW w:type="auto" w:w="0"/>
        <w:jc w:val="center"/>
        <w:tblLook w:firstColumn="1" w:firstRow="1" w:lastColumn="0" w:lastRow="0" w:noHBand="0" w:noVBand="1" w:val="04A0"/>
      </w:tblPr>
      <w:tblGrid>
        <w:gridCol w:w="4997"/>
        <w:gridCol w:w="4997"/>
      </w:tblGrid>
      <w:tr>
        <w:tc>
          <w:tcPr>
            <w:tcW w:type="dxa" w:w="3456"/>
            <w:shd w:fill="D9EAF7"/>
            <w:vAlign w:val="center"/>
            <w:tcMar>
              <w:top w:w="90" w:type="dxa"/>
              <w:start w:w="90" w:type="dxa"/>
              <w:bottom w:w="90" w:type="dxa"/>
              <w:end w:w="90" w:type="dxa"/>
            </w:tcMar>
          </w:tcPr>
          <w:p>
            <w:r>
              <w:rPr>
                <w:b/>
              </w:rPr>
              <w:t>Reference</w:t>
            </w:r>
          </w:p>
        </w:tc>
        <w:tc>
          <w:tcPr>
            <w:tcW w:type="dxa" w:w="6048"/>
            <w:shd w:fill="D9EAF7"/>
            <w:vAlign w:val="center"/>
            <w:tcMar>
              <w:top w:w="90" w:type="dxa"/>
              <w:start w:w="90" w:type="dxa"/>
              <w:bottom w:w="90" w:type="dxa"/>
              <w:end w:w="90" w:type="dxa"/>
            </w:tcMar>
          </w:tcPr>
          <w:p>
            <w:r>
              <w:rPr>
                <w:b/>
              </w:rPr>
              <w:t>Repository location</w:t>
            </w:r>
          </w:p>
        </w:tc>
      </w:tr>
      <w:tr>
        <w:tc>
          <w:tcPr>
            <w:tcW w:type="dxa" w:w="3456"/>
            <w:vAlign w:val="center"/>
            <w:tcMar>
              <w:top w:w="80" w:type="dxa"/>
              <w:start w:w="90" w:type="dxa"/>
              <w:bottom w:w="80" w:type="dxa"/>
              <w:end w:w="90" w:type="dxa"/>
            </w:tcMar>
          </w:tcPr>
          <w:p>
            <w:r>
              <w:t>Data Protection, Sovereignty &amp; Context Standard</w:t>
            </w:r>
          </w:p>
        </w:tc>
        <w:tc>
          <w:tcPr>
            <w:tcW w:type="dxa" w:w="6048"/>
            <w:vAlign w:val="center"/>
            <w:tcMar>
              <w:top w:w="80" w:type="dxa"/>
              <w:start w:w="90" w:type="dxa"/>
              <w:bottom w:w="80" w:type="dxa"/>
              <w:end w:w="90" w:type="dxa"/>
            </w:tcMar>
          </w:tcPr>
          <w:p>
            <w:r>
              <w:t>doc/reference/DATA_PROTECTION_SOVEREIGNTY_STANDARD.md</w:t>
            </w:r>
          </w:p>
        </w:tc>
      </w:tr>
      <w:tr>
        <w:tc>
          <w:tcPr>
            <w:tcW w:type="dxa" w:w="3456"/>
            <w:vAlign w:val="center"/>
            <w:tcMar>
              <w:top w:w="80" w:type="dxa"/>
              <w:start w:w="90" w:type="dxa"/>
              <w:bottom w:w="80" w:type="dxa"/>
              <w:end w:w="90" w:type="dxa"/>
            </w:tcMar>
          </w:tcPr>
          <w:p>
            <w:r>
              <w:t>Engineering Context Index</w:t>
            </w:r>
          </w:p>
        </w:tc>
        <w:tc>
          <w:tcPr>
            <w:tcW w:type="dxa" w:w="6048"/>
            <w:vAlign w:val="center"/>
            <w:tcMar>
              <w:top w:w="80" w:type="dxa"/>
              <w:start w:w="90" w:type="dxa"/>
              <w:bottom w:w="80" w:type="dxa"/>
              <w:end w:w="90" w:type="dxa"/>
            </w:tcMar>
          </w:tcPr>
          <w:p>
            <w:r>
              <w:t>doc/context/CONTEXT_INDEX.md</w:t>
            </w:r>
          </w:p>
        </w:tc>
      </w:tr>
      <w:tr>
        <w:tc>
          <w:tcPr>
            <w:tcW w:type="dxa" w:w="3456"/>
            <w:vAlign w:val="center"/>
            <w:tcMar>
              <w:top w:w="80" w:type="dxa"/>
              <w:start w:w="90" w:type="dxa"/>
              <w:bottom w:w="80" w:type="dxa"/>
              <w:end w:w="90" w:type="dxa"/>
            </w:tcMar>
          </w:tcPr>
          <w:p>
            <w:r>
              <w:t>Code Context</w:t>
            </w:r>
          </w:p>
        </w:tc>
        <w:tc>
          <w:tcPr>
            <w:tcW w:type="dxa" w:w="6048"/>
            <w:vAlign w:val="center"/>
            <w:tcMar>
              <w:top w:w="80" w:type="dxa"/>
              <w:start w:w="90" w:type="dxa"/>
              <w:bottom w:w="80" w:type="dxa"/>
              <w:end w:w="90" w:type="dxa"/>
            </w:tcMar>
          </w:tcPr>
          <w:p>
            <w:r>
              <w:t>doc/context/CODE_CONTEXT_REGISTER.md</w:t>
            </w:r>
          </w:p>
        </w:tc>
      </w:tr>
      <w:tr>
        <w:tc>
          <w:tcPr>
            <w:tcW w:type="dxa" w:w="3456"/>
            <w:vAlign w:val="center"/>
            <w:tcMar>
              <w:top w:w="80" w:type="dxa"/>
              <w:start w:w="90" w:type="dxa"/>
              <w:bottom w:w="80" w:type="dxa"/>
              <w:end w:w="90" w:type="dxa"/>
            </w:tcMar>
          </w:tcPr>
          <w:p>
            <w:r>
              <w:t>Data Context</w:t>
            </w:r>
          </w:p>
        </w:tc>
        <w:tc>
          <w:tcPr>
            <w:tcW w:type="dxa" w:w="6048"/>
            <w:vAlign w:val="center"/>
            <w:tcMar>
              <w:top w:w="80" w:type="dxa"/>
              <w:start w:w="90" w:type="dxa"/>
              <w:bottom w:w="80" w:type="dxa"/>
              <w:end w:w="90" w:type="dxa"/>
            </w:tcMar>
          </w:tcPr>
          <w:p>
            <w:r>
              <w:t>doc/context/DATA_CONTEXT_REGISTER.md</w:t>
            </w:r>
          </w:p>
        </w:tc>
      </w:tr>
      <w:tr>
        <w:tc>
          <w:tcPr>
            <w:tcW w:type="dxa" w:w="3456"/>
            <w:vAlign w:val="center"/>
            <w:tcMar>
              <w:top w:w="80" w:type="dxa"/>
              <w:start w:w="90" w:type="dxa"/>
              <w:bottom w:w="80" w:type="dxa"/>
              <w:end w:w="90" w:type="dxa"/>
            </w:tcMar>
          </w:tcPr>
          <w:p>
            <w:r>
              <w:t>Validation Rules</w:t>
            </w:r>
          </w:p>
        </w:tc>
        <w:tc>
          <w:tcPr>
            <w:tcW w:type="dxa" w:w="6048"/>
            <w:vAlign w:val="center"/>
            <w:tcMar>
              <w:top w:w="80" w:type="dxa"/>
              <w:start w:w="90" w:type="dxa"/>
              <w:bottom w:w="80" w:type="dxa"/>
              <w:end w:w="90" w:type="dxa"/>
            </w:tcMar>
          </w:tcPr>
          <w:p>
            <w:r>
              <w:t>doc/context/VALIDATION_RULES_REGISTER.md</w:t>
            </w:r>
          </w:p>
        </w:tc>
      </w:tr>
      <w:tr>
        <w:tc>
          <w:tcPr>
            <w:tcW w:type="dxa" w:w="3456"/>
            <w:vAlign w:val="center"/>
            <w:tcMar>
              <w:top w:w="80" w:type="dxa"/>
              <w:start w:w="90" w:type="dxa"/>
              <w:bottom w:w="80" w:type="dxa"/>
              <w:end w:w="90" w:type="dxa"/>
            </w:tcMar>
          </w:tcPr>
          <w:p>
            <w:r>
              <w:t>Configuration</w:t>
            </w:r>
          </w:p>
        </w:tc>
        <w:tc>
          <w:tcPr>
            <w:tcW w:type="dxa" w:w="6048"/>
            <w:vAlign w:val="center"/>
            <w:tcMar>
              <w:top w:w="80" w:type="dxa"/>
              <w:start w:w="90" w:type="dxa"/>
              <w:bottom w:w="80" w:type="dxa"/>
              <w:end w:w="90" w:type="dxa"/>
            </w:tcMar>
          </w:tcPr>
          <w:p>
            <w:r>
              <w:t>doc/context/CONFIGURATION_REGISTER.md</w:t>
            </w:r>
          </w:p>
        </w:tc>
      </w:tr>
      <w:tr>
        <w:tc>
          <w:tcPr>
            <w:tcW w:type="dxa" w:w="3456"/>
            <w:vAlign w:val="center"/>
            <w:tcMar>
              <w:top w:w="80" w:type="dxa"/>
              <w:start w:w="90" w:type="dxa"/>
              <w:bottom w:w="80" w:type="dxa"/>
              <w:end w:w="90" w:type="dxa"/>
            </w:tcMar>
          </w:tcPr>
          <w:p>
            <w:r>
              <w:t>Data Sovereignty</w:t>
            </w:r>
          </w:p>
        </w:tc>
        <w:tc>
          <w:tcPr>
            <w:tcW w:type="dxa" w:w="6048"/>
            <w:vAlign w:val="center"/>
            <w:tcMar>
              <w:top w:w="80" w:type="dxa"/>
              <w:start w:w="90" w:type="dxa"/>
              <w:bottom w:w="80" w:type="dxa"/>
              <w:end w:w="90" w:type="dxa"/>
            </w:tcMar>
          </w:tcPr>
          <w:p>
            <w:r>
              <w:t>doc/context/DATA_SOVEREIGNTY_REGISTER.md</w:t>
            </w:r>
          </w:p>
        </w:tc>
      </w:tr>
    </w:tbl>
    <w:p/>
    <w:p>
      <w:r>
        <w:br w:type="page"/>
      </w:r>
    </w:p>
    <w:p>
      <w:pPr>
        <w:pStyle w:val="Heading1"/>
      </w:pPr>
      <w:r>
        <w:t>Repository Alignment Addendum v1.3</w:t>
      </w:r>
    </w:p>
    <w:p>
      <w:pPr>
        <w:pStyle w:val="Heading2"/>
      </w:pPr>
      <w:r>
        <w:t>Repository baseline</w:t>
      </w:r>
    </w:p>
    <w:p>
      <w:r>
        <w:t>Use the existing SemantIQ repository as the base. Canonical documentation lives under doc/. The confirmed primary stack is Laravel 13/PHP 8.5, React 19, MySQL on cPanel and modular-monolith architecture.</w:t>
      </w:r>
    </w:p>
    <w:p>
      <w:pPr>
        <w:pStyle w:val="Heading2"/>
      </w:pPr>
      <w:r>
        <w:t>Tenancy and phase boundaries</w:t>
      </w:r>
    </w:p>
    <w:p>
      <w:r>
        <w:t>Current deployment is single-customer per application instance. Preserve organisation/tenant scope for customer-owned records so future multi-tenant enablement remains possible. Shared multi-customer SaaS tenancy is outside current scope unless separately approved.</w:t>
      </w:r>
    </w:p>
    <w:p>
      <w:pPr>
        <w:pStyle w:val="Heading2"/>
      </w:pPr>
      <w:r>
        <w:t>Deployment baseline</w:t>
      </w:r>
    </w:p>
    <w:p>
      <w:r>
        <w:t>main is the only long-lived Git deploy branch and deploys live. Use short-lived review branches when needed. Fabric DEV/TEST/PROD workspaces are Fabric environments, not a Git branch promotion chain.</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B6573"/>
        <w:sz w:val="16"/>
      </w:rPr>
      <w:t xml:space="preserve">Semantiq Phased Implementation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ans" w:hAnsi="Liberation San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2A7F8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Liberation Sans" w:hAnsi="Liberation Sans"/>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Liberation Sans" w:hAnsi="Liberation Sans"/>
      <w:b w:val="0"/>
      <w:i/>
      <w:iCs/>
      <w:color w:val="2A7F8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Path">
    <w:name w:val="Code Path"/>
    <w:pPr>
      <w:spacing w:after="60"/>
      <w:ind w:left="259"/>
    </w:pPr>
    <w:rPr>
      <w:rFonts w:ascii="Liberation Mono" w:hAnsi="Liberation Mono"/>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