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CLaaS2SaaS SemantIQ — Mockup Screen Curation</w:t>
      </w:r>
    </w:p>
    <w:p>
      <w:r>
        <w:rPr>
          <w:b/>
        </w:rPr>
        <w:t>Document ID:</w:t>
      </w:r>
      <w:r>
        <w:t xml:space="preserve"> 05-Mockup-Screen-Curation</w:t>
      </w:r>
    </w:p>
    <w:p>
      <w:r>
        <w:rPr>
          <w:b/>
        </w:rPr>
        <w:t>Derived from:</w:t>
      </w:r>
      <w:r>
        <w:t xml:space="preserve"> 04-UI-Specification</w:t>
      </w:r>
    </w:p>
    <w:p>
      <w:r>
        <w:rPr>
          <w:b/>
        </w:rPr>
        <w:t>Interactive mockup:</w:t>
      </w:r>
      <w:r>
        <w:t xml:space="preserve"> </w:t>
      </w:r>
      <w:r>
        <w:rPr>
          <w:rFonts w:ascii="Consolas" w:hAnsi="Consolas"/>
        </w:rPr>
        <w:t>doc/mockups/semantiq-shell-mockup.html</w:t>
      </w:r>
    </w:p>
    <w:p>
      <w:r>
        <w:rPr>
          <w:b/>
        </w:rPr>
        <w:t>Status:</w:t>
      </w:r>
      <w:r>
        <w:t xml:space="preserve"> Draft for review</w:t>
      </w:r>
    </w:p>
    <w:p>
      <w:pPr>
        <w:pStyle w:val="Heading2"/>
      </w:pPr>
      <w:r>
        <w:t>1. There is no visual direction to choose</w:t>
      </w:r>
    </w:p>
    <w:p>
      <w:r>
        <w:t xml:space="preserve">The look and feel is already approved. This document curates </w:t>
      </w:r>
      <w:r>
        <w:rPr>
          <w:b/>
        </w:rPr>
        <w:t>which approved archetype and components each screen uses, and why</w:t>
      </w:r>
      <w:r>
        <w:t xml:space="preserve"> — it does not propose a style, a palette, a font or a layout. The accompanying HTML mockup is built as a real instance of the approved design system in both themes, not as a placeholder theme to be re-skinned.</w:t>
      </w:r>
    </w:p>
    <w:p>
      <w:r>
        <w:rPr>
          <w:b/>
        </w:rPr>
        <w:t>Asset status:</w:t>
      </w:r>
      <w:r>
        <w:t xml:space="preserve"> the approved per-theme wordmark, short mark and favicons are present on branch </w:t>
      </w:r>
      <w:r>
        <w:rPr>
          <w:rFonts w:ascii="Consolas" w:hAnsi="Consolas"/>
        </w:rPr>
        <w:t>DEV</w:t>
      </w:r>
      <w:r>
        <w:t xml:space="preserve"> at </w:t>
      </w:r>
      <w:r>
        <w:rPr>
          <w:rFonts w:ascii="Consolas" w:hAnsi="Consolas"/>
        </w:rPr>
        <w:t>.claude/skills/ui-ux-design/assets/</w:t>
      </w:r>
      <w:r>
        <w:t xml:space="preserve"> (verified). The mockup still renders a marked text placeholder in the brand block, because the authoritative copy and the</w:t>
      </w:r>
    </w:p>
    <w:p>
      <w:r>
        <w:rPr>
          <w:rFonts w:ascii="Consolas" w:hAnsi="Consolas"/>
        </w:rPr>
        <w:t>&lt;BRAND_ASSETS_PATH&gt;</w:t>
      </w:r>
      <w:r>
        <w:t xml:space="preserve"> install location are not yet confirmed and </w:t>
      </w:r>
      <w:r>
        <w:rPr>
          <w:rFonts w:ascii="Consolas" w:hAnsi="Consolas"/>
        </w:rPr>
        <w:t>ui-ux-quality.md</w:t>
      </w:r>
      <w:r>
        <w:t xml:space="preserve"> requires that path to be asked for rather than chosen. Confirm both and the placeholder is replaced.</w:t>
      </w:r>
    </w:p>
    <w:p>
      <w:pPr>
        <w:pStyle w:val="Heading2"/>
      </w:pPr>
      <w:r>
        <w:t>2. Curated screens</w:t>
      </w:r>
    </w:p>
    <w:p>
      <w:r>
        <w:t>Fourteen screens carry the product. Each row states why its archetype was chosen and what was deliberately left out. Shell, state, accessibility and device behaviour are specified in full in 04-UI-Specification and are cited rather than repeated.</w:t>
      </w:r>
    </w:p>
    <w:tbl>
      <w:tblPr>
        <w:tblStyle w:val="TableGrid"/>
        <w:tblW w:type="auto" w:w="0"/>
        <w:tblLayout w:type="autofit"/>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tc>
          <w:tcPr>
            <w:tcW w:type="dxa" w:w="1399"/>
          </w:tcPr>
          <w:p>
            <w:pPr>
              <w:spacing w:after="40"/>
            </w:pPr>
            <w:r>
              <w:rPr>
                <w:b/>
              </w:rPr>
              <w:t>Screen Name</w:t>
            </w:r>
          </w:p>
        </w:tc>
        <w:tc>
          <w:tcPr>
            <w:tcW w:type="dxa" w:w="1399"/>
          </w:tcPr>
          <w:p>
            <w:pPr>
              <w:spacing w:after="40"/>
            </w:pPr>
            <w:r>
              <w:rPr>
                <w:b/>
              </w:rPr>
              <w:t>Purpose</w:t>
            </w:r>
          </w:p>
        </w:tc>
        <w:tc>
          <w:tcPr>
            <w:tcW w:type="dxa" w:w="1399"/>
          </w:tcPr>
          <w:p>
            <w:pPr>
              <w:spacing w:after="40"/>
            </w:pPr>
            <w:r>
              <w:rPr>
                <w:b/>
              </w:rPr>
              <w:t>Page Archetype</w:t>
            </w:r>
          </w:p>
        </w:tc>
        <w:tc>
          <w:tcPr>
            <w:tcW w:type="dxa" w:w="1399"/>
          </w:tcPr>
          <w:p>
            <w:pPr>
              <w:spacing w:after="40"/>
            </w:pPr>
            <w:r>
              <w:rPr>
                <w:b/>
              </w:rPr>
              <w:t>Shell Placement</w:t>
            </w:r>
          </w:p>
        </w:tc>
        <w:tc>
          <w:tcPr>
            <w:tcW w:type="dxa" w:w="1399"/>
          </w:tcPr>
          <w:p>
            <w:pPr>
              <w:spacing w:after="40"/>
            </w:pPr>
            <w:r>
              <w:rPr>
                <w:b/>
              </w:rPr>
              <w:t>Key Sections</w:t>
            </w:r>
          </w:p>
        </w:tc>
        <w:tc>
          <w:tcPr>
            <w:tcW w:type="dxa" w:w="1399"/>
          </w:tcPr>
          <w:p>
            <w:pPr>
              <w:spacing w:after="40"/>
            </w:pPr>
            <w:r>
              <w:rPr>
                <w:b/>
              </w:rPr>
              <w:t>Primary Actions</w:t>
            </w:r>
          </w:p>
        </w:tc>
        <w:tc>
          <w:tcPr>
            <w:tcW w:type="dxa" w:w="1399"/>
          </w:tcPr>
          <w:p>
            <w:pPr>
              <w:spacing w:after="40"/>
            </w:pPr>
            <w:r>
              <w:rPr>
                <w:b/>
              </w:rPr>
              <w:t>Data/Content Elements</w:t>
            </w:r>
          </w:p>
        </w:tc>
        <w:tc>
          <w:tcPr>
            <w:tcW w:type="dxa" w:w="1399"/>
          </w:tcPr>
          <w:p>
            <w:pPr>
              <w:spacing w:after="40"/>
            </w:pPr>
            <w:r>
              <w:rPr>
                <w:b/>
              </w:rPr>
              <w:t>Interaction Notes</w:t>
            </w:r>
          </w:p>
        </w:tc>
        <w:tc>
          <w:tcPr>
            <w:tcW w:type="dxa" w:w="1399"/>
          </w:tcPr>
          <w:p>
            <w:pPr>
              <w:spacing w:after="40"/>
            </w:pPr>
            <w:r>
              <w:rPr>
                <w:b/>
              </w:rPr>
              <w:t>UI States</w:t>
            </w:r>
          </w:p>
        </w:tc>
        <w:tc>
          <w:tcPr>
            <w:tcW w:type="dxa" w:w="1399"/>
          </w:tcPr>
          <w:p>
            <w:pPr>
              <w:spacing w:after="40"/>
            </w:pPr>
            <w:r>
              <w:rPr>
                <w:b/>
              </w:rPr>
              <w:t>Role &amp; Access</w:t>
            </w:r>
          </w:p>
        </w:tc>
        <w:tc>
          <w:tcPr>
            <w:tcW w:type="dxa" w:w="1399"/>
          </w:tcPr>
          <w:p>
            <w:pPr>
              <w:spacing w:after="40"/>
            </w:pPr>
            <w:r>
              <w:rPr>
                <w:b/>
              </w:rPr>
              <w:t>Curation Notes</w:t>
            </w:r>
          </w:p>
        </w:tc>
      </w:tr>
      <w:tr>
        <w:tc>
          <w:tcPr>
            <w:tcW w:type="dxa" w:w="1399"/>
          </w:tcPr>
          <w:p>
            <w:pPr>
              <w:spacing w:after="40"/>
            </w:pPr>
            <w:r>
              <w:t>Dashboard</w:t>
            </w:r>
          </w:p>
        </w:tc>
        <w:tc>
          <w:tcPr>
            <w:tcW w:type="dxa" w:w="1399"/>
          </w:tcPr>
          <w:p>
            <w:pPr>
              <w:spacing w:after="40"/>
            </w:pPr>
            <w:r>
              <w:t>Let a user see, in one glance, what across all their projects needs attention today.</w:t>
            </w:r>
          </w:p>
        </w:tc>
        <w:tc>
          <w:tcPr>
            <w:tcW w:type="dxa" w:w="1399"/>
          </w:tcPr>
          <w:p>
            <w:pPr>
              <w:spacing w:after="40"/>
            </w:pPr>
            <w:r>
              <w:t>Dashboard</w:t>
            </w:r>
          </w:p>
        </w:tc>
        <w:tc>
          <w:tcPr>
            <w:tcW w:type="dxa" w:w="1399"/>
          </w:tcPr>
          <w:p>
            <w:pPr>
              <w:spacing w:after="40"/>
            </w:pPr>
            <w:r>
              <w:rPr>
                <w:rFonts w:ascii="Consolas" w:hAnsi="Consolas"/>
              </w:rPr>
              <w:t>Workspace</w:t>
            </w:r>
            <w:r>
              <w:t xml:space="preserve"> → </w:t>
            </w:r>
            <w:r>
              <w:rPr>
                <w:rFonts w:ascii="Consolas" w:hAnsi="Consolas"/>
              </w:rPr>
              <w:t>Dashboard</w:t>
            </w:r>
            <w:r>
              <w:t xml:space="preserve">; </w:t>
            </w:r>
            <w:r>
              <w:rPr>
                <w:rFonts w:ascii="Consolas" w:hAnsi="Consolas"/>
              </w:rPr>
              <w:t>/dashboard</w:t>
            </w:r>
          </w:p>
        </w:tc>
        <w:tc>
          <w:tcPr>
            <w:tcW w:type="dxa" w:w="1399"/>
          </w:tcPr>
          <w:p>
            <w:pPr>
              <w:spacing w:after="40"/>
            </w:pPr>
            <w:r>
              <w:t>Shell → page header → metric-tile grid → "Needs attention" list → recent activity</w:t>
            </w:r>
          </w:p>
        </w:tc>
        <w:tc>
          <w:tcPr>
            <w:tcW w:type="dxa" w:w="1399"/>
          </w:tcPr>
          <w:p>
            <w:pPr>
              <w:spacing w:after="40"/>
            </w:pPr>
            <w:r>
              <w:t>"New project" (primary, page header); per-row "Open" (link)</w:t>
            </w:r>
          </w:p>
        </w:tc>
        <w:tc>
          <w:tcPr>
            <w:tcW w:type="dxa" w:w="1399"/>
          </w:tcPr>
          <w:p>
            <w:pPr>
              <w:spacing w:after="40"/>
            </w:pPr>
            <w:r>
              <w:t>Active projects as a tabular figure; steps awaiting input as a figure with its warning pill; failed operations with the danger pill; agent accuracy as a percentage with its trend in words; capacity utilisation with its threshold stated; attention rows carry project, step, state pill and age</w:t>
            </w:r>
          </w:p>
        </w:tc>
        <w:tc>
          <w:tcPr>
            <w:tcW w:type="dxa" w:w="1399"/>
          </w:tcPr>
          <w:p>
            <w:pPr>
              <w:spacing w:after="40"/>
            </w:pPr>
            <w:r>
              <w:t>Tiles harden against their own data failure and show a muted placeholder, never a zero. The attention list is the only interactive region and its rows are real links. No action here mutates anything</w:t>
            </w:r>
          </w:p>
        </w:tc>
        <w:tc>
          <w:tcPr>
            <w:tcW w:type="dxa" w:w="1399"/>
          </w:tcPr>
          <w:p>
            <w:pPr>
              <w:spacing w:after="40"/>
            </w:pPr>
            <w:r>
              <w:t>Loading: tile and list skeletons, page header live. Empty: "No projects yet" + primary "New project". Error per tile independently, with Retry on the attention list</w:t>
            </w:r>
          </w:p>
        </w:tc>
        <w:tc>
          <w:tcPr>
            <w:tcW w:type="dxa" w:w="1399"/>
          </w:tcPr>
          <w:p>
            <w:pPr>
              <w:spacing w:after="40"/>
            </w:pPr>
            <w:r>
              <w:t>Every tier; query scope narrows rows. Business User sees a narrowed variant showing agent availability and data freshness only</w:t>
            </w:r>
          </w:p>
        </w:tc>
        <w:tc>
          <w:tcPr>
            <w:tcW w:type="dxa" w:w="1399"/>
          </w:tcPr>
          <w:p>
            <w:pPr>
              <w:spacing w:after="40"/>
            </w:pPr>
            <w:r>
              <w:t xml:space="preserve">Dashboard fits because the user is scanning for exceptions, not working a record. The deciding factor: the first question a data engineer asks each morning is "what is stuck", which is a scan, not a search. </w:t>
            </w:r>
            <w:r>
              <w:rPr>
                <w:b/>
              </w:rPr>
              <w:t>Deliberately excluded:</w:t>
            </w:r>
            <w:r>
              <w:t xml:space="preserve"> a chart. Nothing on this screen benefits from a trend line that a figure plus a stated direction does not carry, and a chart here would push the attention list below the fold — which is the one thing on the page that matters</w:t>
            </w:r>
          </w:p>
        </w:tc>
      </w:tr>
      <w:tr>
        <w:tc>
          <w:tcPr>
            <w:tcW w:type="dxa" w:w="1399"/>
          </w:tcPr>
          <w:p>
            <w:pPr>
              <w:spacing w:after="40"/>
            </w:pPr>
            <w:r>
              <w:t>Projects</w:t>
            </w:r>
          </w:p>
        </w:tc>
        <w:tc>
          <w:tcPr>
            <w:tcW w:type="dxa" w:w="1399"/>
          </w:tcPr>
          <w:p>
            <w:pPr>
              <w:spacing w:after="40"/>
            </w:pPr>
            <w:r>
              <w:t>Find the project to work on, and see which are blocked.</w:t>
            </w:r>
          </w:p>
        </w:tc>
        <w:tc>
          <w:tcPr>
            <w:tcW w:type="dxa" w:w="1399"/>
          </w:tcPr>
          <w:p>
            <w:pPr>
              <w:spacing w:after="40"/>
            </w:pPr>
            <w:r>
              <w:t>List / index</w:t>
            </w:r>
          </w:p>
        </w:tc>
        <w:tc>
          <w:tcPr>
            <w:tcW w:type="dxa" w:w="1399"/>
          </w:tcPr>
          <w:p>
            <w:pPr>
              <w:spacing w:after="40"/>
            </w:pPr>
            <w:r>
              <w:rPr>
                <w:rFonts w:ascii="Consolas" w:hAnsi="Consolas"/>
              </w:rPr>
              <w:t>Workspace</w:t>
            </w:r>
            <w:r>
              <w:t xml:space="preserve"> → </w:t>
            </w:r>
            <w:r>
              <w:rPr>
                <w:rFonts w:ascii="Consolas" w:hAnsi="Consolas"/>
              </w:rPr>
              <w:t>Projects</w:t>
            </w:r>
            <w:r>
              <w:t xml:space="preserve">; </w:t>
            </w:r>
            <w:r>
              <w:rPr>
                <w:rFonts w:ascii="Consolas" w:hAnsi="Consolas"/>
              </w:rPr>
              <w:t>/projects</w:t>
            </w:r>
          </w:p>
        </w:tc>
        <w:tc>
          <w:tcPr>
            <w:tcW w:type="dxa" w:w="1399"/>
          </w:tcPr>
          <w:p>
            <w:pPr>
              <w:spacing w:after="40"/>
            </w:pPr>
            <w:r>
              <w:t>Shell → page header with CTA → search and filter bar → card-wrapped table → pagination footer</w:t>
            </w:r>
          </w:p>
        </w:tc>
        <w:tc>
          <w:tcPr>
            <w:tcW w:type="dxa" w:w="1399"/>
          </w:tcPr>
          <w:p>
            <w:pPr>
              <w:spacing w:after="40"/>
            </w:pPr>
            <w:r>
              <w:t>"New project" (primary); row "Open" (link); row "Delete" (ghost, routes to recycle bin)</w:t>
            </w:r>
          </w:p>
        </w:tc>
        <w:tc>
          <w:tcPr>
            <w:tcW w:type="dxa" w:w="1399"/>
          </w:tcPr>
          <w:p>
            <w:pPr>
              <w:spacing w:after="40"/>
            </w:pPr>
            <w:r>
              <w:t>Project name with owner as an initials avatar plus name; stage as a neutral pill; progress as "34 of 80" with a bar; blocked steps as a right-aligned tabular figure carrying the warning pill when above zero; updated as a relative date with an absolute accessible value</w:t>
            </w:r>
          </w:p>
        </w:tc>
        <w:tc>
          <w:tcPr>
            <w:tcW w:type="dxa" w:w="1399"/>
          </w:tcPr>
          <w:p>
            <w:pPr>
              <w:spacing w:after="40"/>
            </w:pPr>
            <w:r>
              <w:t>Sort, filters and page live in the URL query, so a shared link reproduces the view. Both counts report the filtered total. Any filter change returns to page 1. Delete routes to the recycle bin behind a confirmation naming the project</w:t>
            </w:r>
          </w:p>
        </w:tc>
        <w:tc>
          <w:tcPr>
            <w:tcW w:type="dxa" w:w="1399"/>
          </w:tcPr>
          <w:p>
            <w:pPr>
              <w:spacing w:after="40"/>
            </w:pPr>
            <w:r>
              <w:t>Loading: skeleton rows, headers and toolbar live. Empty (no data): "No projects yet" + "New project". Empty (no results): the query echoed + "Clear filters". Error: message + Retry, toolbar live</w:t>
            </w:r>
          </w:p>
        </w:tc>
        <w:tc>
          <w:tcPr>
            <w:tcW w:type="dxa" w:w="1399"/>
          </w:tcPr>
          <w:p>
            <w:pPr>
              <w:spacing w:after="40"/>
            </w:pPr>
            <w:r>
              <w:t>Every tier except Business User; scope narrows by tier; row actions gated by per-record policy</w:t>
            </w:r>
          </w:p>
        </w:tc>
        <w:tc>
          <w:tcPr>
            <w:tcW w:type="dxa" w:w="1399"/>
          </w:tcPr>
          <w:p>
            <w:pPr>
              <w:spacing w:after="40"/>
            </w:pPr>
            <w:r>
              <w:t xml:space="preserve">List / index because the user is searching. </w:t>
            </w:r>
            <w:r>
              <w:rPr>
                <w:b/>
              </w:rPr>
              <w:t>Default sort is Updated newest-first, not blocked-count-first</w:t>
            </w:r>
            <w:r>
              <w:t xml:space="preserve"> — a deliberate choice: blocked count is what the Dashboard is for, and re-sorting this list by urgency would fight the mental model of "the thing I touched last". The blocked figure is still on every row, so urgency is visible without owning the sort</w:t>
            </w:r>
          </w:p>
        </w:tc>
      </w:tr>
      <w:tr>
        <w:tc>
          <w:tcPr>
            <w:tcW w:type="dxa" w:w="1399"/>
          </w:tcPr>
          <w:p>
            <w:pPr>
              <w:spacing w:after="40"/>
            </w:pPr>
            <w:r>
              <w:t>Blueprint Runner</w:t>
            </w:r>
          </w:p>
        </w:tc>
        <w:tc>
          <w:tcPr>
            <w:tcW w:type="dxa" w:w="1399"/>
          </w:tcPr>
          <w:p>
            <w:pPr>
              <w:spacing w:after="40"/>
            </w:pPr>
            <w:r>
              <w:t>Drive one project's 80 steps to completion, and see instantly which stage is holding everything up.</w:t>
            </w:r>
          </w:p>
        </w:tc>
        <w:tc>
          <w:tcPr>
            <w:tcW w:type="dxa" w:w="1399"/>
          </w:tcPr>
          <w:p>
            <w:pPr>
              <w:spacing w:after="40"/>
            </w:pPr>
            <w:r>
              <w:t>Builder (hub-and-spoke)</w:t>
            </w:r>
          </w:p>
        </w:tc>
        <w:tc>
          <w:tcPr>
            <w:tcW w:type="dxa" w:w="1399"/>
          </w:tcPr>
          <w:p>
            <w:pPr>
              <w:spacing w:after="40"/>
            </w:pPr>
            <w:r>
              <w:rPr>
                <w:rFonts w:ascii="Consolas" w:hAnsi="Consolas"/>
              </w:rPr>
              <w:t>Workspace</w:t>
            </w:r>
            <w:r>
              <w:t xml:space="preserve"> → </w:t>
            </w:r>
            <w:r>
              <w:rPr>
                <w:rFonts w:ascii="Consolas" w:hAnsi="Consolas"/>
              </w:rPr>
              <w:t>Projects</w:t>
            </w:r>
            <w:r>
              <w:t xml:space="preserve">; </w:t>
            </w:r>
            <w:r>
              <w:rPr>
                <w:rFonts w:ascii="Consolas" w:hAnsi="Consolas"/>
              </w:rPr>
              <w:t>/projects/{project}/blueprint</w:t>
            </w:r>
          </w:p>
        </w:tc>
        <w:tc>
          <w:tcPr>
            <w:tcW w:type="dxa" w:w="1399"/>
          </w:tcPr>
          <w:p>
            <w:pPr>
              <w:spacing w:after="40"/>
            </w:pPr>
            <w:r>
              <w:t>Shell → back link → project header card → stage hub: 14 rows, each with its state counts and lifecycle state → per-stage advance control</w:t>
            </w:r>
          </w:p>
        </w:tc>
        <w:tc>
          <w:tcPr>
            <w:tcW w:type="dxa" w:w="1399"/>
          </w:tcPr>
          <w:p>
            <w:pPr>
              <w:spacing w:after="40"/>
            </w:pPr>
            <w:r>
              <w:t>Per-stage "Open stage" (link); per-stage "Advance" (primary, confirm-guarded, one per row group); "Re-run failed" (ghost)</w:t>
            </w:r>
          </w:p>
        </w:tc>
        <w:tc>
          <w:tcPr>
            <w:tcW w:type="dxa" w:w="1399"/>
          </w:tcPr>
          <w:p>
            <w:pPr>
              <w:spacing w:after="40"/>
            </w:pPr>
            <w:r>
              <w:t>Stage name with its cluster number; step counts as right-aligned tabular figures per state; state as a pill carrying its word — verified success, awaiting warning, failed danger, blocked neutral, exception violet; the blocking step named in text on any stage that cannot advance</w:t>
            </w:r>
          </w:p>
        </w:tc>
        <w:tc>
          <w:tcPr>
            <w:tcW w:type="dxa" w:w="1399"/>
          </w:tcPr>
          <w:p>
            <w:pPr>
              <w:spacing w:after="40"/>
            </w:pPr>
            <w:r>
              <w:t>Advance is confirm-guarded and names the stage. A validation gate blocks advance while a required step is unverified, and the blocking reason is text on the row rather than a tooltip. Row actions spoke to single-purpose sub-pages; nothing is edited on the hub itself</w:t>
            </w:r>
          </w:p>
        </w:tc>
        <w:tc>
          <w:tcPr>
            <w:tcW w:type="dxa" w:w="1399"/>
          </w:tcPr>
          <w:p>
            <w:pPr>
              <w:spacing w:after="40"/>
            </w:pPr>
            <w:r>
              <w:t>Loading: stage-row skeletons. Error: a stage whose state cannot be read renders an error row with Retry — never as complete. No empty state: a blueprint always has 14 stages</w:t>
            </w:r>
          </w:p>
        </w:tc>
        <w:tc>
          <w:tcPr>
            <w:tcW w:type="dxa" w:w="1399"/>
          </w:tcPr>
          <w:p>
            <w:pPr>
              <w:spacing w:after="40"/>
            </w:pPr>
            <w:r>
              <w:t>Data Engineer and above; advance gated by per-record policy and, for administrator-only stages, by tier</w:t>
            </w:r>
          </w:p>
        </w:tc>
        <w:tc>
          <w:tcPr>
            <w:tcW w:type="dxa" w:w="1399"/>
          </w:tcPr>
          <w:p>
            <w:pPr>
              <w:spacing w:after="40"/>
            </w:pPr>
            <w:r>
              <w:t xml:space="preserve">Builder is the deciding fit: this is composition across sub-pages behind a gated advance, which is exactly what the archetype describes. </w:t>
            </w:r>
            <w:r>
              <w:rPr>
                <w:b/>
              </w:rPr>
              <w:t>Runner-up was Dashboard</w:t>
            </w:r>
            <w:r>
              <w:t xml:space="preserve">, and it was rejected because the user is not scanning here — they are working a structure, and a metric-tile treatment would have hidden the dependency order that makes the 80 steps comprehensible. </w:t>
            </w:r>
            <w:r>
              <w:rPr>
                <w:b/>
              </w:rPr>
              <w:t>Deliberately excluded:</w:t>
            </w:r>
            <w:r>
              <w:t xml:space="preserve"> a graph or timeline visualisation of the dependency tree. It looks impressive and helps nobody complete a step</w:t>
            </w:r>
          </w:p>
        </w:tc>
      </w:tr>
      <w:tr>
        <w:tc>
          <w:tcPr>
            <w:tcW w:type="dxa" w:w="1399"/>
          </w:tcPr>
          <w:p>
            <w:pPr>
              <w:spacing w:after="40"/>
            </w:pPr>
            <w:r>
              <w:t>Step Detail</w:t>
            </w:r>
          </w:p>
        </w:tc>
        <w:tc>
          <w:tcPr>
            <w:tcW w:type="dxa" w:w="1399"/>
          </w:tcPr>
          <w:p>
            <w:pPr>
              <w:spacing w:after="40"/>
            </w:pPr>
            <w:r>
              <w:t>Complete one step — whether that means watching an automated operation, performing a guided action, or recording a decision.</w:t>
            </w:r>
          </w:p>
        </w:tc>
        <w:tc>
          <w:tcPr>
            <w:tcW w:type="dxa" w:w="1399"/>
          </w:tcPr>
          <w:p>
            <w:pPr>
              <w:spacing w:after="40"/>
            </w:pPr>
            <w:r>
              <w:t>Detail / show</w:t>
            </w:r>
          </w:p>
        </w:tc>
        <w:tc>
          <w:tcPr>
            <w:tcW w:type="dxa" w:w="1399"/>
          </w:tcPr>
          <w:p>
            <w:pPr>
              <w:spacing w:after="40"/>
            </w:pPr>
            <w:r>
              <w:rPr>
                <w:rFonts w:ascii="Consolas" w:hAnsi="Consolas"/>
              </w:rPr>
              <w:t>Workspace</w:t>
            </w:r>
            <w:r>
              <w:t xml:space="preserve"> → </w:t>
            </w:r>
            <w:r>
              <w:rPr>
                <w:rFonts w:ascii="Consolas" w:hAnsi="Consolas"/>
              </w:rPr>
              <w:t>Projects</w:t>
            </w:r>
            <w:r>
              <w:t xml:space="preserve">; </w:t>
            </w:r>
            <w:r>
              <w:rPr>
                <w:rFonts w:ascii="Consolas" w:hAnsi="Consolas"/>
              </w:rPr>
              <w:t>/projects/{project}/steps/{step}</w:t>
            </w:r>
          </w:p>
        </w:tc>
        <w:tc>
          <w:tcPr>
            <w:tcW w:type="dxa" w:w="1399"/>
          </w:tcPr>
          <w:p>
            <w:pPr>
              <w:spacing w:after="40"/>
            </w:pPr>
            <w:r>
              <w:t>Shell → back link → header card with state and tier badges → 2/3 main column varying by tier → 1/3 side column with dependencies, evidence, audit</w:t>
            </w:r>
          </w:p>
        </w:tc>
        <w:tc>
          <w:tcPr>
            <w:tcW w:type="dxa" w:w="1399"/>
          </w:tcPr>
          <w:p>
            <w:pPr>
              <w:spacing w:after="40"/>
            </w:pPr>
            <w:r>
              <w:t>Tier A: "Retry operation" (ghost). Tier B: "Open in Fabric" (secondary) + "Verify now" (primary). Tier C: "Submit for approval" (primary). One solid button per group in every case</w:t>
            </w:r>
          </w:p>
        </w:tc>
        <w:tc>
          <w:tcPr>
            <w:tcW w:type="dxa" w:w="1399"/>
          </w:tcPr>
          <w:p>
            <w:pPr>
              <w:spacing w:after="40"/>
            </w:pPr>
            <w:r>
              <w:t>Step number and name; state pill; tier badge carrying its letter and word; per-operation rows with state and the Microsoft response summary; for guided steps the required action as prose, the deep link, and the verification criteria as a list; evidence links; dependency list</w:t>
            </w:r>
          </w:p>
        </w:tc>
        <w:tc>
          <w:tcPr>
            <w:tcW w:type="dxa" w:w="1399"/>
          </w:tcPr>
          <w:p>
            <w:pPr>
              <w:spacing w:after="40"/>
            </w:pPr>
            <w:r>
              <w:t>The deep link states that it opens a Microsoft service. Verification is a bounded async action: the control disables, shows an in-place wait at stable width, and returns to rest, with the outcome confirmed by a toast and the result region. A failed verification names the exact expected and actual state and leaves the action live to retry</w:t>
            </w:r>
          </w:p>
        </w:tc>
        <w:tc>
          <w:tcPr>
            <w:tcW w:type="dxa" w:w="1399"/>
          </w:tcPr>
          <w:p>
            <w:pPr>
              <w:spacing w:after="40"/>
            </w:pPr>
            <w:r>
              <w:t>Loading: operation rows skeleton individually; a running long-running operation shows a bounded in-control wait on its own row, never a page spinner. Error: verification failure as an error region naming the difference. No empty state</w:t>
            </w:r>
          </w:p>
        </w:tc>
        <w:tc>
          <w:tcPr>
            <w:tcW w:type="dxa" w:w="1399"/>
          </w:tcPr>
          <w:p>
            <w:pPr>
              <w:spacing w:after="40"/>
            </w:pPr>
            <w:r>
              <w:t>Data Engineer and above. A step needing an administrator shows its action disabled with the required role named in text — the destination is right, the actor is wrong</w:t>
            </w:r>
          </w:p>
        </w:tc>
        <w:tc>
          <w:tcPr>
            <w:tcW w:type="dxa" w:w="1399"/>
          </w:tcPr>
          <w:p>
            <w:pPr>
              <w:spacing w:after="40"/>
            </w:pPr>
            <w:r>
              <w:t xml:space="preserve">Detail / show because the user is reading one record and acting on it. The important curation decision is that </w:t>
            </w:r>
            <w:r>
              <w:rPr>
                <w:b/>
              </w:rPr>
              <w:t>one screen serves all three automation tiers</w:t>
            </w:r>
            <w:r>
              <w:t xml:space="preserve"> rather than three screens: the tier changes the main column's content, not the page's identity, and a user who learns this screen once has learned all 80 steps. </w:t>
            </w:r>
            <w:r>
              <w:rPr>
                <w:b/>
              </w:rPr>
              <w:t>Deliberately excluded:</w:t>
            </w:r>
            <w:r>
              <w:t xml:space="preserve"> a wizard. The steps are already sequenced by the blueprint; wrapping each one in its own wizard would add a second sequence on top of the real one</w:t>
            </w:r>
          </w:p>
        </w:tc>
      </w:tr>
      <w:tr>
        <w:tc>
          <w:tcPr>
            <w:tcW w:type="dxa" w:w="1399"/>
          </w:tcPr>
          <w:p>
            <w:pPr>
              <w:spacing w:after="40"/>
            </w:pPr>
            <w:r>
              <w:t>Readiness</w:t>
            </w:r>
          </w:p>
        </w:tc>
        <w:tc>
          <w:tcPr>
            <w:tcW w:type="dxa" w:w="1399"/>
          </w:tcPr>
          <w:p>
            <w:pPr>
              <w:spacing w:after="40"/>
            </w:pPr>
            <w:r>
              <w:t>Establish whether this tenant can actually run a Fabric Data Agent, before any build work starts.</w:t>
            </w:r>
          </w:p>
        </w:tc>
        <w:tc>
          <w:tcPr>
            <w:tcW w:type="dxa" w:w="1399"/>
          </w:tcPr>
          <w:p>
            <w:pPr>
              <w:spacing w:after="40"/>
            </w:pPr>
            <w:r>
              <w:t>Dashboard</w:t>
            </w:r>
          </w:p>
        </w:tc>
        <w:tc>
          <w:tcPr>
            <w:tcW w:type="dxa" w:w="1399"/>
          </w:tcPr>
          <w:p>
            <w:pPr>
              <w:spacing w:after="40"/>
            </w:pPr>
            <w:r>
              <w:rPr>
                <w:rFonts w:ascii="Consolas" w:hAnsi="Consolas"/>
              </w:rPr>
              <w:t>Workspace</w:t>
            </w:r>
            <w:r>
              <w:t xml:space="preserve"> → </w:t>
            </w:r>
            <w:r>
              <w:rPr>
                <w:rFonts w:ascii="Consolas" w:hAnsi="Consolas"/>
              </w:rPr>
              <w:t>Readiness</w:t>
            </w:r>
            <w:r>
              <w:t xml:space="preserve">; </w:t>
            </w:r>
            <w:r>
              <w:rPr>
                <w:rFonts w:ascii="Consolas" w:hAnsi="Consolas"/>
              </w:rPr>
              <w:t>/readiness</w:t>
            </w:r>
          </w:p>
        </w:tc>
        <w:tc>
          <w:tcPr>
            <w:tcW w:type="dxa" w:w="1399"/>
          </w:tcPr>
          <w:p>
            <w:pPr>
              <w:spacing w:after="40"/>
            </w:pPr>
            <w:r>
              <w:t>Shell → page header → metric-tile grid → a checklist card per readiness item with its state, required actor and evidence → "Re-run assessment" quick action</w:t>
            </w:r>
          </w:p>
        </w:tc>
        <w:tc>
          <w:tcPr>
            <w:tcW w:type="dxa" w:w="1399"/>
          </w:tcPr>
          <w:p>
            <w:pPr>
              <w:spacing w:after="40"/>
            </w:pPr>
            <w:r>
              <w:t>"Re-run assessment" (primary); per-item "Open in Fabric" (secondary) and "Verify" (ghost)</w:t>
            </w:r>
          </w:p>
        </w:tc>
        <w:tc>
          <w:tcPr>
            <w:tcW w:type="dxa" w:w="1399"/>
          </w:tcPr>
          <w:p>
            <w:pPr>
              <w:spacing w:after="40"/>
            </w:pPr>
            <w:r>
              <w:t>Capacity SKU and region as neutral code pills; eligibility as a pill with its word; the named administrator as an initials avatar plus name; each item's required actor as text; verification evidence as a timestamp plus outcome</w:t>
            </w:r>
          </w:p>
        </w:tc>
        <w:tc>
          <w:tcPr>
            <w:tcW w:type="dxa" w:w="1399"/>
          </w:tcPr>
          <w:p>
            <w:pPr>
              <w:spacing w:after="40"/>
            </w:pPr>
            <w:r>
              <w:t>Verification is the enforced contract here: an item is met only on read-back. Re-running skeletons only the affected rows. An unmet item states which actor must act, because the most common cause of a stalled readiness stage is that the person who can fix it does not know</w:t>
            </w:r>
          </w:p>
        </w:tc>
        <w:tc>
          <w:tcPr>
            <w:tcW w:type="dxa" w:w="1399"/>
          </w:tcPr>
          <w:p>
            <w:pPr>
              <w:spacing w:after="40"/>
            </w:pPr>
            <w:r>
              <w:t>Loading: tile and row skeletons. Error per tile independently. Empty does not occur: the four readiness items always exist</w:t>
            </w:r>
          </w:p>
        </w:tc>
        <w:tc>
          <w:tcPr>
            <w:tcW w:type="dxa" w:w="1399"/>
          </w:tcPr>
          <w:p>
            <w:pPr>
              <w:spacing w:after="40"/>
            </w:pPr>
            <w:r>
              <w:t>Tenant Administrator and Platform Administrator author; Lead Data Engineer reads; Data Engineer sees state without re-run. Business User absent</w:t>
            </w:r>
          </w:p>
        </w:tc>
        <w:tc>
          <w:tcPr>
            <w:tcW w:type="dxa" w:w="1399"/>
          </w:tcPr>
          <w:p>
            <w:pPr>
              <w:spacing w:after="40"/>
            </w:pPr>
            <w:r>
              <w:t xml:space="preserve">Dashboard because this is a status scan against a fixed, small item set — the user wants to know "are we clear to start". </w:t>
            </w:r>
            <w:r>
              <w:rPr>
                <w:b/>
              </w:rPr>
              <w:t>Runner-up was List / index</w:t>
            </w:r>
            <w:r>
              <w:t xml:space="preserve">, rejected because four fixed items are not something you search. </w:t>
            </w:r>
            <w:r>
              <w:rPr>
                <w:b/>
              </w:rPr>
              <w:t>Deliberately excluded:</w:t>
            </w:r>
            <w:r>
              <w:t xml:space="preserve"> a wizard. Readiness items are not sequential and are frequently owned by different people, so forcing an order would block a project on whichever person happened to be first</w:t>
            </w:r>
          </w:p>
        </w:tc>
      </w:tr>
      <w:tr>
        <w:tc>
          <w:tcPr>
            <w:tcW w:type="dxa" w:w="1399"/>
          </w:tcPr>
          <w:p>
            <w:pPr>
              <w:spacing w:after="40"/>
            </w:pPr>
            <w:r>
              <w:t>Connection Configuration</w:t>
            </w:r>
          </w:p>
        </w:tc>
        <w:tc>
          <w:tcPr>
            <w:tcW w:type="dxa" w:w="1399"/>
          </w:tcPr>
          <w:p>
            <w:pPr>
              <w:spacing w:after="40"/>
            </w:pPr>
            <w:r>
              <w:t>Configure a source connection and prove it works before it is stored.</w:t>
            </w:r>
          </w:p>
        </w:tc>
        <w:tc>
          <w:tcPr>
            <w:tcW w:type="dxa" w:w="1399"/>
          </w:tcPr>
          <w:p>
            <w:pPr>
              <w:spacing w:after="40"/>
            </w:pPr>
            <w:r>
              <w:t>Settings / config</w:t>
            </w:r>
          </w:p>
        </w:tc>
        <w:tc>
          <w:tcPr>
            <w:tcW w:type="dxa" w:w="1399"/>
          </w:tcPr>
          <w:p>
            <w:pPr>
              <w:spacing w:after="40"/>
            </w:pPr>
            <w:r>
              <w:rPr>
                <w:rFonts w:ascii="Consolas" w:hAnsi="Consolas"/>
              </w:rPr>
              <w:t>Workspace</w:t>
            </w:r>
            <w:r>
              <w:t xml:space="preserve"> → </w:t>
            </w:r>
            <w:r>
              <w:rPr>
                <w:rFonts w:ascii="Consolas" w:hAnsi="Consolas"/>
              </w:rPr>
              <w:t>Sources</w:t>
            </w:r>
            <w:r>
              <w:t xml:space="preserve"> → </w:t>
            </w:r>
            <w:r>
              <w:rPr>
                <w:rFonts w:ascii="Consolas" w:hAnsi="Consolas"/>
              </w:rPr>
              <w:t>Connections</w:t>
            </w:r>
            <w:r>
              <w:t xml:space="preserve">; </w:t>
            </w:r>
            <w:r>
              <w:rPr>
                <w:rFonts w:ascii="Consolas" w:hAnsi="Consolas"/>
              </w:rPr>
              <w:t>/sources/connections/{connection}</w:t>
            </w:r>
          </w:p>
        </w:tc>
        <w:tc>
          <w:tcPr>
            <w:tcW w:type="dxa" w:w="1399"/>
          </w:tcPr>
          <w:p>
            <w:pPr>
              <w:spacing w:after="40"/>
            </w:pPr>
            <w:r>
              <w:t>Shell → back link → section cards: Source reference → Connection → Credential → Test result → footer</w:t>
            </w:r>
          </w:p>
        </w:tc>
        <w:tc>
          <w:tcPr>
            <w:tcW w:type="dxa" w:w="1399"/>
          </w:tcPr>
          <w:p>
            <w:pPr>
              <w:spacing w:after="40"/>
            </w:pPr>
            <w:r>
              <w:t xml:space="preserve">"Test Configuration" (primary until a test passes); "Reset" (ghost); </w:t>
            </w:r>
            <w:r>
              <w:rPr>
                <w:b/>
              </w:rPr>
              <w:t>"Save" appears only after a passing test</w:t>
            </w:r>
          </w:p>
        </w:tc>
        <w:tc>
          <w:tcPr>
            <w:tcW w:type="dxa" w:w="1399"/>
          </w:tcPr>
          <w:p>
            <w:pPr>
              <w:spacing w:after="40"/>
            </w:pPr>
            <w:r>
              <w:t>Source name as a link; connection type as a neutral pill; gateway selection with its online state as a pill; any stored secret reference as a masked "encrypted at rest" badge only; test result with the platform error verbatim on failure</w:t>
            </w:r>
          </w:p>
        </w:tc>
        <w:tc>
          <w:tcPr>
            <w:tcW w:type="dxa" w:w="1399"/>
          </w:tcPr>
          <w:p>
            <w:pPr>
              <w:spacing w:after="40"/>
            </w:pPr>
            <w:r>
              <w:t>The test-before-save contract in full: Reset and Test Configuration only, Save promoted into the group by a passing test on the current values, and withdrawn again when any tested field is edited. There is no save-anyway path. The withdrawal is announced politely so a keyboard user is not left hunting for a vanished button</w:t>
            </w:r>
          </w:p>
        </w:tc>
        <w:tc>
          <w:tcPr>
            <w:tcW w:type="dxa" w:w="1399"/>
          </w:tcPr>
          <w:p>
            <w:pPr>
              <w:spacing w:after="40"/>
            </w:pPr>
            <w:r>
              <w:t>Loading: bounded in-control wait on Test with stable width. Error: the platform error rendered verbatim with every field left live. No empty state</w:t>
            </w:r>
          </w:p>
        </w:tc>
        <w:tc>
          <w:tcPr>
            <w:tcW w:type="dxa" w:w="1399"/>
          </w:tcPr>
          <w:p>
            <w:pPr>
              <w:spacing w:after="40"/>
            </w:pPr>
            <w:r>
              <w:t>Data Engineer and above; per-record policy gates editing; query scope limits the list</w:t>
            </w:r>
          </w:p>
        </w:tc>
        <w:tc>
          <w:tcPr>
            <w:tcW w:type="dxa" w:w="1399"/>
          </w:tcPr>
          <w:p>
            <w:pPr>
              <w:spacing w:after="40"/>
            </w:pPr>
            <w:r>
              <w:t xml:space="preserve">Settings / config carries the test-before-save contract, which is the entire point of this screen — a connection saved untested is the single most common cause of a pipeline that cannot be diagnosed later. </w:t>
            </w:r>
            <w:r>
              <w:rPr>
                <w:b/>
              </w:rPr>
              <w:t>Deliberately excluded:</w:t>
            </w:r>
            <w:r>
              <w:t xml:space="preserve"> storing credentials. SemantIQ holds a connection reference; Microsoft holds the secret. The Credential card exists to say so plainly rather than to collect anything</w:t>
            </w:r>
          </w:p>
        </w:tc>
      </w:tr>
      <w:tr>
        <w:tc>
          <w:tcPr>
            <w:tcW w:type="dxa" w:w="1399"/>
          </w:tcPr>
          <w:p>
            <w:pPr>
              <w:spacing w:after="40"/>
            </w:pPr>
            <w:r>
              <w:t>Enrichment Queue</w:t>
            </w:r>
          </w:p>
        </w:tc>
        <w:tc>
          <w:tcPr>
            <w:tcW w:type="dxa" w:w="1399"/>
          </w:tcPr>
          <w:p>
            <w:pPr>
              <w:spacing w:after="40"/>
            </w:pPr>
            <w:r>
              <w:t>Work through the model objects that still need a business description and synonyms — highest-value first.</w:t>
            </w:r>
          </w:p>
        </w:tc>
        <w:tc>
          <w:tcPr>
            <w:tcW w:type="dxa" w:w="1399"/>
          </w:tcPr>
          <w:p>
            <w:pPr>
              <w:spacing w:after="40"/>
            </w:pPr>
            <w:r>
              <w:t>List / index</w:t>
            </w:r>
          </w:p>
        </w:tc>
        <w:tc>
          <w:tcPr>
            <w:tcW w:type="dxa" w:w="1399"/>
          </w:tcPr>
          <w:p>
            <w:pPr>
              <w:spacing w:after="40"/>
            </w:pPr>
            <w:r>
              <w:rPr>
                <w:rFonts w:ascii="Consolas" w:hAnsi="Consolas"/>
              </w:rPr>
              <w:t>Workspace</w:t>
            </w:r>
            <w:r>
              <w:t xml:space="preserve"> → </w:t>
            </w:r>
            <w:r>
              <w:rPr>
                <w:rFonts w:ascii="Consolas" w:hAnsi="Consolas"/>
              </w:rPr>
              <w:t>Semantic Layer</w:t>
            </w:r>
            <w:r>
              <w:t xml:space="preserve"> → </w:t>
            </w:r>
            <w:r>
              <w:rPr>
                <w:rFonts w:ascii="Consolas" w:hAnsi="Consolas"/>
              </w:rPr>
              <w:t>Enrichment</w:t>
            </w:r>
            <w:r>
              <w:t xml:space="preserve">; </w:t>
            </w:r>
            <w:r>
              <w:rPr>
                <w:rFonts w:ascii="Consolas" w:hAnsi="Consolas"/>
              </w:rPr>
              <w:t>/semantic/enrichment</w:t>
            </w:r>
          </w:p>
        </w:tc>
        <w:tc>
          <w:tcPr>
            <w:tcW w:type="dxa" w:w="1399"/>
          </w:tcPr>
          <w:p>
            <w:pPr>
              <w:spacing w:after="40"/>
            </w:pPr>
            <w:r>
              <w:t>Shell → page header carrying AI-surface coverage → search and filter bar → card-wrapped table → pagination</w:t>
            </w:r>
          </w:p>
        </w:tc>
        <w:tc>
          <w:tcPr>
            <w:tcW w:type="dxa" w:w="1399"/>
          </w:tcPr>
          <w:p>
            <w:pPr>
              <w:spacing w:after="40"/>
            </w:pPr>
            <w:r>
              <w:t>"Sync model" (ghost, toolbar); row "Enrich" (link)</w:t>
            </w:r>
          </w:p>
        </w:tc>
        <w:tc>
          <w:tcPr>
            <w:tcW w:type="dxa" w:w="1399"/>
          </w:tcPr>
          <w:p>
            <w:pPr>
              <w:spacing w:after="40"/>
            </w:pPr>
            <w:r>
              <w:t>Object name with its type as a neutral pill; "In AI surface" as a pill carrying its word; description as truncated text with a tooltip, or a muted em dash when absent; synonym count as a right-aligned tabular figure; reviewed state as a pill; coverage as a labelled percentage with a bar</w:t>
            </w:r>
          </w:p>
        </w:tc>
        <w:tc>
          <w:tcPr>
            <w:tcW w:type="dxa" w:w="1399"/>
          </w:tcPr>
          <w:p>
            <w:pPr>
              <w:spacing w:after="40"/>
            </w:pPr>
            <w:r>
              <w:t>Sorting and filtering run server-side over the whole model, not the loaded page. State lives in the URL query. The coverage figure sits in a polite live region and placeholders on its own failure rather than showing zero — because a zero here reads as "no work done" when it means "we could not measure"</w:t>
            </w:r>
          </w:p>
        </w:tc>
        <w:tc>
          <w:tcPr>
            <w:tcW w:type="dxa" w:w="1399"/>
          </w:tcPr>
          <w:p>
            <w:pPr>
              <w:spacing w:after="40"/>
            </w:pPr>
            <w:r>
              <w:t>Loading: skeleton rows with headers live. Empty (no data): "No model objects loaded" + primary "Sync model". Empty (no results): query echoed + "Clear filters". Error: message + Retry</w:t>
            </w:r>
          </w:p>
        </w:tc>
        <w:tc>
          <w:tcPr>
            <w:tcW w:type="dxa" w:w="1399"/>
          </w:tcPr>
          <w:p>
            <w:pPr>
              <w:spacing w:after="40"/>
            </w:pPr>
            <w:r>
              <w:t xml:space="preserve">Data Engineer and above author. </w:t>
            </w:r>
            <w:r>
              <w:rPr>
                <w:b/>
              </w:rPr>
              <w:t>Business User reads and proposes synonyms</w:t>
            </w:r>
            <w:r>
              <w:t>, entering the review queue rather than the model</w:t>
            </w:r>
          </w:p>
        </w:tc>
        <w:tc>
          <w:tcPr>
            <w:tcW w:type="dxa" w:w="1399"/>
          </w:tcPr>
          <w:p>
            <w:pPr>
              <w:spacing w:after="40"/>
            </w:pPr>
            <w:r>
              <w:t xml:space="preserve">List / index because this is a work queue and the user is finding the next item. The consequential curation decision is the </w:t>
            </w:r>
            <w:r>
              <w:rPr>
                <w:b/>
              </w:rPr>
              <w:t>default sort: in-AI-surface first, then objects with no description</w:t>
            </w:r>
            <w:r>
              <w:t xml:space="preserve"> — sorting alphabetically would be technically defensible and practically useless, since it buries the only rows that affect agent accuracy. </w:t>
            </w:r>
            <w:r>
              <w:rPr>
                <w:b/>
              </w:rPr>
              <w:t>Deliberately excluded:</w:t>
            </w:r>
            <w:r>
              <w:t xml:space="preserve"> inline editing in the table. Descriptions are prose that a business user reviews, and a table cell is the wrong place to write or read a sentence</w:t>
            </w:r>
          </w:p>
        </w:tc>
      </w:tr>
      <w:tr>
        <w:tc>
          <w:tcPr>
            <w:tcW w:type="dxa" w:w="1399"/>
          </w:tcPr>
          <w:p>
            <w:pPr>
              <w:spacing w:after="40"/>
            </w:pPr>
            <w:r>
              <w:t>Object Enrichment</w:t>
            </w:r>
          </w:p>
        </w:tc>
        <w:tc>
          <w:tcPr>
            <w:tcW w:type="dxa" w:w="1399"/>
          </w:tcPr>
          <w:p>
            <w:pPr>
              <w:spacing w:after="40"/>
            </w:pPr>
            <w:r>
              <w:t>Write the description and synonyms for one model object, with an AI draft available but never assumed.</w:t>
            </w:r>
          </w:p>
        </w:tc>
        <w:tc>
          <w:tcPr>
            <w:tcW w:type="dxa" w:w="1399"/>
          </w:tcPr>
          <w:p>
            <w:pPr>
              <w:spacing w:after="40"/>
            </w:pPr>
            <w:r>
              <w:t>Form (create / edit)</w:t>
            </w:r>
          </w:p>
        </w:tc>
        <w:tc>
          <w:tcPr>
            <w:tcW w:type="dxa" w:w="1399"/>
          </w:tcPr>
          <w:p>
            <w:pPr>
              <w:spacing w:after="40"/>
            </w:pPr>
            <w:r>
              <w:rPr>
                <w:rFonts w:ascii="Consolas" w:hAnsi="Consolas"/>
              </w:rPr>
              <w:t>Workspace</w:t>
            </w:r>
            <w:r>
              <w:t xml:space="preserve"> → </w:t>
            </w:r>
            <w:r>
              <w:rPr>
                <w:rFonts w:ascii="Consolas" w:hAnsi="Consolas"/>
              </w:rPr>
              <w:t>Semantic Layer</w:t>
            </w:r>
            <w:r>
              <w:t xml:space="preserve"> → </w:t>
            </w:r>
            <w:r>
              <w:rPr>
                <w:rFonts w:ascii="Consolas" w:hAnsi="Consolas"/>
              </w:rPr>
              <w:t>Enrichment</w:t>
            </w:r>
            <w:r>
              <w:t xml:space="preserve">; </w:t>
            </w:r>
            <w:r>
              <w:rPr>
                <w:rFonts w:ascii="Consolas" w:hAnsi="Consolas"/>
              </w:rPr>
              <w:t>/semantic/enrichment/{object}</w:t>
            </w:r>
          </w:p>
        </w:tc>
        <w:tc>
          <w:tcPr>
            <w:tcW w:type="dxa" w:w="1399"/>
          </w:tcPr>
          <w:p>
            <w:pPr>
              <w:spacing w:after="40"/>
            </w:pPr>
            <w:r>
              <w:t>Shell → back link → section cards: Object structure and lineage → Description with its suggestion → Synonyms with candidates → Review → footer</w:t>
            </w:r>
          </w:p>
        </w:tc>
        <w:tc>
          <w:tcPr>
            <w:tcW w:type="dxa" w:w="1399"/>
          </w:tcPr>
          <w:p>
            <w:pPr>
              <w:spacing w:after="40"/>
            </w:pPr>
            <w:r>
              <w:t>"Save" (primary); "Cancel" (ghost); "Use draft" and "Dismiss" (ghost, inside the suggestion region)</w:t>
            </w:r>
          </w:p>
        </w:tc>
        <w:tc>
          <w:tcPr>
            <w:tcW w:type="dxa" w:w="1399"/>
          </w:tcPr>
          <w:p>
            <w:pPr>
              <w:spacing w:after="40"/>
            </w:pPr>
            <w:r>
              <w:t>Object structure as a read-only field list; lineage as a linked path; the AI draft marked with the info pair and the word "Suggested"; synonym chips with add and remove; each candidate synonym shown with the failed question that produced it</w:t>
            </w:r>
          </w:p>
        </w:tc>
        <w:tc>
          <w:tcPr>
            <w:tcW w:type="dxa" w:w="1399"/>
          </w:tcPr>
          <w:p>
            <w:pPr>
              <w:spacing w:after="40"/>
            </w:pPr>
            <w:r>
              <w:t>The suggestion is a proposal, never a value: it renders in its own region with Use draft and Dismiss, and the field stays empty until a human acts. A candidate synonym always shows its originating question, because that question is the evidence for accepting it. Validation is error-only on blur with the message below the field. Page-hosted on its own route</w:t>
            </w:r>
          </w:p>
        </w:tc>
        <w:tc>
          <w:tcPr>
            <w:tcW w:type="dxa" w:w="1399"/>
          </w:tcPr>
          <w:p>
            <w:pPr>
              <w:spacing w:after="40"/>
            </w:pPr>
            <w:r>
              <w:t>Loading: the suggestion region skeletons; on failure it errors with Retry while the form stays fully usable, since a suggestion is never required to save</w:t>
            </w:r>
          </w:p>
        </w:tc>
        <w:tc>
          <w:tcPr>
            <w:tcW w:type="dxa" w:w="1399"/>
          </w:tcPr>
          <w:p>
            <w:pPr>
              <w:spacing w:after="40"/>
            </w:pPr>
            <w:r>
              <w:t>Data Engineer and above save. Business User's submission is recorded as a proposal and does not write to the model</w:t>
            </w:r>
          </w:p>
        </w:tc>
        <w:tc>
          <w:tcPr>
            <w:tcW w:type="dxa" w:w="1399"/>
          </w:tcPr>
          <w:p>
            <w:pPr>
              <w:spacing w:after="40"/>
            </w:pPr>
            <w:r>
              <w:t xml:space="preserve">Form because the user is entering data. The curation decision that matters most in this product: </w:t>
            </w:r>
            <w:r>
              <w:rPr>
                <w:b/>
              </w:rPr>
              <w:t>the AI draft is visually a proposal, not a pre-filled value.</w:t>
            </w:r>
            <w:r>
              <w:t xml:space="preserve"> A pre-filled description gets accepted unread, and an unread description is worse than an empty one because it looks like governance happened. Showing the originating question beside each candidate synonym does the same job for terminology. </w:t>
            </w:r>
            <w:r>
              <w:rPr>
                <w:b/>
              </w:rPr>
              <w:t>Deliberately excluded:</w:t>
            </w:r>
            <w:r>
              <w:t xml:space="preserve"> bulk accept-all. It would undo the entire point of the screen</w:t>
            </w:r>
          </w:p>
        </w:tc>
      </w:tr>
      <w:tr>
        <w:tc>
          <w:tcPr>
            <w:tcW w:type="dxa" w:w="1399"/>
          </w:tcPr>
          <w:p>
            <w:pPr>
              <w:spacing w:after="40"/>
            </w:pPr>
            <w:r>
              <w:t>Agent Builder</w:t>
            </w:r>
          </w:p>
        </w:tc>
        <w:tc>
          <w:tcPr>
            <w:tcW w:type="dxa" w:w="1399"/>
          </w:tcPr>
          <w:p>
            <w:pPr>
              <w:spacing w:after="40"/>
            </w:pPr>
            <w:r>
              <w:t>Assemble a Data Agent's sources, scope, instructions and examples, and see what is still missing.</w:t>
            </w:r>
          </w:p>
        </w:tc>
        <w:tc>
          <w:tcPr>
            <w:tcW w:type="dxa" w:w="1399"/>
          </w:tcPr>
          <w:p>
            <w:pPr>
              <w:spacing w:after="40"/>
            </w:pPr>
            <w:r>
              <w:t>Builder (hub-and-spoke)</w:t>
            </w:r>
          </w:p>
        </w:tc>
        <w:tc>
          <w:tcPr>
            <w:tcW w:type="dxa" w:w="1399"/>
          </w:tcPr>
          <w:p>
            <w:pPr>
              <w:spacing w:after="40"/>
            </w:pPr>
            <w:r>
              <w:rPr>
                <w:rFonts w:ascii="Consolas" w:hAnsi="Consolas"/>
              </w:rPr>
              <w:t>Workspace</w:t>
            </w:r>
            <w:r>
              <w:t xml:space="preserve"> → </w:t>
            </w:r>
            <w:r>
              <w:rPr>
                <w:rFonts w:ascii="Consolas" w:hAnsi="Consolas"/>
              </w:rPr>
              <w:t>Data Agents</w:t>
            </w:r>
            <w:r>
              <w:t xml:space="preserve"> → </w:t>
            </w:r>
            <w:r>
              <w:rPr>
                <w:rFonts w:ascii="Consolas" w:hAnsi="Consolas"/>
              </w:rPr>
              <w:t>Agents</w:t>
            </w:r>
            <w:r>
              <w:t xml:space="preserve">; </w:t>
            </w:r>
            <w:r>
              <w:rPr>
                <w:rFonts w:ascii="Consolas" w:hAnsi="Consolas"/>
              </w:rPr>
              <w:t>/agents/{agent}/build</w:t>
            </w:r>
          </w:p>
        </w:tc>
        <w:tc>
          <w:tcPr>
            <w:tcW w:type="dxa" w:w="1399"/>
          </w:tcPr>
          <w:p>
            <w:pPr>
              <w:spacing w:after="40"/>
            </w:pPr>
            <w:r>
              <w:t>Shell → back link → prerequisite card → hub rows: Sources, Scope, Instructions, Source descriptions, Examples → advance control</w:t>
            </w:r>
          </w:p>
        </w:tc>
        <w:tc>
          <w:tcPr>
            <w:tcW w:type="dxa" w:w="1399"/>
          </w:tcPr>
          <w:p>
            <w:pPr>
              <w:spacing w:after="40"/>
            </w:pPr>
            <w:r>
              <w:t>"Submit for evaluation" (primary, confirm-guarded); per-row "Open" (link)</w:t>
            </w:r>
          </w:p>
        </w:tc>
        <w:tc>
          <w:tcPr>
            <w:tcW w:type="dxa" w:w="1399"/>
          </w:tcPr>
          <w:p>
            <w:pPr>
              <w:spacing w:after="40"/>
            </w:pPr>
            <w:r>
              <w:t>Prerequisite items with their state pills; per-row completeness as text plus icon; source count against the five-source limit with the limit stated in words; scope breadth with its recommended range stated</w:t>
            </w:r>
          </w:p>
        </w:tc>
        <w:tc>
          <w:tcPr>
            <w:tcW w:type="dxa" w:w="1399"/>
          </w:tcPr>
          <w:p>
            <w:pPr>
              <w:spacing w:after="40"/>
            </w:pPr>
            <w:r>
              <w:t>The advance control is gated by the prerequisite and validation cards, with the blocking reason as text on the hub. Row actions spoke to sub-pages; nothing is edited on the hub. The source limit is enforced at binding, not at submit, so the user learns it before doing the work</w:t>
            </w:r>
          </w:p>
        </w:tc>
        <w:tc>
          <w:tcPr>
            <w:tcW w:type="dxa" w:w="1399"/>
          </w:tcPr>
          <w:p>
            <w:pPr>
              <w:spacing w:after="40"/>
            </w:pPr>
            <w:r>
              <w:t xml:space="preserve">Loading: prerequisite card and rows skeleton. Error: a prerequisite check that fails to load errors with Retry and counts as </w:t>
            </w:r>
            <w:r>
              <w:rPr>
                <w:b/>
              </w:rPr>
              <w:t>unsatisfied</w:t>
            </w:r>
            <w:r>
              <w:t xml:space="preserve"> — never as met. No empty state</w:t>
            </w:r>
          </w:p>
        </w:tc>
        <w:tc>
          <w:tcPr>
            <w:tcW w:type="dxa" w:w="1399"/>
          </w:tcPr>
          <w:p>
            <w:pPr>
              <w:spacing w:after="40"/>
            </w:pPr>
            <w:r>
              <w:t>Lead Data Engineer and above; Data Engineer reads; Business User absent</w:t>
            </w:r>
          </w:p>
        </w:tc>
        <w:tc>
          <w:tcPr>
            <w:tcW w:type="dxa" w:w="1399"/>
          </w:tcPr>
          <w:p>
            <w:pPr>
              <w:spacing w:after="40"/>
            </w:pPr>
            <w:r>
              <w:t xml:space="preserve">Builder because this is multi-part authoring with a gated advance. The strongest curation decision is the </w:t>
            </w:r>
            <w:r>
              <w:rPr>
                <w:b/>
              </w:rPr>
              <w:t>prerequisite card at the top</w:t>
            </w:r>
            <w:r>
              <w:t xml:space="preserve">: every one of this screen's failure modes traces back to a readiness item that was not actually met, and putting those items on the screen where the consequence lands is worth more than any layout refinement below it. </w:t>
            </w:r>
            <w:r>
              <w:rPr>
                <w:b/>
              </w:rPr>
              <w:t>Deliberately excluded:</w:t>
            </w:r>
            <w:r>
              <w:t xml:space="preserve"> letting the user create the agent before prerequisites pass. It is technically possible in Fabric and it produces an agent that behaves unpredictably for reasons nobody can find</w:t>
            </w:r>
          </w:p>
        </w:tc>
      </w:tr>
      <w:tr>
        <w:tc>
          <w:tcPr>
            <w:tcW w:type="dxa" w:w="1399"/>
          </w:tcPr>
          <w:p>
            <w:pPr>
              <w:spacing w:after="40"/>
            </w:pPr>
            <w:r>
              <w:t>Test Console</w:t>
            </w:r>
          </w:p>
        </w:tc>
        <w:tc>
          <w:tcPr>
            <w:tcW w:type="dxa" w:w="1399"/>
          </w:tcPr>
          <w:p>
            <w:pPr>
              <w:spacing w:after="40"/>
            </w:pPr>
            <w:r>
              <w:t>Ask the agent a question, inspect the query it generated, and verify the number against an independent figure.</w:t>
            </w:r>
          </w:p>
        </w:tc>
        <w:tc>
          <w:tcPr>
            <w:tcW w:type="dxa" w:w="1399"/>
          </w:tcPr>
          <w:p>
            <w:pPr>
              <w:spacing w:after="40"/>
            </w:pPr>
            <w:r>
              <w:t>Detail / show (see 04-UI-Specification section 7, conflict 1)</w:t>
            </w:r>
          </w:p>
        </w:tc>
        <w:tc>
          <w:tcPr>
            <w:tcW w:type="dxa" w:w="1399"/>
          </w:tcPr>
          <w:p>
            <w:pPr>
              <w:spacing w:after="40"/>
            </w:pPr>
            <w:r>
              <w:rPr>
                <w:rFonts w:ascii="Consolas" w:hAnsi="Consolas"/>
              </w:rPr>
              <w:t>Workspace</w:t>
            </w:r>
            <w:r>
              <w:t xml:space="preserve"> → </w:t>
            </w:r>
            <w:r>
              <w:rPr>
                <w:rFonts w:ascii="Consolas" w:hAnsi="Consolas"/>
              </w:rPr>
              <w:t>Data Agents</w:t>
            </w:r>
            <w:r>
              <w:t xml:space="preserve"> → </w:t>
            </w:r>
            <w:r>
              <w:rPr>
                <w:rFonts w:ascii="Consolas" w:hAnsi="Consolas"/>
              </w:rPr>
              <w:t>Test Console</w:t>
            </w:r>
            <w:r>
              <w:t xml:space="preserve">; </w:t>
            </w:r>
            <w:r>
              <w:rPr>
                <w:rFonts w:ascii="Consolas" w:hAnsi="Consolas"/>
              </w:rPr>
              <w:t>/agents/test-console</w:t>
            </w:r>
          </w:p>
        </w:tc>
        <w:tc>
          <w:tcPr>
            <w:tcW w:type="dxa" w:w="1399"/>
          </w:tcPr>
          <w:p>
            <w:pPr>
              <w:spacing w:after="40"/>
            </w:pPr>
            <w:r>
              <w:t>Shell → back link → agent header card → 2/3 main: page-hosted composer form region above the result region → 1/3 side: recent runs, "Add to ground truth"</w:t>
            </w:r>
          </w:p>
        </w:tc>
        <w:tc>
          <w:tcPr>
            <w:tcW w:type="dxa" w:w="1399"/>
          </w:tcPr>
          <w:p>
            <w:pPr>
              <w:spacing w:after="40"/>
            </w:pPr>
            <w:r>
              <w:t>"Run test" (primary, in the composer); "Add to ground truth" (secondary); "Copy query" (ghost)</w:t>
            </w:r>
          </w:p>
        </w:tc>
        <w:tc>
          <w:tcPr>
            <w:tcW w:type="dxa" w:w="1399"/>
          </w:tcPr>
          <w:p>
            <w:pPr>
              <w:spacing w:after="40"/>
            </w:pPr>
            <w:r>
              <w:t xml:space="preserve">Agent name with version as a neutral pill; question as free text; expected value and tolerance as fields; the answer as prose; </w:t>
            </w:r>
            <w:r>
              <w:rPr>
                <w:b/>
              </w:rPr>
              <w:t>the generated SQL or DAX in a bordered code region scrolling horizontally inside its own container</w:t>
            </w:r>
            <w:r>
              <w:t>; comparison outcome as a pill — pass, fail, or "Unverified" in neutral when no expected value was supplied</w:t>
            </w:r>
          </w:p>
        </w:tc>
        <w:tc>
          <w:tcPr>
            <w:tcW w:type="dxa" w:w="1399"/>
          </w:tcPr>
          <w:p>
            <w:pPr>
              <w:spacing w:after="40"/>
            </w:pPr>
            <w:r>
              <w:t>Run test follows the async contract: disable, in-place wait at stable width, guard against double-submit, return to rest, confirm by toast. The composer is a page-hosted form region, never a modal. "Unverified" is a first-class outcome, deliberately distinct from pass, so a test with no independent figure cannot be mistaken for a verified one</w:t>
            </w:r>
          </w:p>
        </w:tc>
        <w:tc>
          <w:tcPr>
            <w:tcW w:type="dxa" w:w="1399"/>
          </w:tcPr>
          <w:p>
            <w:pPr>
              <w:spacing w:after="40"/>
            </w:pPr>
            <w:r>
              <w:t>Loading: in-control wait on Run test with the result region skeletoned. Error: the platform error with the question preserved in the composer. Empty: "No tests run yet" with the composer ready</w:t>
            </w:r>
          </w:p>
        </w:tc>
        <w:tc>
          <w:tcPr>
            <w:tcW w:type="dxa" w:w="1399"/>
          </w:tcPr>
          <w:p>
            <w:pPr>
              <w:spacing w:after="40"/>
            </w:pPr>
            <w:r>
              <w:t>Data Engineer and above; agent list scoped by project; Business User absent</w:t>
            </w:r>
          </w:p>
        </w:tc>
        <w:tc>
          <w:tcPr>
            <w:tcW w:type="dxa" w:w="1399"/>
          </w:tcPr>
          <w:p>
            <w:pPr>
              <w:spacing w:after="40"/>
            </w:pPr>
            <w:r>
              <w:t xml:space="preserve">Detail / show is the compliant reading of a composer-plus-transcript surface, and the conflict is named openly rather than resolved by inventing an archetype. The curation decision that carries the product: </w:t>
            </w:r>
            <w:r>
              <w:rPr>
                <w:b/>
              </w:rPr>
              <w:t>the generated query is a primary content element, not a detail behind a disclosure.</w:t>
            </w:r>
            <w:r>
              <w:t xml:space="preserve"> A returned number that nobody inspected is the failure mode this entire platform exists to prevent, and the third outcome — "Unverified" — is what stops the console from quietly grading itself</w:t>
            </w:r>
          </w:p>
        </w:tc>
      </w:tr>
      <w:tr>
        <w:tc>
          <w:tcPr>
            <w:tcW w:type="dxa" w:w="1399"/>
          </w:tcPr>
          <w:p>
            <w:pPr>
              <w:spacing w:after="40"/>
            </w:pPr>
            <w:r>
              <w:t>Ground Truth</w:t>
            </w:r>
          </w:p>
        </w:tc>
        <w:tc>
          <w:tcPr>
            <w:tcW w:type="dxa" w:w="1399"/>
          </w:tcPr>
          <w:p>
            <w:pPr>
              <w:spacing w:after="40"/>
            </w:pPr>
            <w:r>
              <w:t>Maintain the approved question bank that turns agent accuracy into a measured figure.</w:t>
            </w:r>
          </w:p>
        </w:tc>
        <w:tc>
          <w:tcPr>
            <w:tcW w:type="dxa" w:w="1399"/>
          </w:tcPr>
          <w:p>
            <w:pPr>
              <w:spacing w:after="40"/>
            </w:pPr>
            <w:r>
              <w:t>List / index</w:t>
            </w:r>
          </w:p>
        </w:tc>
        <w:tc>
          <w:tcPr>
            <w:tcW w:type="dxa" w:w="1399"/>
          </w:tcPr>
          <w:p>
            <w:pPr>
              <w:spacing w:after="40"/>
            </w:pPr>
            <w:r>
              <w:rPr>
                <w:rFonts w:ascii="Consolas" w:hAnsi="Consolas"/>
              </w:rPr>
              <w:t>Workspace</w:t>
            </w:r>
            <w:r>
              <w:t xml:space="preserve"> → </w:t>
            </w:r>
            <w:r>
              <w:rPr>
                <w:rFonts w:ascii="Consolas" w:hAnsi="Consolas"/>
              </w:rPr>
              <w:t>Data Agents</w:t>
            </w:r>
            <w:r>
              <w:t xml:space="preserve"> → </w:t>
            </w:r>
            <w:r>
              <w:rPr>
                <w:rFonts w:ascii="Consolas" w:hAnsi="Consolas"/>
              </w:rPr>
              <w:t>Ground Truth</w:t>
            </w:r>
            <w:r>
              <w:t xml:space="preserve">; </w:t>
            </w:r>
            <w:r>
              <w:rPr>
                <w:rFonts w:ascii="Consolas" w:hAnsi="Consolas"/>
              </w:rPr>
              <w:t>/agents/ground-truth</w:t>
            </w:r>
          </w:p>
        </w:tc>
        <w:tc>
          <w:tcPr>
            <w:tcW w:type="dxa" w:w="1399"/>
          </w:tcPr>
          <w:p>
            <w:pPr>
              <w:spacing w:after="40"/>
            </w:pPr>
            <w:r>
              <w:t>Shell → page header carrying the accuracy score and trend, with CTA → search and filter bar → card-wrapped table → pagination</w:t>
            </w:r>
          </w:p>
        </w:tc>
        <w:tc>
          <w:tcPr>
            <w:tcW w:type="dxa" w:w="1399"/>
          </w:tcPr>
          <w:p>
            <w:pPr>
              <w:spacing w:after="40"/>
            </w:pPr>
            <w:r>
              <w:t>"New question" (primary); "Run full bank" (secondary); row "Open" (link)</w:t>
            </w:r>
          </w:p>
        </w:tc>
        <w:tc>
          <w:tcPr>
            <w:tcW w:type="dxa" w:w="1399"/>
          </w:tcPr>
          <w:p>
            <w:pPr>
              <w:spacing w:after="40"/>
            </w:pPr>
            <w:r>
              <w:t>Accuracy as a display-size figure with its trend in words and an icon; question as truncated text with a tooltip; expected value right-aligned tabular; tolerance as a neutral pill; approver as an initials avatar plus name; last result as a pass or fail pill; per-question trend as a sparkline paired with its pass-rate figure</w:t>
            </w:r>
          </w:p>
        </w:tc>
        <w:tc>
          <w:tcPr>
            <w:tcW w:type="dxa" w:w="1399"/>
          </w:tcPr>
          <w:p>
            <w:pPr>
              <w:spacing w:after="40"/>
            </w:pPr>
            <w:r>
              <w:t>Sorting and filtering run over the whole bank server-side, state in the URL. "Run full bank" follows the async contract and resolves to the Evaluation Run Result screen. Approval cannot be self-granted by whoever entered the expected value — the control is absent for that user rather than disabled</w:t>
            </w:r>
          </w:p>
        </w:tc>
        <w:tc>
          <w:tcPr>
            <w:tcW w:type="dxa" w:w="1399"/>
          </w:tcPr>
          <w:p>
            <w:pPr>
              <w:spacing w:after="40"/>
            </w:pPr>
            <w:r>
              <w:t>Loading: skeleton rows with the accuracy figure skeletoned separately. Empty: "No ground-truth questions yet" + "New question", with a line stating that publication is blocked until the bank exists. Error: message + Retry; the accuracy figure placeholders independently</w:t>
            </w:r>
          </w:p>
        </w:tc>
        <w:tc>
          <w:tcPr>
            <w:tcW w:type="dxa" w:w="1399"/>
          </w:tcPr>
          <w:p>
            <w:pPr>
              <w:spacing w:after="40"/>
            </w:pPr>
            <w:r>
              <w:t xml:space="preserve">Data Engineer and above author. </w:t>
            </w:r>
            <w:r>
              <w:rPr>
                <w:b/>
              </w:rPr>
              <w:t>Business User authors questions and approves expected answers assigned to them</w:t>
            </w:r>
          </w:p>
        </w:tc>
        <w:tc>
          <w:tcPr>
            <w:tcW w:type="dxa" w:w="1399"/>
          </w:tcPr>
          <w:p>
            <w:pPr>
              <w:spacing w:after="40"/>
            </w:pPr>
            <w:r>
              <w:t xml:space="preserve">List / index because the user is finding and managing records. </w:t>
            </w:r>
            <w:r>
              <w:rPr>
                <w:b/>
              </w:rPr>
              <w:t>Default sort is last-result-failing-first</w:t>
            </w:r>
            <w:r>
              <w:t>, because this list exists to be worked rather than browsed. The curation decision worth defending: the accuracy figure lives in the page header of the list itself rather than on a separate report. The number and the work that changes it belong on the same screen, or the number gets looked at monthly instead of daily</w:t>
            </w:r>
          </w:p>
        </w:tc>
      </w:tr>
      <w:tr>
        <w:tc>
          <w:tcPr>
            <w:tcW w:type="dxa" w:w="1399"/>
          </w:tcPr>
          <w:p>
            <w:pPr>
              <w:spacing w:after="40"/>
            </w:pPr>
            <w:r>
              <w:t>Agent Publication Gate</w:t>
            </w:r>
          </w:p>
        </w:tc>
        <w:tc>
          <w:tcPr>
            <w:tcW w:type="dxa" w:w="1399"/>
          </w:tcPr>
          <w:p>
            <w:pPr>
              <w:spacing w:after="40"/>
            </w:pPr>
            <w:r>
              <w:t>Publish the agent — but only once accuracy and security evidence actually exist.</w:t>
            </w:r>
          </w:p>
        </w:tc>
        <w:tc>
          <w:tcPr>
            <w:tcW w:type="dxa" w:w="1399"/>
          </w:tcPr>
          <w:p>
            <w:pPr>
              <w:spacing w:after="40"/>
            </w:pPr>
            <w:r>
              <w:t>Detail / show</w:t>
            </w:r>
          </w:p>
        </w:tc>
        <w:tc>
          <w:tcPr>
            <w:tcW w:type="dxa" w:w="1399"/>
          </w:tcPr>
          <w:p>
            <w:pPr>
              <w:spacing w:after="40"/>
            </w:pPr>
            <w:r>
              <w:rPr>
                <w:rFonts w:ascii="Consolas" w:hAnsi="Consolas"/>
              </w:rPr>
              <w:t>Workspace</w:t>
            </w:r>
            <w:r>
              <w:t xml:space="preserve"> → </w:t>
            </w:r>
            <w:r>
              <w:rPr>
                <w:rFonts w:ascii="Consolas" w:hAnsi="Consolas"/>
              </w:rPr>
              <w:t>Data Agents</w:t>
            </w:r>
            <w:r>
              <w:t xml:space="preserve"> → </w:t>
            </w:r>
            <w:r>
              <w:rPr>
                <w:rFonts w:ascii="Consolas" w:hAnsi="Consolas"/>
              </w:rPr>
              <w:t>Agents</w:t>
            </w:r>
            <w:r>
              <w:t xml:space="preserve">; </w:t>
            </w:r>
            <w:r>
              <w:rPr>
                <w:rFonts w:ascii="Consolas" w:hAnsi="Consolas"/>
              </w:rPr>
              <w:t>/agents/{agent}/publish</w:t>
            </w:r>
          </w:p>
        </w:tc>
        <w:tc>
          <w:tcPr>
            <w:tcW w:type="dxa" w:w="1399"/>
          </w:tcPr>
          <w:p>
            <w:pPr>
              <w:spacing w:after="40"/>
            </w:pPr>
            <w:r>
              <w:t>Shell → back link → agent header card → 2/3 main: an evidence card per gate, then the published-description form region → 1/3 side: bound sources, scope summary, previous versions</w:t>
            </w:r>
          </w:p>
        </w:tc>
        <w:tc>
          <w:tcPr>
            <w:tcW w:type="dxa" w:w="1399"/>
          </w:tcPr>
          <w:p>
            <w:pPr>
              <w:spacing w:after="40"/>
            </w:pPr>
            <w:r>
              <w:t xml:space="preserve">"Publish" (primary, </w:t>
            </w:r>
            <w:r>
              <w:rPr>
                <w:b/>
              </w:rPr>
              <w:t>disabled with its blocking reasons named in text</w:t>
            </w:r>
            <w:r>
              <w:t xml:space="preserve"> until every gate is met); "Use draft" / "Dismiss" (ghost, in the description region)</w:t>
            </w:r>
          </w:p>
        </w:tc>
        <w:tc>
          <w:tcPr>
            <w:tcW w:type="dxa" w:w="1399"/>
          </w:tcPr>
          <w:p>
            <w:pPr>
              <w:spacing w:after="40"/>
            </w:pPr>
            <w:r>
              <w:t>Per-gate met or unmet pill with its figure, its date and a link to the evidence; the published description as a text region with its AI draft marked "Suggested"; bound sources as a list with scope counts; previous versions with their publication dates</w:t>
            </w:r>
          </w:p>
        </w:tc>
        <w:tc>
          <w:tcPr>
            <w:tcW w:type="dxa" w:w="1399"/>
          </w:tcPr>
          <w:p>
            <w:pPr>
              <w:spacing w:after="40"/>
            </w:pPr>
            <w:r>
              <w:t xml:space="preserve">The gate is enforced in the UI and again server-side. A failed evidence load renders an error and </w:t>
            </w:r>
            <w:r>
              <w:rPr>
                <w:b/>
              </w:rPr>
              <w:t>counts as unmet</w:t>
            </w:r>
            <w:r>
              <w:t>, so a loading failure can never open the gate. The disabled Publish control carries its blocking reasons in its accessible description, not in a tooltip. The description is page-hosted and must be reviewed before publication</w:t>
            </w:r>
          </w:p>
        </w:tc>
        <w:tc>
          <w:tcPr>
            <w:tcW w:type="dxa" w:w="1399"/>
          </w:tcPr>
          <w:p>
            <w:pPr>
              <w:spacing w:after="40"/>
            </w:pPr>
            <w:r>
              <w:t>Loading: evidence cards skeleton independently. Error per card with Retry, counting as unmet. No empty state</w:t>
            </w:r>
          </w:p>
        </w:tc>
        <w:tc>
          <w:tcPr>
            <w:tcW w:type="dxa" w:w="1399"/>
          </w:tcPr>
          <w:p>
            <w:pPr>
              <w:spacing w:after="40"/>
            </w:pPr>
            <w:r>
              <w:t>Lead Data Engineer and above; publishing additionally gated by per-record policy</w:t>
            </w:r>
          </w:p>
        </w:tc>
        <w:tc>
          <w:tcPr>
            <w:tcW w:type="dxa" w:w="1399"/>
          </w:tcPr>
          <w:p>
            <w:pPr>
              <w:spacing w:after="40"/>
            </w:pPr>
            <w:r>
              <w:t xml:space="preserve">Detail / show because the user is reading one record's readiness and acting on it. </w:t>
            </w:r>
            <w:r>
              <w:rPr>
                <w:b/>
              </w:rPr>
              <w:t>Runner-up was Status / result</w:t>
            </w:r>
            <w:r>
              <w:t xml:space="preserve">, rejected because this screen is not an outcome to acknowledge — it is a decision with evidence, and the user can act. The decision that matters: </w:t>
            </w:r>
            <w:r>
              <w:rPr>
                <w:b/>
              </w:rPr>
              <w:t>Publish is shown disabled with its reasons rather than hidden.</w:t>
            </w:r>
            <w:r>
              <w:t xml:space="preserve"> A hidden button teaches nothing; a disabled one with "accuracy 81%, threshold 90%" beside it tells the user exactly what to go and do</w:t>
            </w:r>
          </w:p>
        </w:tc>
      </w:tr>
      <w:tr>
        <w:tc>
          <w:tcPr>
            <w:tcW w:type="dxa" w:w="1399"/>
          </w:tcPr>
          <w:p>
            <w:pPr>
              <w:spacing w:after="40"/>
            </w:pPr>
            <w:r>
              <w:t>Assistant</w:t>
            </w:r>
          </w:p>
        </w:tc>
        <w:tc>
          <w:tcPr>
            <w:tcW w:type="dxa" w:w="1399"/>
          </w:tcPr>
          <w:p>
            <w:pPr>
              <w:spacing w:after="40"/>
            </w:pPr>
            <w:r>
              <w:t>Let a business user ask a question in their own words and get a governed answer they can trust.</w:t>
            </w:r>
          </w:p>
        </w:tc>
        <w:tc>
          <w:tcPr>
            <w:tcW w:type="dxa" w:w="1399"/>
          </w:tcPr>
          <w:p>
            <w:pPr>
              <w:spacing w:after="40"/>
            </w:pPr>
            <w:r>
              <w:t>Detail / show (see 04-UI-Specification section 7, conflict 1)</w:t>
            </w:r>
          </w:p>
        </w:tc>
        <w:tc>
          <w:tcPr>
            <w:tcW w:type="dxa" w:w="1399"/>
          </w:tcPr>
          <w:p>
            <w:pPr>
              <w:spacing w:after="40"/>
            </w:pPr>
            <w:r>
              <w:rPr>
                <w:rFonts w:ascii="Consolas" w:hAnsi="Consolas"/>
              </w:rPr>
              <w:t>Workspace</w:t>
            </w:r>
            <w:r>
              <w:t xml:space="preserve"> → </w:t>
            </w:r>
            <w:r>
              <w:rPr>
                <w:rFonts w:ascii="Consolas" w:hAnsi="Consolas"/>
              </w:rPr>
              <w:t>Assistant</w:t>
            </w:r>
            <w:r>
              <w:t xml:space="preserve">; </w:t>
            </w:r>
            <w:r>
              <w:rPr>
                <w:rFonts w:ascii="Consolas" w:hAnsi="Consolas"/>
              </w:rPr>
              <w:t>/assistant</w:t>
            </w:r>
          </w:p>
        </w:tc>
        <w:tc>
          <w:tcPr>
            <w:tcW w:type="dxa" w:w="1399"/>
          </w:tcPr>
          <w:p>
            <w:pPr>
              <w:spacing w:after="40"/>
            </w:pPr>
            <w:r>
              <w:t>Shell → agent header card with data-freshness badge → 2/3 main: transcript region above the page-hosted composer → 1/3 side: suggested questions, the definitions behind the last answer, glossary link</w:t>
            </w:r>
          </w:p>
        </w:tc>
        <w:tc>
          <w:tcPr>
            <w:tcW w:type="dxa" w:w="1399"/>
          </w:tcPr>
          <w:p>
            <w:pPr>
              <w:spacing w:after="40"/>
            </w:pPr>
            <w:r>
              <w:t>"Send" (primary, in the composer); "Rate answer" (ghost, per answer); per-suggestion "Ask this" (link)</w:t>
            </w:r>
          </w:p>
        </w:tc>
        <w:tc>
          <w:tcPr>
            <w:tcW w:type="dxa" w:w="1399"/>
          </w:tcPr>
          <w:p>
            <w:pPr>
              <w:spacing w:after="40"/>
            </w:pPr>
            <w:r>
              <w:t xml:space="preserve">Available agent with a </w:t>
            </w:r>
            <w:r>
              <w:rPr>
                <w:b/>
              </w:rPr>
              <w:t>data-freshness badge</w:t>
            </w:r>
            <w:r>
              <w:t xml:space="preserve"> — success when current, warning when the underlying pipeline last failed; transcript turns labelled by speaker; each answer with the definitions it relied on as links; suggested questions drawn from verified answers; a rating control per answer</w:t>
            </w:r>
          </w:p>
        </w:tc>
        <w:tc>
          <w:tcPr>
            <w:tcW w:type="dxa" w:w="1399"/>
          </w:tcPr>
          <w:p>
            <w:pPr>
              <w:spacing w:after="40"/>
            </w:pPr>
            <w:r>
              <w:t>Send follows the async contract with an in-control wait at stable width. Answers arrive in a polite live region; errors are assertive. The user's own Fabric permissions apply through user authentication, so scope is enforced by Microsoft and this screen never filters. Every answer exposes the definitions behind it</w:t>
            </w:r>
          </w:p>
        </w:tc>
        <w:tc>
          <w:tcPr>
            <w:tcW w:type="dxa" w:w="1399"/>
          </w:tcPr>
          <w:p>
            <w:pPr>
              <w:spacing w:after="40"/>
            </w:pPr>
            <w:r>
              <w:t>Loading: in-control wait on Send with the answer region skeletoned. Error: a human message with the question preserved in the composer. Empty: an opening state offering the suggested questions</w:t>
            </w:r>
          </w:p>
        </w:tc>
        <w:tc>
          <w:tcPr>
            <w:tcW w:type="dxa" w:w="1399"/>
          </w:tcPr>
          <w:p>
            <w:pPr>
              <w:spacing w:after="40"/>
            </w:pPr>
            <w:r>
              <w:rPr>
                <w:b/>
              </w:rPr>
              <w:t>Every tier including Business User</w:t>
            </w:r>
            <w:r>
              <w:t xml:space="preserve"> — this is the Business User's primary screen and, for most users, the whole product</w:t>
            </w:r>
          </w:p>
        </w:tc>
        <w:tc>
          <w:tcPr>
            <w:tcW w:type="dxa" w:w="1399"/>
          </w:tcPr>
          <w:p>
            <w:pPr>
              <w:spacing w:after="40"/>
            </w:pPr>
            <w:r>
              <w:t xml:space="preserve">Detail / show per conflict 1, with the composer as a page-hosted form region. Two curation decisions carry the trust this screen depends on. </w:t>
            </w:r>
            <w:r>
              <w:rPr>
                <w:b/>
              </w:rPr>
              <w:t>First, the freshness badge is in the header, above the first answer</w:t>
            </w:r>
            <w:r>
              <w:t xml:space="preserve"> — a stale answer must be signalled before it is read, not disclaimed after. </w:t>
            </w:r>
            <w:r>
              <w:rPr>
                <w:b/>
              </w:rPr>
              <w:t>Second, every answer links to the definitions behind it.</w:t>
            </w:r>
            <w:r>
              <w:t xml:space="preserve"> The difference between an assistant people trust and one they quietly stop using is whether they can find out what "revenue" meant. </w:t>
            </w:r>
            <w:r>
              <w:rPr>
                <w:b/>
              </w:rPr>
              <w:t>Deliberately excluded:</w:t>
            </w:r>
            <w:r>
              <w:t xml:space="preserve"> confidence percentages. They invite a precision the underlying system cannot honestly offer</w:t>
            </w:r>
          </w:p>
        </w:tc>
      </w:tr>
      <w:tr>
        <w:tc>
          <w:tcPr>
            <w:tcW w:type="dxa" w:w="1399"/>
          </w:tcPr>
          <w:p>
            <w:pPr>
              <w:spacing w:after="40"/>
            </w:pPr>
            <w:r>
              <w:t>Go-Live Readiness</w:t>
            </w:r>
          </w:p>
        </w:tc>
        <w:tc>
          <w:tcPr>
            <w:tcW w:type="dxa" w:w="1399"/>
          </w:tcPr>
          <w:p>
            <w:pPr>
              <w:spacing w:after="40"/>
            </w:pPr>
            <w:r>
              <w:t>Assemble the evidence from every gate and take the five named sign-offs that release production.</w:t>
            </w:r>
          </w:p>
        </w:tc>
        <w:tc>
          <w:tcPr>
            <w:tcW w:type="dxa" w:w="1399"/>
          </w:tcPr>
          <w:p>
            <w:pPr>
              <w:spacing w:after="40"/>
            </w:pPr>
            <w:r>
              <w:t>Detail / show</w:t>
            </w:r>
          </w:p>
        </w:tc>
        <w:tc>
          <w:tcPr>
            <w:tcW w:type="dxa" w:w="1399"/>
          </w:tcPr>
          <w:p>
            <w:pPr>
              <w:spacing w:after="40"/>
            </w:pPr>
            <w:r>
              <w:rPr>
                <w:rFonts w:ascii="Consolas" w:hAnsi="Consolas"/>
              </w:rPr>
              <w:t>Compliance</w:t>
            </w:r>
            <w:r>
              <w:t xml:space="preserve"> → </w:t>
            </w:r>
            <w:r>
              <w:rPr>
                <w:rFonts w:ascii="Consolas" w:hAnsi="Consolas"/>
              </w:rPr>
              <w:t>Go-Live Readiness</w:t>
            </w:r>
            <w:r>
              <w:t xml:space="preserve">; </w:t>
            </w:r>
            <w:r>
              <w:rPr>
                <w:rFonts w:ascii="Consolas" w:hAnsi="Consolas"/>
              </w:rPr>
              <w:t>/compliance/go-live</w:t>
            </w:r>
          </w:p>
        </w:tc>
        <w:tc>
          <w:tcPr>
            <w:tcW w:type="dxa" w:w="1399"/>
          </w:tcPr>
          <w:p>
            <w:pPr>
              <w:spacing w:after="40"/>
            </w:pPr>
            <w:r>
              <w:t>Shell → project header card → 2/3 main: an evidence card per gate, then a sign-off card per approval area → 1/3 side: open exceptions requiring acknowledgement</w:t>
            </w:r>
          </w:p>
        </w:tc>
        <w:tc>
          <w:tcPr>
            <w:tcW w:type="dxa" w:w="1399"/>
          </w:tcPr>
          <w:p>
            <w:pPr>
              <w:spacing w:after="40"/>
            </w:pPr>
            <w:r>
              <w:t xml:space="preserve">"Release" (primary, </w:t>
            </w:r>
            <w:r>
              <w:rPr>
                <w:b/>
              </w:rPr>
              <w:t>disabled with its blocking reasons in text</w:t>
            </w:r>
            <w:r>
              <w:t>); per-area "Sign off" (success variant, available only to the named approver); "Acknowledge" (ghost, per exception)</w:t>
            </w:r>
          </w:p>
        </w:tc>
        <w:tc>
          <w:tcPr>
            <w:tcW w:type="dxa" w:w="1399"/>
          </w:tcPr>
          <w:p>
            <w:pPr>
              <w:spacing w:after="40"/>
            </w:pPr>
            <w:r>
              <w:t xml:space="preserve">Per-gate met, unmet or </w:t>
            </w:r>
            <w:r>
              <w:rPr>
                <w:b/>
              </w:rPr>
              <w:t>stale</w:t>
            </w:r>
            <w:r>
              <w:t xml:space="preserve"> pill with its figure, its date and an evidence link; per-area approver as an initials avatar plus name with the sign-off state; each open exception with its compensating control and approver</w:t>
            </w:r>
          </w:p>
        </w:tc>
        <w:tc>
          <w:tcPr>
            <w:tcW w:type="dxa" w:w="1399"/>
          </w:tcPr>
          <w:p>
            <w:pPr>
              <w:spacing w:after="40"/>
            </w:pPr>
            <w:r>
              <w:t xml:space="preserve">Evidence older than the most recent change renders </w:t>
            </w:r>
            <w:r>
              <w:rPr>
                <w:b/>
              </w:rPr>
              <w:t>stale</w:t>
            </w:r>
            <w:r>
              <w:t>, not met — the most important rule on the screen. A failed evidence load counts as unmet. A sign-off is available only to the named approver for that area and never to whoever produced the evidence; for others the control is absent. Every open exception requires explicit acknowledgement rather than passing silently</w:t>
            </w:r>
          </w:p>
        </w:tc>
        <w:tc>
          <w:tcPr>
            <w:tcW w:type="dxa" w:w="1399"/>
          </w:tcPr>
          <w:p>
            <w:pPr>
              <w:spacing w:after="40"/>
            </w:pPr>
            <w:r>
              <w:t>Loading: evidence cards skeleton independently. Error per card with Retry, counting as unmet. No empty state: the gate set is fixed</w:t>
            </w:r>
          </w:p>
        </w:tc>
        <w:tc>
          <w:tcPr>
            <w:tcW w:type="dxa" w:w="1399"/>
          </w:tcPr>
          <w:p>
            <w:pPr>
              <w:spacing w:after="40"/>
            </w:pPr>
            <w:r>
              <w:t>Tenant Administrator and Platform Administrator; Lead Data Engineer reads</w:t>
            </w:r>
          </w:p>
        </w:tc>
        <w:tc>
          <w:tcPr>
            <w:tcW w:type="dxa" w:w="1399"/>
          </w:tcPr>
          <w:p>
            <w:pPr>
              <w:spacing w:after="40"/>
            </w:pPr>
            <w:r>
              <w:t xml:space="preserve">Detail / show because this is one record's readiness, read and acted on. </w:t>
            </w:r>
            <w:r>
              <w:rPr>
                <w:b/>
              </w:rPr>
              <w:t>Runner-up was Dashboard</w:t>
            </w:r>
            <w:r>
              <w:t xml:space="preserve">, rejected because go-live is not a scan — every item must be looked at, and a metric-tile treatment invites exactly the skim this gate exists to prevent. The decision that makes the screen honest: </w:t>
            </w:r>
            <w:r>
              <w:rPr>
                <w:b/>
              </w:rPr>
              <w:t>three states, not two.</w:t>
            </w:r>
            <w:r>
              <w:t xml:space="preserve"> "Stale" is what catches the case where every gate is green but the model changed yesterday, and collapsing it into "met" would make the whole document decorative</w:t>
            </w:r>
          </w:p>
        </w:tc>
      </w:tr>
    </w:tbl>
    <w:p/>
    <w:p>
      <w:pPr>
        <w:pStyle w:val="Heading2"/>
      </w:pPr>
      <w:r>
        <w:t>3. Interactive mockup</w:t>
      </w:r>
    </w:p>
    <w:p>
      <w:r>
        <w:rPr>
          <w:b/>
        </w:rPr>
        <w:t>File:</w:t>
      </w:r>
      <w:r>
        <w:t xml:space="preserve"> </w:t>
      </w:r>
      <w:r>
        <w:rPr>
          <w:rFonts w:ascii="Consolas" w:hAnsi="Consolas"/>
        </w:rPr>
        <w:t>doc/mockups/semantiq-shell-mockup.html</w:t>
      </w:r>
      <w:r>
        <w:t xml:space="preserve"> — self-contained, no external dependencies beyond the approved Google Fonts import.</w:t>
      </w:r>
    </w:p>
    <w:p>
      <w:r>
        <w:rPr>
          <w:b/>
        </w:rPr>
        <w:t>What it renders:</w:t>
      </w:r>
    </w:p>
    <w:p>
      <w:pPr>
        <w:pStyle w:val="ListBullet"/>
      </w:pPr>
      <w:r>
        <w:t>The full approved shell: full-height rail owning the top-left corner, top bar over the</w:t>
      </w:r>
    </w:p>
    <w:p>
      <w:r>
        <w:t>canvas only, visible dividers between all three regions, 52px rail head matched to the top bar so their bottom dividers form one continuous line, pinned brand block as the only collapse control with just the nav list scrolling, collapsible rail persisting its state, and legible flyouts when collapsed.</w:t>
      </w:r>
    </w:p>
    <w:p>
      <w:pPr>
        <w:pStyle w:val="ListBullet"/>
      </w:pPr>
      <w:r>
        <w:t>The complete navigation tree from 04-UI-Specification section 4, across all four clusters</w:t>
      </w:r>
    </w:p>
    <w:p>
      <w:r>
        <w:t>at their real depth.</w:t>
      </w:r>
    </w:p>
    <w:p>
      <w:pPr>
        <w:pStyle w:val="ListBullet"/>
      </w:pPr>
      <w:r>
        <w:t>Both themes, with the System / Dark / Light segmented control in the profile menu's fixed</w:t>
      </w:r>
    </w:p>
    <w:p>
      <w:r>
        <w:t>Appearance section, System by default and persisted.</w:t>
      </w:r>
    </w:p>
    <w:p>
      <w:pPr>
        <w:pStyle w:val="ListBullet"/>
      </w:pPr>
      <w:r>
        <w:t xml:space="preserve">Four screens in full: </w:t>
      </w:r>
      <w:r>
        <w:rPr>
          <w:b/>
        </w:rPr>
        <w:t>Blueprint Runner</w:t>
      </w:r>
      <w:r>
        <w:t xml:space="preserve">, </w:t>
      </w:r>
      <w:r>
        <w:rPr>
          <w:b/>
        </w:rPr>
        <w:t>Enrichment Queue</w:t>
      </w:r>
      <w:r>
        <w:t xml:space="preserve">, </w:t>
      </w:r>
      <w:r>
        <w:rPr>
          <w:b/>
        </w:rPr>
        <w:t>Test Console</w:t>
      </w:r>
      <w:r>
        <w:t xml:space="preserve"> and</w:t>
      </w:r>
    </w:p>
    <w:p>
      <w:r>
        <w:rPr>
          <w:b/>
        </w:rPr>
        <w:t>Assistant</w:t>
      </w:r>
      <w:r>
        <w:t>.</w:t>
      </w:r>
    </w:p>
    <w:p>
      <w:pPr>
        <w:pStyle w:val="ListBullet"/>
      </w:pPr>
      <w:r>
        <w:t>The real states, not only the happy path: the loading skeleton, both empty flavours and</w:t>
      </w:r>
    </w:p>
    <w:p>
      <w:r>
        <w:t>the error state are all rendered and switchable, so reviewers can see them.</w:t>
      </w:r>
    </w:p>
    <w:p>
      <w:pPr>
        <w:pStyle w:val="ListBullet"/>
      </w:pPr>
      <w:r>
        <w:t>One inline SVG icon set in the approved style throughout.</w:t>
      </w:r>
    </w:p>
    <w:p>
      <w:r>
        <w:rPr>
          <w:b/>
        </w:rPr>
        <w:t>Known placeholder:</w:t>
      </w:r>
      <w:r>
        <w:t xml:space="preserve"> the brand mark. The assets exist on </w:t>
      </w:r>
      <w:r>
        <w:rPr>
          <w:rFonts w:ascii="Consolas" w:hAnsi="Consolas"/>
        </w:rPr>
        <w:t>DEV</w:t>
      </w:r>
      <w:r>
        <w:t xml:space="preserve"> (see section 1); the mockup still shows a marked text placeholder and an HTML comment, pending confirmation of the authoritative copy and the install path. </w:t>
      </w:r>
      <w:r>
        <w:rPr>
          <w:b/>
        </w:rPr>
        <w:t>Impact:</w:t>
      </w:r>
      <w:r>
        <w:t xml:space="preserve"> the sidebar brand block and the sign-in screen cannot be signed off visually until those two are confirmed.</w:t>
      </w:r>
    </w:p>
    <w:p>
      <w:pPr>
        <w:pStyle w:val="Heading2"/>
      </w:pPr>
      <w:r>
        <w:t>4. Final reporting</w:t>
      </w:r>
    </w:p>
    <w:p>
      <w:r>
        <w:rPr>
          <w:b/>
        </w:rPr>
        <w:t>Archetypes and deciding factors.</w:t>
      </w:r>
      <w:r>
        <w:t xml:space="preserve"> Dashboard where the user scans for exceptions (Dashboard, Readiness). List / index where the user searches (Projects, Enrichment Queue, Ground Truth). Builder where parts compose behind a gated advance (Blueprint Runner, Agent Builder). Detail / show where one record is read and acted on (Step Detail, Agent Publication Gate, Go-Live Readiness) and for the two conversational surfaces per the named conflict. Form for data entry (Object Enrichment). Settings / config for the test-before-save contract (Connection Configuration). Runners-up were recorded and rejected with their reason on four screens.</w:t>
      </w:r>
    </w:p>
    <w:p>
      <w:r>
        <w:rPr>
          <w:b/>
        </w:rPr>
        <w:t>Shell placement.</w:t>
      </w:r>
      <w:r>
        <w:t xml:space="preserve"> All four fixed clusters in their fixed order, none added, renamed or reordered. Deepest path is three levels (</w:t>
      </w:r>
      <w:r>
        <w:rPr>
          <w:rFonts w:ascii="Consolas" w:hAnsi="Consolas"/>
        </w:rPr>
        <w:t>Data Platform</w:t>
      </w:r>
      <w:r>
        <w:t xml:space="preserve"> → </w:t>
      </w:r>
      <w:r>
        <w:rPr>
          <w:rFonts w:ascii="Consolas" w:hAnsi="Consolas"/>
        </w:rPr>
        <w:t>Ingestion</w:t>
      </w:r>
      <w:r>
        <w:t xml:space="preserve"> → </w:t>
      </w:r>
      <w:r>
        <w:rPr>
          <w:rFonts w:ascii="Consolas" w:hAnsi="Consolas"/>
        </w:rPr>
        <w:t>Pipelines</w:t>
      </w:r>
      <w:r>
        <w:t>). No fourth accordion level. The only tab strip is the project record's facets, which is record-facet handling and is terminal. Standing navigation stayed in the sidebar throughout; the top bar carries no navigation, no global search and no action buttons.</w:t>
      </w:r>
    </w:p>
    <w:p>
      <w:r>
        <w:rPr>
          <w:b/>
        </w:rPr>
        <w:t>Shell layout held.</w:t>
      </w:r>
      <w:r>
        <w:t xml:space="preserve"> Full-height rail owning the corner, top bar over the canvas only, visible dividers between all three regions, rail head matched to the 52px top bar, pinned brand block with only the nav list scrolling, legible collapsed flyouts, flicker-free collapse.</w:t>
      </w:r>
    </w:p>
    <w:p>
      <w:r>
        <w:rPr>
          <w:b/>
        </w:rPr>
        <w:t>UI states rendered.</w:t>
      </w:r>
      <w:r>
        <w:t xml:space="preserve"> Success, loading skeleton, empty no-data, empty no-results and error with Retry, all four across the mockup. Three deliberate strengthenings: a failed evidence load counts as </w:t>
      </w:r>
      <w:r>
        <w:rPr>
          <w:b/>
        </w:rPr>
        <w:t>unmet</w:t>
      </w:r>
      <w:r>
        <w:t xml:space="preserve"> on both gate screens; "Unverified" is a first-class test outcome distinct from pass; and "stale" is a third state on go-live evidence.</w:t>
      </w:r>
    </w:p>
    <w:p>
      <w:r>
        <w:rPr>
          <w:b/>
        </w:rPr>
        <w:t>Forms.</w:t>
      </w:r>
      <w:r>
        <w:t xml:space="preserve"> Every create, edit, multi-step and settings form is page-hosted on its own route or as a form region on the current page. </w:t>
      </w:r>
      <w:r>
        <w:rPr>
          <w:b/>
        </w:rPr>
        <w:t>No modal carries a form anywhere in this curation.</w:t>
      </w:r>
      <w:r>
        <w:t xml:space="preserve"> Dialogs appear only for a decision that must be answered now — a destructive confirmation naming its target, a typed confirm word, a rejection reason.</w:t>
      </w:r>
    </w:p>
    <w:p>
      <w:r>
        <w:rPr>
          <w:b/>
        </w:rPr>
        <w:t>Lists.</w:t>
      </w:r>
      <w:r>
        <w:t xml:space="preserve"> Every list declares its default sort, states which columns sort, names its facets, runs both sort and filter server-side over the whole result set, reports the filtered total in both counts, returns to page 1 on any change, and keeps its state in the URL query. Two default sorts were chosen against the obvious option and the reasoning recorded: Projects sorts by Updated rather than blocked count, and Enrichment Queue sorts by AI-surface membership rather than alphabetically.</w:t>
      </w:r>
    </w:p>
    <w:p>
      <w:r>
        <w:rPr>
          <w:b/>
        </w:rPr>
        <w:t>Wizards.</w:t>
      </w:r>
      <w:r>
        <w:t xml:space="preserve"> The three step-by-step forms specified in 04-UI-Specification each carry exactly Back and Continue, with Continue validating the step and </w:t>
      </w:r>
      <w:r>
        <w:rPr>
          <w:b/>
        </w:rPr>
        <w:t>saving a resumable server-side draft before advancing</w:t>
      </w:r>
      <w:r>
        <w:t>, becoming Provision, Create or Finish on the last step. No third "Save as draft" control. No draft holds a credential.</w:t>
      </w:r>
    </w:p>
    <w:p>
      <w:r>
        <w:rPr>
          <w:b/>
        </w:rPr>
        <w:t>Role and access.</w:t>
      </w:r>
      <w:r>
        <w:t xml:space="preserve"> All four layers applied per screen: cluster and feature gate on both the sidebar and the server-side handler, per-record policy, list and query scope, and the hard gate on permanent delete. Unauthorized items absent, not dimmed. Business User is narrowed to the Assistant, the Business Glossary, read-only project status, and the two surfaces where the business tier genuinely leads.</w:t>
      </w:r>
    </w:p>
    <w:p>
      <w:r>
        <w:rPr>
          <w:b/>
        </w:rPr>
        <w:t>Branding.</w:t>
      </w:r>
      <w:r>
        <w:t xml:space="preserve"> The approved palette, type, shape, spacing and elevation applied unmodified in both themes, with no per-screen colour or font anywhere in this curation. Application name confirmed by the user; navigation tree and role labels specified for confirmation.</w:t>
      </w:r>
    </w:p>
    <w:p>
      <w:r>
        <w:rPr>
          <w:b/>
        </w:rPr>
        <w:t>Asset status flagged:</w:t>
      </w:r>
      <w:r>
        <w:t xml:space="preserve"> the approved brand asset pack is present on </w:t>
      </w:r>
      <w:r>
        <w:rPr>
          <w:rFonts w:ascii="Consolas" w:hAnsi="Consolas"/>
        </w:rPr>
        <w:t>DEV</w:t>
      </w:r>
      <w:r>
        <w:t>; its authoritative copy and install location are unconfirmed, with the impact stated in section 3.</w:t>
      </w:r>
    </w:p>
    <w:p>
      <w:r>
        <w:rPr>
          <w:b/>
        </w:rPr>
        <w:t>Authorized deviations.</w:t>
      </w:r>
      <w:r>
        <w:t xml:space="preserve"> None. One archetype conflict was named openly and resolved into a compliant shape rather than taken as an exception, and it is referred back to the technical lead for a product-wide decision.</w:t>
      </w:r>
    </w:p>
    <w:p>
      <w:r>
        <w:t>*05-Mockup-Screen-Curation*</w:t>
      </w:r>
    </w:p>
    <w:sectPr w:rsidR="00FC693F" w:rsidRPr="0006063C" w:rsidSect="00034616">
      <w:footerReference w:type="default" r:id="rId9"/>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4D5E75"/>
        <w:sz w:val="16"/>
      </w:rPr>
      <w:t>05-Mockup-Screen-Curation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