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Liberation Serif" w:hAnsi="Liberation Serif"/>
          <w:b/>
          <w:color w:val="17365D"/>
          <w:sz w:val="64"/>
        </w:rPr>
        <w:t>SEMANTIQ</w:t>
      </w:r>
    </w:p>
    <w:p>
      <w:pPr>
        <w:jc w:val="center"/>
      </w:pPr>
      <w:r>
        <w:rPr>
          <w:rFonts w:ascii="Liberation Serif" w:hAnsi="Liberation Serif"/>
          <w:b/>
          <w:color w:val="2E75B6"/>
          <w:sz w:val="46"/>
        </w:rPr>
        <w:t>Phase 00 Reference</w:t>
      </w:r>
    </w:p>
    <w:p>
      <w:pPr>
        <w:jc w:val="center"/>
      </w:pPr>
      <w:r>
        <w:rPr>
          <w:rFonts w:ascii="Liberation Sans" w:hAnsi="Liberation Sans"/>
          <w:color w:val="2A7F84"/>
          <w:sz w:val="26"/>
        </w:rPr>
        <w:t>Engineering Foundation and Control Plane Skeleton</w:t>
      </w:r>
    </w:p>
    <w:p>
      <w:pPr>
        <w:spacing w:before="320"/>
        <w:jc w:val="center"/>
      </w:pPr>
      <w:r>
        <w:rPr>
          <w:b/>
          <w:color w:val="17365D"/>
          <w:sz w:val="24"/>
        </w:rPr>
        <w:t>P00-FND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Establish the repository, application shell, control-plane architecture, configuration persistence, security baseline, orchestration framework, auditability, help framework and phase-gate workflow before customer-facing Fabric automation is built.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7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 00 - Engineering Foundation and Control Plane Skeleton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Reference ID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P00-FND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baseline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SemantIQ Software Requirements Specification v0.3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sections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1-4, 6-8, 17-19 and cross-cutting design principles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GitHub reference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doc/phases/PHASE-00-FOUNDATION.md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Completion gate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CONFIRM PHASE 00 COMPLETE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Phase Objective and Boundary</w:t>
      </w:r>
    </w:p>
    <w:p>
      <w:r>
        <w:t>Establish the repository, application shell, control-plane architecture, configuration persistence, security baseline, orchestration framework, auditability, help framework and phase-gate workflow before customer-facing Fabric automation is built.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Phase boundary: </w:t>
            </w:r>
            <w:r>
              <w:t>Only the scope defined in this phase is implementable while this phase is active. Later phases remain locked until the user sends: CONFIRM PHASE 00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2. Preconditions</w:t>
      </w:r>
    </w:p>
    <w:p>
      <w:pPr>
        <w:pStyle w:val="ListBullet"/>
      </w:pPr>
      <w:r>
        <w:t>Approved access to the GitHub repository.</w:t>
      </w:r>
    </w:p>
    <w:p>
      <w:pPr>
        <w:pStyle w:val="ListBullet"/>
      </w:pPr>
      <w:r>
        <w:t>Current SRS baseline available in doc/reference.</w:t>
      </w:r>
    </w:p>
    <w:p>
      <w:pPr>
        <w:pStyle w:val="ListBullet"/>
      </w:pPr>
      <w:r>
        <w:t>No unapproved architecture or framework assumptions.</w:t>
      </w:r>
    </w:p>
    <w:p>
      <w:pPr>
        <w:pStyle w:val="Heading1"/>
      </w:pPr>
      <w:r>
        <w:t>3. Implementation Activities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Inspect the existing GitHub repository and document the actual technology stack; do not replace frameworks or infrastructure without approval.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Create the Semantiq application shell, navigation, organisation context and tenant-isolation boundary.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Implement the configuration data model baseline for Organisation, WorkflowRun, AuditEvent, HelpTopic and generic FabricItem references.</w:t>
      </w:r>
    </w:p>
    <w:p>
      <w:pPr>
        <w:spacing w:after="60"/>
        <w:ind w:left="317" w:hanging="317"/>
      </w:pPr>
      <w:r>
        <w:rPr>
          <w:b/>
        </w:rPr>
        <w:t xml:space="preserve">4. </w:t>
      </w:r>
      <w:r>
        <w:t>Implement secret-provider abstraction; no real credentials are stored until Phase 1.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asynchronous workflow orchestration for operations longer than 10 seconds, including correlation IDs, retries and resumable status.</w:t>
      </w:r>
    </w:p>
    <w:p>
      <w:pPr>
        <w:spacing w:after="60"/>
        <w:ind w:left="317" w:hanging="317"/>
      </w:pPr>
      <w:r>
        <w:rPr>
          <w:b/>
        </w:rPr>
        <w:t xml:space="preserve">6. </w:t>
      </w:r>
      <w:r>
        <w:t>Implement the common status model: Not Started, In Progress, Action Required, Approval Required, Ready, Succeeded, Warning, Failed, Drift Detected and Revalidation Required.</w:t>
      </w:r>
    </w:p>
    <w:p>
      <w:pPr>
        <w:spacing w:after="60"/>
        <w:ind w:left="317" w:hanging="317"/>
      </w:pPr>
      <w:r>
        <w:rPr>
          <w:b/>
        </w:rPr>
        <w:t xml:space="preserve">7. </w:t>
      </w:r>
      <w:r>
        <w:t>Implement immutable/auditable event capture for configuration changes and external API operations.</w:t>
      </w:r>
    </w:p>
    <w:p>
      <w:pPr>
        <w:spacing w:after="60"/>
        <w:ind w:left="317" w:hanging="317"/>
      </w:pPr>
      <w:r>
        <w:rPr>
          <w:b/>
        </w:rPr>
        <w:t xml:space="preserve">8. </w:t>
      </w:r>
      <w:r>
        <w:t>Implement the context-help framework and Help Centre content model so later phases can attach exact help topics to screens.</w:t>
      </w:r>
    </w:p>
    <w:p>
      <w:pPr>
        <w:spacing w:after="60"/>
        <w:ind w:left="317" w:hanging="317"/>
      </w:pPr>
      <w:r>
        <w:rPr>
          <w:b/>
        </w:rPr>
        <w:t xml:space="preserve">9. </w:t>
      </w:r>
      <w:r>
        <w:t>Create API adapter/capability-registry interfaces so stable, preview and guided-only Microsoft operations can be handled without front-end redesign.</w:t>
      </w:r>
    </w:p>
    <w:p>
      <w:pPr>
        <w:spacing w:after="60"/>
        <w:ind w:left="317" w:hanging="317"/>
      </w:pPr>
      <w:r>
        <w:rPr>
          <w:b/>
        </w:rPr>
        <w:t xml:space="preserve">10. </w:t>
      </w:r>
      <w:r>
        <w:t>Create CI/CD quality gates, automated tests, linting/static analysis, environment configuration and a safe local-development workflow.</w:t>
      </w:r>
    </w:p>
    <w:p>
      <w:pPr>
        <w:spacing w:after="60"/>
        <w:ind w:left="317" w:hanging="317"/>
      </w:pPr>
      <w:r>
        <w:rPr>
          <w:b/>
        </w:rPr>
        <w:t xml:space="preserve">11. </w:t>
      </w:r>
      <w:r>
        <w:t>Create the phase-gate files and require explicit user confirmation before a phase is marked complete.</w:t>
      </w:r>
    </w:p>
    <w:p>
      <w:pPr>
        <w:pStyle w:val="Heading1"/>
      </w:pPr>
      <w:r>
        <w:t>4. Required Outputs / Artifacts</w:t>
      </w:r>
    </w:p>
    <w:p>
      <w:pPr>
        <w:pStyle w:val="ListBullet"/>
      </w:pPr>
      <w:r>
        <w:t>Running Semantiq shell</w:t>
      </w:r>
    </w:p>
    <w:p>
      <w:pPr>
        <w:pStyle w:val="ListBullet"/>
      </w:pPr>
      <w:r>
        <w:t>Organisation/tenant context foundation</w:t>
      </w:r>
    </w:p>
    <w:p>
      <w:pPr>
        <w:pStyle w:val="ListBullet"/>
      </w:pPr>
      <w:r>
        <w:t>Configuration database baseline</w:t>
      </w:r>
    </w:p>
    <w:p>
      <w:pPr>
        <w:pStyle w:val="ListBullet"/>
      </w:pPr>
      <w:r>
        <w:t>Secret-provider abstraction</w:t>
      </w:r>
    </w:p>
    <w:p>
      <w:pPr>
        <w:pStyle w:val="ListBullet"/>
      </w:pPr>
      <w:r>
        <w:t>Workflow orchestration service</w:t>
      </w:r>
    </w:p>
    <w:p>
      <w:pPr>
        <w:pStyle w:val="ListBullet"/>
      </w:pPr>
      <w:r>
        <w:t>Audit log framework</w:t>
      </w:r>
    </w:p>
    <w:p>
      <w:pPr>
        <w:pStyle w:val="ListBullet"/>
      </w:pPr>
      <w:r>
        <w:t>Help Centre framework</w:t>
      </w:r>
    </w:p>
    <w:p>
      <w:pPr>
        <w:pStyle w:val="ListBullet"/>
      </w:pPr>
      <w:r>
        <w:t>Capability registry</w:t>
      </w:r>
    </w:p>
    <w:p>
      <w:pPr>
        <w:pStyle w:val="ListBullet"/>
      </w:pPr>
      <w:r>
        <w:t>CI/CD baseline</w:t>
      </w:r>
    </w:p>
    <w:p>
      <w:pPr>
        <w:pStyle w:val="ListBullet"/>
      </w:pPr>
      <w:r>
        <w:t>Phase status and evidence workflow</w:t>
      </w:r>
    </w:p>
    <w:p>
      <w:pPr>
        <w:pStyle w:val="Heading2"/>
      </w:pPr>
      <w:r>
        <w:t>Application Screens in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functions</w:t>
            </w:r>
          </w:p>
        </w:tc>
        <w:tc>
          <w:tcPr>
            <w:tcW w:type="dxa" w:w="19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Help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Organisation Setup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Organisation name, tenant ID, domain, region, owner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metadata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HLP-ORG-001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SC-025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Help Centre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All roles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Context help, step guides, troubleshooting, prerequisites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content service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SC-026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Audit Log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Admins/Auditors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Who, what, when, target, API, result, correlation ID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audit store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HLP-AUD-001</w:t>
            </w:r>
          </w:p>
        </w:tc>
      </w:tr>
    </w:tbl>
    <w:p>
      <w:pPr>
        <w:spacing w:after="20"/>
      </w:pPr>
    </w:p>
    <w:p>
      <w:pPr>
        <w:pStyle w:val="Heading2"/>
      </w:pPr>
      <w:r>
        <w:t>Non-Functional Requirements to Verify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5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Security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Secrets encrypted at rest; no plaintext secrets in logs/database; OWASP-aligned web controls.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Tenant isolation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All Semantiq records are partitioned and authorised by organisation/tenant context.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NFR-AVL-01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Availability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Target 99.9% monthly availability for Semantiq control-plane application, excluding Microsoft/customer dependencies.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NFR-PERF-01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Interactive performance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95th percentile page response &lt; 3 seconds for metadata screens excluding external API execution.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NFR-PERF-02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Long operations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Operations over 10 seconds run asynchronously with progress/status; browser request is not held open.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NFR-SCL-01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Scalability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Control plane supports many customer tenants and thousands of managed Fabric items without cross-tenant contention.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NFR-OBS-01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Observability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Structured logs, metrics, distributed correlation IDs, alerting and searchable audit.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NFR-DR-01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Recovery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Configuration database backed up; documented RPO/RTO; secret vault integrated with platform recovery.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NFR-UX-01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Non-specialist admin can follow guided setup with contextual help and clear prerequisite status.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NFR-A11Y-01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Accessibility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Web UI follows WCAG 2.1 AA target for navigation, labels, contrast and keyboard usage.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NFR-COMP-01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Privacy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Store minimum customer business data in control plane; prefer metadata and resource IDs.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NFR-COMP-02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Audit retention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Retention configurable according to customer and regulatory requirements.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NFR-MNT-01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Maintainability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Fabric API integration isolated behind adapters/capability flags so Microsoft API changes do not require front-end redesign.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NFR-VER-01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Versioning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Generated Fabric definitions, quality rules, semantic configuration and Data Agent definitions are versioned.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NFR-SUP-01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export contains configuration and request IDs but redacts secrets and sensitive business data.</w:t>
            </w:r>
          </w:p>
        </w:tc>
      </w:tr>
    </w:tbl>
    <w:p>
      <w:pPr>
        <w:spacing w:after="20"/>
      </w:pPr>
    </w:p>
    <w:p>
      <w:pPr>
        <w:pStyle w:val="Heading2"/>
      </w:pPr>
      <w:r>
        <w:t>AI / Conversational Architecture Preparation</w:t>
      </w:r>
    </w:p>
    <w:p>
      <w:pPr/>
      <w:r>
        <w:t>Reference AI-TECH-001 before later AI implementation. Phase 00 must establish provider-neutral interfaces for Model Provider, Agent Runtime, Knowledge/Retrieval Provider, Tool/MCP Provider, Conversation Store, Evaluation/Observability and Channel/UI Adapter. It does not select an LLM.</w:t>
      </w:r>
    </w:p>
    <w:p>
      <w:pPr>
        <w:pStyle w:val="ListBullet"/>
      </w:pPr>
      <w:r>
        <w:t>Deterministic Fabric provisioning/configuration remains outside the LLM execution path.</w:t>
      </w:r>
    </w:p>
    <w:p>
      <w:pPr>
        <w:pStyle w:val="ListBullet"/>
      </w:pPr>
      <w:r>
        <w:t>Later AI stack selection requires a user-approved AI technology decision record.</w:t>
      </w:r>
    </w:p>
    <w:p>
      <w:pPr>
        <w:pStyle w:val="Heading1"/>
      </w:pPr>
      <w:r>
        <w:t>Verification Checklist</w:t>
      </w:r>
    </w:p>
    <w:p>
      <w:pPr>
        <w:pStyle w:val="ListBullet"/>
      </w:pPr>
      <w:r>
        <w:rPr>
          <w:b/>
        </w:rPr>
        <w:t xml:space="preserve">[ ] </w:t>
      </w:r>
      <w:r>
        <w:t>Repository stack and architecture are documented and approved.</w:t>
      </w:r>
    </w:p>
    <w:p>
      <w:pPr>
        <w:pStyle w:val="ListBullet"/>
      </w:pPr>
      <w:r>
        <w:rPr>
          <w:b/>
        </w:rPr>
        <w:t>[ ] Organisation/tenant boundary tests prove records outside the active organisation context cannot be accessed; multiple organisation fixtures may be used even though the current deployment is single-customer.</w:t>
      </w:r>
      <w:r/>
    </w:p>
    <w:p>
      <w:pPr>
        <w:pStyle w:val="ListBullet"/>
      </w:pPr>
      <w:r>
        <w:rPr>
          <w:b/>
        </w:rPr>
        <w:t xml:space="preserve">[ ] </w:t>
      </w:r>
      <w:r>
        <w:t>A sample long-running workflow can resume and records correlation/audit data.</w:t>
      </w:r>
    </w:p>
    <w:p>
      <w:pPr>
        <w:pStyle w:val="ListBullet"/>
      </w:pPr>
      <w:r>
        <w:rPr>
          <w:b/>
        </w:rPr>
        <w:t xml:space="preserve">[ ] </w:t>
      </w:r>
      <w:r>
        <w:t>No secret is present in source control, application logs or configuration database.</w:t>
      </w:r>
    </w:p>
    <w:p>
      <w:pPr>
        <w:pStyle w:val="ListBullet"/>
      </w:pPr>
      <w:r>
        <w:rPr>
          <w:b/>
        </w:rPr>
        <w:t xml:space="preserve">[ ] </w:t>
      </w:r>
      <w:r>
        <w:t>Help topic can be opened contextually from a sample screen.</w:t>
      </w:r>
    </w:p>
    <w:p>
      <w:pPr>
        <w:pStyle w:val="ListBullet"/>
      </w:pPr>
      <w:r>
        <w:rPr>
          <w:b/>
        </w:rPr>
        <w:t xml:space="preserve">[ ] </w:t>
      </w:r>
      <w:r>
        <w:t>CI pipeline passes required tests and quality checks.</w:t>
      </w:r>
    </w:p>
    <w:p>
      <w:pPr>
        <w:pStyle w:val="Heading2"/>
      </w:pPr>
      <w:r>
        <w:t>Evidence Required Before User Confirmation</w:t>
      </w:r>
    </w:p>
    <w:p>
      <w:pPr>
        <w:pStyle w:val="ListBullet"/>
      </w:pPr>
      <w:r>
        <w:t>Automated test result summary and links/paths to test reports.</w:t>
      </w:r>
    </w:p>
    <w:p>
      <w:pPr>
        <w:pStyle w:val="ListBullet"/>
      </w:pPr>
      <w:r>
        <w:t>Manual verification result for administrator/customer-facing workflow.</w:t>
      </w:r>
    </w:p>
    <w:p>
      <w:pPr>
        <w:pStyle w:val="ListBullet"/>
      </w:pPr>
      <w:r>
        <w:t>Relevant screenshots, request/correlation IDs or logs with secrets redacted.</w:t>
      </w:r>
    </w:p>
    <w:p>
      <w:pPr>
        <w:pStyle w:val="ListBullet"/>
      </w:pPr>
      <w:r>
        <w:t>Database migration/configuration changes and rollback notes.</w:t>
      </w:r>
    </w:p>
    <w:p>
      <w:pPr>
        <w:pStyle w:val="ListBullet"/>
      </w:pPr>
      <w:r>
        <w:t>Known issues, deferred items and risk statement.</w:t>
      </w:r>
    </w:p>
    <w:p>
      <w:pPr>
        <w:pStyle w:val="ListBullet"/>
      </w:pPr>
      <w:r>
        <w:t>Statement confirming no later-phase scope was implemented except approved stubs/interfaces.</w:t>
      </w:r>
    </w:p>
    <w:p>
      <w:pPr>
        <w:pStyle w:val="Heading2"/>
      </w:pPr>
      <w:r>
        <w:t>User Completion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</w:rPr>
              <w:t xml:space="preserve">Required user confirmation: </w:t>
            </w:r>
            <w:r>
              <w:t>CONFIRM PHASE 00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Claude Code Execution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Critical gate: </w:t>
            </w:r>
            <w:r>
              <w:t>Claude Code must not start a later phase just because automated tests pass. The current phase is complete only after verification evidence is presented and the user explicitly confirms completion.</w:t>
            </w:r>
          </w:p>
        </w:tc>
      </w:tr>
    </w:tbl>
    <w:p>
      <w:pPr>
        <w:spacing w:after="20"/>
      </w:pPr>
    </w:p>
    <w:p>
      <w:pPr>
        <w:spacing w:after="60"/>
        <w:ind w:left="317" w:hanging="317"/>
      </w:pPr>
      <w:r>
        <w:rPr>
          <w:b/>
        </w:rPr>
        <w:t>1. Read CLAUDE.md, doc/MASTER_IMPLEMENTATION_PLAN.md, IMPLEMENTATION_STATUS.md and the current phase reference before making changes.</w:t>
      </w:r>
      <w:r/>
    </w:p>
    <w:p>
      <w:pPr>
        <w:spacing w:after="60"/>
        <w:ind w:left="317" w:hanging="317"/>
      </w:pPr>
      <w:r>
        <w:rPr>
          <w:b/>
        </w:rPr>
        <w:t xml:space="preserve">2. </w:t>
      </w:r>
      <w:r>
        <w:t>Inspect the repository and existing implementation. Do not assume a framework, cloud hosting model or database that is not present or approved.</w:t>
      </w:r>
    </w:p>
    <w:p>
      <w:pPr>
        <w:spacing w:after="60"/>
        <w:ind w:left="317" w:hanging="317"/>
      </w:pPr>
      <w:r>
        <w:rPr>
          <w:b/>
        </w:rPr>
        <w:t>3. Create or update doc/execution/PHASE-00-PLAN.md with scope, affected components/files, migrations, APIs, security impact, test strategy and rollback approach.</w:t>
      </w:r>
      <w:r/>
    </w:p>
    <w:p>
      <w:pPr>
        <w:spacing w:after="60"/>
        <w:ind w:left="317" w:hanging="317"/>
      </w:pPr>
      <w:r>
        <w:rPr>
          <w:b/>
        </w:rPr>
        <w:t xml:space="preserve">4. </w:t>
      </w:r>
      <w:r>
        <w:t>Present the plan to the user and wait for approval before implementing material changes.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only tasks assigned to the current phase. Do not pull forward features from later phases except minimal stubs/interfaces required by the current design.</w:t>
      </w:r>
    </w:p>
    <w:p>
      <w:pPr>
        <w:spacing w:after="60"/>
        <w:ind w:left="317" w:hanging="317"/>
      </w:pPr>
      <w:r>
        <w:rPr>
          <w:b/>
        </w:rPr>
        <w:t>6. Create or update doc/execution/PHASE-00-VERIFICATION.md with automated test results, manual verification, screenshots/log/request IDs where appropriate, known issues and unresolved risks.</w:t>
      </w:r>
      <w:r/>
    </w:p>
    <w:p>
      <w:pPr>
        <w:spacing w:after="60"/>
        <w:ind w:left="317" w:hanging="317"/>
      </w:pPr>
      <w:r>
        <w:rPr>
          <w:b/>
        </w:rPr>
        <w:t xml:space="preserve">7. </w:t>
      </w:r>
      <w:r>
        <w:t>Present verification evidence and ask the user to confirm the phase.</w:t>
      </w:r>
    </w:p>
    <w:p>
      <w:pPr>
        <w:spacing w:after="60"/>
        <w:ind w:left="317" w:hanging="317"/>
      </w:pPr>
      <w:r>
        <w:rPr>
          <w:b/>
        </w:rPr>
        <w:t>8. Only after explicit user confirmation, update IMPLEMENTATION_STATUS.md to CONFIRMED for the current phase and unlock the next phase.</w:t>
      </w:r>
      <w:r/>
    </w:p>
    <w:p>
      <w:pPr>
        <w:spacing w:after="60"/>
        <w:ind w:left="317" w:hanging="317"/>
      </w:pPr>
      <w:r>
        <w:rPr>
          <w:b/>
        </w:rPr>
        <w:t xml:space="preserve">9. </w:t>
      </w:r>
      <w:r>
        <w:t>If a Microsoft API/permission/UI differs from the reference document, stop the affected task, verify current Microsoft documentation, record the difference in the decision log and obtain approval before changing the baseline approach.</w:t>
      </w:r>
    </w:p>
    <w:p>
      <w:pPr>
        <w:pStyle w:val="Heading2"/>
      </w:pPr>
      <w:r>
        <w:t>v1.3 Mandatory Note: Data Protection, Sovereignty &amp; Context</w:t>
      </w:r>
    </w:p>
    <w:p>
      <w:r>
        <w:t>DataProtectionProfile, context registers and safe logging are part of the engineering foundation.</w:t>
      </w:r>
    </w:p>
    <w:p>
      <w:pPr>
        <w:pStyle w:val="ListBullet"/>
      </w:pPr>
      <w:r>
        <w:t>Create deny-by-default geography policy and reusable sovereignty validation.</w:t>
      </w:r>
    </w:p>
    <w:p>
      <w:pPr>
        <w:pStyle w:val="ListBullet"/>
      </w:pPr>
      <w:r>
        <w:t>Create and maintain code/data/validation/configuration/sovereignty registers.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573"/>
        <w:sz w:val="16"/>
      </w:rPr>
      <w:t xml:space="preserve">Semantiq Phased Implementation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F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A7F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spacing w:after="60"/>
      <w:ind w:left="259"/>
    </w:pPr>
    <w:rPr>
      <w:rFonts w:ascii="Liberation Mono" w:hAnsi="Liberation Mono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