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01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Tenant Onboarding, SSO and Fabric Automation Identity</w:t>
      </w:r>
    </w:p>
    <w:p>
      <w:pPr>
        <w:spacing w:before="320"/>
        <w:jc w:val="center"/>
      </w:pPr>
      <w:r>
        <w:rPr>
          <w:b/>
          <w:color w:val="17365D"/>
          <w:sz w:val="24"/>
        </w:rPr>
        <w:t>P01-IDN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Allow a customer to sign in securely, establish tenant identity, obtain required tenant-admin consent, register/connect a customer-owned automation identity and verify a backend Fabric token without exposing credentials to the browser.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01 - Tenant Onboarding, SSO and Fabric Automation Identity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P01-IDN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5, 15, 16.1, Appendix A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doc/phases/PHASE-01-IDENTITY.md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01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Allow a customer to sign in securely, establish tenant identity, obtain required tenant-admin consent, register/connect a customer-owned automation identity and verify a backend Fabric token without exposing credentials to the browser.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01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00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Implement Microsoft Entra authorization-code flow with PKCE for Semantiq user sign-in.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Resolve and persist verified tenant ID and block privileged actions when the token tenant does not match the onboarded organisation.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Implement SSO &amp; Consent screen with admin-consent status, callback/redirect verification, Test SSO and context help.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Implement Fabric Automation Identity screen for Tenant ID, Client ID, credential type, secret/certificate reference, expiry and validation state.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secure server-side client-credentials token acquisition for Fabric using scope https://api.fabric.microsoft.com/.default.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Store secrets/certificates only in the approved vault/KMS and retain only references/metadata in the application database.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Implement credential-expiry monitoring and rotation workflow.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Implement detailed guided help for App Registration, credential creation, Fabric service-principal tenant settings and workspace access.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Implement offboarding controls that remove stored credentials/tokens and record revocation checklist.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Working SSO</w:t>
      </w:r>
    </w:p>
    <w:p>
      <w:pPr>
        <w:pStyle w:val="ListBullet"/>
      </w:pPr>
      <w:r>
        <w:t>Tenant verification</w:t>
      </w:r>
    </w:p>
    <w:p>
      <w:pPr>
        <w:pStyle w:val="ListBullet"/>
      </w:pPr>
      <w:r>
        <w:t>Admin consent workflow</w:t>
      </w:r>
    </w:p>
    <w:p>
      <w:pPr>
        <w:pStyle w:val="ListBullet"/>
      </w:pPr>
      <w:r>
        <w:t>Automation identity configuration</w:t>
      </w:r>
    </w:p>
    <w:p>
      <w:pPr>
        <w:pStyle w:val="ListBullet"/>
      </w:pPr>
      <w:r>
        <w:t>Secure token test</w:t>
      </w:r>
    </w:p>
    <w:p>
      <w:pPr>
        <w:pStyle w:val="ListBullet"/>
      </w:pPr>
      <w:r>
        <w:t>Credential rotation/expiry monitoring</w:t>
      </w:r>
    </w:p>
    <w:p>
      <w:pPr>
        <w:pStyle w:val="ListBullet"/>
      </w:pPr>
      <w:r>
        <w:t>Identity help topics</w:t>
      </w:r>
    </w:p>
    <w:p>
      <w:pPr>
        <w:pStyle w:val="ListBullet"/>
      </w:pPr>
      <w:r>
        <w:t>Identity audit evidence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Sign In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All users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SSO login, tenant detection, session creation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Microsoft Entra OIDC/OAuth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HLP-SSO-001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Organisation Setup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Organisation name, tenant ID, domain, region, owner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metadata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HLP-ORG-001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SC-003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SSO &amp; Consent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Tenant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Consent status, callback, roles, test sign-in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Microsoft identity platform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HLP-SSO-001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SC-004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Automation Identity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Tenant/Fabric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Client ID, credential, token test, expiry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Entra token + Fabric API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HLP-AUTH-002</w:t>
            </w:r>
          </w:p>
        </w:tc>
      </w:tr>
    </w:tbl>
    <w:p>
      <w:pPr>
        <w:spacing w:after="20"/>
      </w:pPr>
    </w:p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Microsoft Entra SSO for Semantiq users using authorization code flow with PKCE.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signs in without a browser-held client secret.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Resolve and persist the customer tenant ID from verified token claims and onboarding configuration.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mismatch blocks privileged operations.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tenant-wide admin consent workflow for the Semantiq enterprise application where required.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UI shows granted status after re-check.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a customer-owned Fabric automation service principal for unattended operations.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ID, client ID and credential can be tested server-side.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certificate credentials and client-secret credentials; prefer certificate for production.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Credential type and expiry are visible; secret value is never redisplayed.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Acquire Fabric tokens using scope https://api.fabric.microsoft.com/.default.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Token test succeeds and token content is not logged.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Store automation credentials only in an encrypted secret-management service.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Database contains reference/secret ID, not plaintext secret.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Provide test actions for token acquisition, Fabric connectivity and permission diagnosis.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Result distinguishes authentication, tenant-setting, workspace-role and API-support failures.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Monitor secret/certificate expiry and create proactive alerts.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Alerts at configurable 30/14/7-day thresholds.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Allow credential rotation without deleting customer configuration.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New credential validated before activation.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FR-AUTH-011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Map Semantiq application roles to customer users/groups separately from Fabric roles.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role does not imply Fabric privilege.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FR-AUTH-012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customer offboarding that disables tokens, removes stored credentials and optionally removes Semantiq service-principal access from Fabric.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Offboarding checklist records completion.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HLP-SSO-001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Set up Semantiq SSO and grant tenant admin consent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HLP-AUTH-002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the Fabric Automation App Registration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HLP-AUTH-003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a certificate or client secret and connect it to Semantiq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SSO onboarding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New customer signs in, admin consent is granted, tenant is verified and Semantiq role assigned.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 identity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enters automation app credentials; token and Fabric read test succeed.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AT-016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flow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follows SSO/Fabric help topic, completes portal action, selects Re-check and receives verified completion.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encrypted at rest; no plaintext secrets in logs/database; OWASP-aligned web controls.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isolation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 Semantiq records are partitioned and authorised by organisation/tenant context.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NFR-UX-01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Non-specialist admin can follow guided setup with contextual help and clear prerequisite status.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Privacy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Store minimum customer business data in control plane; prefer metadata and resource IDs.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NFR-SUP-01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export contains configuration and request IDs but redacts secrets and sensitive business data.</w:t>
            </w:r>
          </w:p>
        </w:tc>
      </w:tr>
    </w:tbl>
    <w:p>
      <w:pPr>
        <w:spacing w:after="20"/>
      </w:pPr>
    </w:p>
    <w:p>
      <w:pPr>
        <w:pStyle w:val="Heading1"/>
      </w:pPr>
      <w:r>
        <w:t>Identity and SSO Configuration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Fabric token scope: </w:t>
            </w:r>
            <w:r>
              <w:t>https://api.fabric.microsoft.com/.default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73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Endpoint / value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Tenant-specific authorization</w:t>
            </w:r>
          </w:p>
        </w:tc>
        <w:tc>
          <w:tcPr>
            <w:tcW w:type="dxa" w:w="73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https://login.microsoftonline.com/{tenantId}/oauth2/v2.0/authorize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Tenant-specific token</w:t>
            </w:r>
          </w:p>
        </w:tc>
        <w:tc>
          <w:tcPr>
            <w:tcW w:type="dxa" w:w="73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https://login.microsoftonline.com/{tenantId}/oauth2/v2.0/token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Fabric API base</w:t>
            </w:r>
          </w:p>
        </w:tc>
        <w:tc>
          <w:tcPr>
            <w:tcW w:type="dxa" w:w="73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https://api.fabric.microsoft.com/v1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Fabric client-credentials scope</w:t>
            </w:r>
          </w:p>
        </w:tc>
        <w:tc>
          <w:tcPr>
            <w:tcW w:type="dxa" w:w="73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https://api.fabric.microsoft.com/.default</w:t>
            </w:r>
          </w:p>
        </w:tc>
      </w:tr>
    </w:tbl>
    <w:p>
      <w:pPr>
        <w:spacing w:after="20"/>
      </w:pPr>
    </w:p>
    <w:p>
      <w:pPr>
        <w:pStyle w:val="Heading2"/>
      </w:pPr>
      <w:r>
        <w:t>HLP-SSO-001 - User Help Sequence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Customer Tenant Admin opens the Semantiq SSO &amp; Consent screen and confirms the displayed tenant ID, primary domain and redirect/callback URI.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The admin selects Grant Admin Consent. Semantiq opens the tenant-specific Microsoft admin-consent flow; the administrator signs in with an authorised tenant account and reviews requested permissions.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After consent, the admin returns to Semantiq and selects Re-check Consent. Semantiq verifies consent and tenant alignment before enabling privileged setup steps.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The admin selects Test SSO. Semantiq validates issuer, tenant, audience, state/nonce and application role mapping.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If consent fails, the Help panel shows the exact tenant ID, callback URI, required administrator role, common consent errors and a Re-check action.</w:t>
      </w:r>
    </w:p>
    <w:p>
      <w:pPr>
        <w:pStyle w:val="Heading2"/>
      </w:pPr>
      <w:r>
        <w:t>HLP-AUTH-002/003 - Automation App Registration Help Sequence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Open Microsoft Entra admin center and create/select the customer-owned App Registration used for Semantiq Fabric automation.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Record the Application (client) ID and Directory (tenant) ID and enter them in the Fabric Automation Identity screen.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Create a certificate credential as the preferred production option; a client secret may be used for MVP according to customer policy. Record expiry.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Enter the credential into Semantiq over TLS. Semantiq stores it in the approved vault and displays only a masked reference and expiry after save.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A Fabric administrator enables the Fabric developer tenant setting that allows the service principal to call Fabric public APIs, preferably scoped to a dedicated security group. If the service principal will create workspaces/connections/deployment pipelines, enable the corresponding setting as well.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Grant the service principal the minimum required role in the target Fabric workspace when the workspace already exists.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Return to Semantiq and run Test Token then Test Fabric API. Authentication, tenant setting and workspace permission failures must be reported separately.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New customer can sign in and tenant ID is validated.</w:t>
      </w:r>
    </w:p>
    <w:p>
      <w:pPr>
        <w:pStyle w:val="ListBullet"/>
      </w:pPr>
      <w:r>
        <w:rPr>
          <w:b/>
        </w:rPr>
        <w:t xml:space="preserve">[ ] </w:t>
      </w:r>
      <w:r>
        <w:t>Admin consent can be re-checked and reflected in the UI.</w:t>
      </w:r>
    </w:p>
    <w:p>
      <w:pPr>
        <w:pStyle w:val="ListBullet"/>
      </w:pPr>
      <w:r>
        <w:rPr>
          <w:b/>
        </w:rPr>
        <w:t xml:space="preserve">[ ] </w:t>
      </w:r>
      <w:r>
        <w:t>Automation credential is never returned to browser after save.</w:t>
      </w:r>
    </w:p>
    <w:p>
      <w:pPr>
        <w:pStyle w:val="ListBullet"/>
      </w:pPr>
      <w:r>
        <w:rPr>
          <w:b/>
        </w:rPr>
        <w:t xml:space="preserve">[ ] </w:t>
      </w:r>
      <w:r>
        <w:t>Fabric token test succeeds with the configured service principal.</w:t>
      </w:r>
    </w:p>
    <w:p>
      <w:pPr>
        <w:pStyle w:val="ListBullet"/>
      </w:pPr>
      <w:r>
        <w:rPr>
          <w:b/>
        </w:rPr>
        <w:t xml:space="preserve">[ ] </w:t>
      </w:r>
      <w:r>
        <w:t>Invalid client/expired credential/consent errors map to specific help guidance.</w:t>
      </w:r>
    </w:p>
    <w:p>
      <w:pPr>
        <w:pStyle w:val="ListBullet"/>
      </w:pPr>
      <w:r>
        <w:rPr>
          <w:b/>
        </w:rPr>
        <w:t xml:space="preserve">[ ] </w:t>
      </w:r>
      <w:r>
        <w:t>Rotation validates the new credential before activation.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01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doc/execution/PHASE-01-PLAN.md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doc/execution/PHASE-01-VERIFICATION.md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Identity configuration must preserve tenant isolation, vault-only secrets and organisation data-boundary context.</w:t>
      </w:r>
    </w:p>
    <w:p>
      <w:pPr>
        <w:pStyle w:val="ListBullet"/>
      </w:pPr>
      <w:r>
        <w:t>Capture policy owner and approved storage/processing geographies during onboarding.</w:t>
      </w:r>
    </w:p>
    <w:p>
      <w:pPr>
        <w:pStyle w:val="ListBullet"/>
      </w:pPr>
      <w:r>
        <w:t>Do not persist access-token/ID-token payloads beyond minimum operational need.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