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707E"/>
          <w:sz w:val="30"/>
        </w:rPr>
        <w:t>SEMANTIQ</w:t>
      </w:r>
    </w:p>
    <w:p>
      <w:pPr>
        <w:jc w:val="center"/>
      </w:pPr>
      <w:r>
        <w:rPr>
          <w:b/>
          <w:color w:val="1F4E79"/>
          <w:sz w:val="48"/>
        </w:rPr>
        <w:t>AI and Conversational AI Technology Selection Reference</w:t>
      </w:r>
    </w:p>
    <w:p>
      <w:pPr>
        <w:jc w:val="center"/>
      </w:pPr>
      <w:r>
        <w:rPr>
          <w:i/>
          <w:color w:val="263238"/>
          <w:sz w:val="24"/>
        </w:rPr>
        <w:t>Microsoft-first architecture with open-source alternatives</w:t>
      </w:r>
    </w:p>
    <w:p>
      <w:pPr>
        <w:jc w:val="center"/>
      </w:pPr>
      <w:r>
        <w:t>Reference AI-TECH-001 | Version 1.1 | Technology review: 22 August 2026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DEFE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00707E"/>
              </w:rPr>
              <w:t xml:space="preserve">Mandatory decision gate: </w:t>
            </w:r>
            <w:r>
              <w:t>Before implementing any AI, LLM, RAG, Fabric Data Agent, conversational UI, Copilot Studio, agent orchestration, MCP or model-hosting capability, Claude Code must compare the options in this reference, re-verify current official documentation and obtain explicit user approval through an AI technology decision record.</w:t>
            </w:r>
          </w:p>
        </w:tc>
      </w:tr>
    </w:tbl>
    <w:p/>
    <w:p>
      <w:pPr>
        <w:pStyle w:val="Heading1"/>
      </w:pPr>
      <w:r>
        <w:t>1. Purpose and Semantiq Architecture Principle</w:t>
      </w:r>
    </w:p>
    <w:p>
      <w:r>
        <w:t>This reference prevents the Semantiq implementation from locking prematurely to one model vendor, orchestration framework or conversational platform. It identifies the preferred Microsoft technologies for a Fabric-centred product, provides open-source alternatives, and defines the decision controls Claude Code must follow before implementation.</w:t>
      </w:r>
    </w:p>
    <w:p>
      <w:r>
        <w:t>Deterministic Microsoft Fabric provisioning, workspace creation, permissions, pipeline deployment and configuration remain API/workflow-driven operations. An LLM may recommend, explain or draft configuration, but it must not become the unaudited execution engine for deterministic infrastructure changes.</w:t>
      </w:r>
    </w:p>
    <w:p>
      <w:pPr>
        <w:pStyle w:val="ListBullet"/>
      </w:pPr>
      <w:r>
        <w:t>Start with the simplest governed architecture that satisfies the use case; do not introduce multi-agent orchestration without a clear domain/tool/permission reason.</w:t>
      </w:r>
    </w:p>
    <w:p>
      <w:pPr>
        <w:pStyle w:val="ListBullet"/>
      </w:pPr>
      <w:r>
        <w:t>Keep Model Provider, Agent Runtime, Knowledge/Retrieval Provider, Tool/MCP Provider, Conversation Store, Evaluation/Observability, Safety/Policy and Channel/UI behind replaceable interfaces.</w:t>
      </w:r>
    </w:p>
    <w:p>
      <w:pPr>
        <w:pStyle w:val="ListBullet"/>
      </w:pPr>
      <w:r>
        <w:t>Do not duplicate trusted Fabric semantic calculations inside prompts.</w:t>
      </w:r>
    </w:p>
    <w:p>
      <w:pPr>
        <w:pStyle w:val="Heading1"/>
      </w:pPr>
      <w:r>
        <w:t>2. Recommended Microsoft-first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Requirement / scenario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Preferred Microsoft technology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Semantiq recommendation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Governed structured Fabric analytics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Microsoft Fabric Data Agent / Fabric IQ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Default conversational engine for structured business data. Preserve semantic-model definitions and RLS/OLS.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Low-code Teams/M365/web agent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Microsoft Copilot Studio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Use for Microsoft channels, low-code orchestration, tools and connected agents; ground analytical questions in Fabric Data Agent.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Custom coded .NET/Python agent sidecar/service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Microsoft Agent Framework (MAF)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Preferred framework to evaluate for new production coded agents; supports workflows, human-in-the-loop, MCP and provider flexibility. For SemantIQ this is a separately approved sidecar/service because the primary application runtime is Laravel/PHP.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Managed custom agent hosting and lifecycle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Microsoft Foundry Agent Service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Use for managed prompt/hosted agents, model access, scaling, identity, observability and evaluation beyond Fabric Data Agent scope.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Enterprise document / unstructured RAG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Microsoft Foundry IQ / Azure AI Search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Use for permission-aware enterprise knowledge, agentic retrieval and cited answers; not a substitute for Fabric semantic analytics.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Custom streamed web/mobile agent UI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MAF + AG-UI where justified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Useful for standardized SSE streaming, state and human approvals; avoid if the existing application transport is already sufficient.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Tool interoperability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MCP with approved Microsoft runtime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Use vetted allowlisted MCP servers only; apply least privilege, schema validation and human approval for high-impact actions.</w:t>
            </w:r>
          </w:p>
        </w:tc>
      </w:tr>
    </w:tbl>
    <w:p>
      <w:pPr>
        <w:pStyle w:val="Heading1"/>
      </w:pPr>
      <w:r>
        <w:t>3. Recommended Open-source Alternatives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Open-source option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When to use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Stateful/durable agent orchestration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LangGraph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Strong alternative for long-running stateful workflows, persistence, streaming and human-in-the-loop when provider independence/non-Microsoft hosting is required.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Document-centric RAG and indexing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LlamaIndex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Use when unstructured knowledge, retrieval pipelines and data-aware agent workflows are central and the Microsoft knowledge stack is not selected.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High-throughput self-hosted model serving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vLLM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Preferred option to evaluate for Linux/GPU production inference. Put behind enterprise authentication/reverse proxy and hardened network controls.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Local model development / POC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Ollama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Fast developer experience and tool-calling tests. Treat as POC/local default, not automatic multi-tenant production architecture.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Fully self-hosted agent stack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LangGraph + vLLM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Use when the customer explicitly requires self-hosted/non-Azure AI; add enterprise identity, policy, audit, moderation, rate limiting and observability.</w:t>
            </w:r>
          </w:p>
        </w:tc>
      </w:tr>
    </w:tbl>
    <w:p>
      <w:pPr>
        <w:pStyle w:val="Heading1"/>
      </w:pPr>
      <w:r>
        <w:t>4. Semantiq Scenario Decision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Semantiq scenario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Alternative / note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Revenue, attendance, pipeline and KPI questions over Fabric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Fabric Data Agent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Do not rebuild measures or joins in prompts.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Teams / Microsoft 365 conversational experience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Copilot Studio + Fabric Data Agent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Use custom MAF integration only when code-level control is required.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Semantiq own web conversation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Existing frontend + backend conversation API + Fabric Data Agent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Add MAF/Foundry or LangGraph only when orchestration beyond the Data Agent is required.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Fabric data + documents + actions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MAF + Foundry Agent Service + Fabric Data Agent + Foundry IQ/tools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LangGraph + Fabric adapters + open-source retrieval. Human approval for state-changing actions.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Enterprise document assistant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Foundry IQ / Azure AI Search + Foundry/MAF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LlamaIndex + approved vector/search store.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Self-hosted AI mandate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MAF or LangGraph + vLLM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Ollama only for local/POC unless separately production-approved.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Multi-agent use case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MAF Workflows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LangGraph. Use only after proving a simpler single-agent/tool architecture is insufficient.</w:t>
            </w:r>
          </w:p>
        </w:tc>
      </w:tr>
    </w:tbl>
    <w:p>
      <w:pPr>
        <w:pStyle w:val="Heading1"/>
      </w:pPr>
      <w:r>
        <w:t>5. Mandatory Technology Decision Criteria</w:t>
      </w:r>
    </w:p>
    <w:p>
      <w:pPr>
        <w:pStyle w:val="ListBullet"/>
      </w:pPr>
      <w:r>
        <w:t>Customer data residency, sovereignty and tenant/region constraints.</w:t>
      </w:r>
    </w:p>
    <w:p>
      <w:pPr>
        <w:pStyle w:val="ListBullet"/>
      </w:pPr>
      <w:r>
        <w:t>GA versus preview status and whether preview is acceptable for the release.</w:t>
      </w:r>
    </w:p>
    <w:p>
      <w:pPr>
        <w:pStyle w:val="ListBullet"/>
      </w:pPr>
      <w:r>
        <w:t>Required channels: Semantiq web, Teams, Microsoft 365, API, mobile or voice.</w:t>
      </w:r>
    </w:p>
    <w:p>
      <w:pPr>
        <w:pStyle w:val="ListBullet"/>
      </w:pPr>
      <w:r>
        <w:t>Structured Fabric analytics versus unstructured document RAG.</w:t>
      </w:r>
    </w:p>
    <w:p>
      <w:pPr>
        <w:pStyle w:val="ListBullet"/>
      </w:pPr>
      <w:r>
        <w:t>Read-only insight versus tool/action execution and required human approvals.</w:t>
      </w:r>
    </w:p>
    <w:p>
      <w:pPr>
        <w:pStyle w:val="ListBullet"/>
      </w:pPr>
      <w:r>
        <w:t>Latency, concurrency, availability, capacity and cost/token/compute budgets.</w:t>
      </w:r>
    </w:p>
    <w:p>
      <w:pPr>
        <w:pStyle w:val="ListBullet"/>
      </w:pPr>
      <w:r>
        <w:t>Identity propagation, RLS/OLS, source permissions and least privilege.</w:t>
      </w:r>
    </w:p>
    <w:p>
      <w:pPr>
        <w:pStyle w:val="ListBullet"/>
      </w:pPr>
      <w:r>
        <w:t>Evaluation quality, ground-truth score, observability and supportability.</w:t>
      </w:r>
    </w:p>
    <w:p>
      <w:pPr>
        <w:pStyle w:val="ListBullet"/>
      </w:pPr>
      <w:r>
        <w:t>Open-source model/framework license and commercial-use rights where applicable.</w:t>
      </w:r>
    </w:p>
    <w:p>
      <w:pPr>
        <w:pStyle w:val="ListBullet"/>
      </w:pPr>
      <w:r>
        <w:t>Portability/lock-in requirement and ability to replace the provider behind adapters.</w:t>
      </w:r>
    </w:p>
    <w:p>
      <w:pPr>
        <w:pStyle w:val="Heading1"/>
      </w:pPr>
      <w:r>
        <w:t>6. Required AI Architecture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Governed grounding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Use only approved semantic objects, Fabric sources or approved knowledge bases.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No governance bypass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Do not bypass Bronze/Silver/Gold, certified semantic definitions or security controls to improve an answer.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Identity propagation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Preserve user context where required so source permissions and RLS/OLS remain enforceable.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Human-in-the-loop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Destructive, write-back, financial, permission-changing and production-impacting actions require explicit approval unless separately authorized.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Prompt/tool injection defence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Allowlist tools/MCP servers, validate typed inputs/outputs and treat untrusted retrieved content as data rather than instructions.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Evaluation before publish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Run ground-truth, security, regression, unsupported-question and failure/fallback tests.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Observability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Record runtime/model/instruction versions, tool calls, latency, errors, evaluation evidence and correlation IDs without logging sensitive data.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Versioning and revalidation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Changes to model/runtime/instructions/knowledge/security must be versioned and may trigger Revalidation Required.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Fallback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Define behavior for model outage, quota/rate limit, knowledge failure, timeout and unsupported requests.</w:t>
            </w:r>
          </w:p>
        </w:tc>
      </w:tr>
    </w:tbl>
    <w:p>
      <w:pPr>
        <w:pStyle w:val="Heading1"/>
      </w:pPr>
      <w:r>
        <w:t>7. Claude Code Decision Workflow</w:t>
      </w:r>
    </w:p>
    <w:p>
      <w:r>
        <w:t>1. Read this reference and the active phase file.</w:t>
      </w:r>
    </w:p>
    <w:p>
      <w:r>
        <w:t>2. Inspect the real repository and approved hosting/cloud constraints.</w:t>
      </w:r>
    </w:p>
    <w:p>
      <w:r>
        <w:t>3. Classify the capability: structured analytics, RAG, conversational presentation, tool/action orchestration, multi-agent workflow or model hosting.</w:t>
      </w:r>
    </w:p>
    <w:p>
      <w:r>
        <w:t>4. Compare a Microsoft-first option with a meaningful open-source alternative.</w:t>
      </w:r>
    </w:p>
    <w:p>
      <w:r>
        <w:t>5. Re-verify official documentation, API/SDK, GA/preview status, identity, region, licensing and pricing.</w:t>
      </w:r>
    </w:p>
    <w:p>
      <w:r>
        <w:t>6. Create `doc/execution/AI-TECHNOLOGY-DECISION.md` from the supplied template.</w:t>
      </w:r>
    </w:p>
    <w:p>
      <w:r>
        <w:t>7. Recommend one stack with reasons, trade-offs, security controls and rollback/portability path.</w:t>
      </w:r>
    </w:p>
    <w:p>
      <w:r>
        <w:t>8. Present the decision to the user and wait for explicit approval.</w:t>
      </w:r>
    </w:p>
    <w:p>
      <w:r>
        <w:t>9. Implement behind the approved adapter boundaries.</w:t>
      </w:r>
    </w:p>
    <w:p>
      <w:r>
        <w:t>10. Record exact selected runtime/model/framework versions and evidence in phase verification.</w:t>
      </w:r>
    </w:p>
    <w:p>
      <w:pPr>
        <w:pStyle w:val="Heading1"/>
      </w:pPr>
      <w:r>
        <w:t>8. Official Reference Starting Points</w:t>
      </w:r>
    </w:p>
    <w:p>
      <w:pPr>
        <w:pStyle w:val="ListBullet"/>
      </w:pPr>
      <w:r>
        <w:t xml:space="preserve">Microsoft Fabric Data Agent: </w:t>
      </w:r>
      <w:hyperlink r:id="rId9">
        <w:r>
          <w:rPr>
            <w:color w:val="0563C1"/>
            <w:u w:val="single"/>
          </w:rPr>
          <w:t>https://learn.microsoft.com/en-us/fabric/data-science/how-to-create-data-agent</w:t>
        </w:r>
      </w:hyperlink>
    </w:p>
    <w:p>
      <w:pPr>
        <w:pStyle w:val="ListBullet"/>
      </w:pPr>
      <w:r>
        <w:t xml:space="preserve">Microsoft Copilot Studio: </w:t>
      </w:r>
      <w:hyperlink r:id="rId10">
        <w:r>
          <w:rPr>
            <w:color w:val="0563C1"/>
            <w:u w:val="single"/>
          </w:rPr>
          <w:t>https://learn.microsoft.com/en-us/microsoft-copilot-studio/</w:t>
        </w:r>
      </w:hyperlink>
    </w:p>
    <w:p>
      <w:pPr>
        <w:pStyle w:val="ListBullet"/>
      </w:pPr>
      <w:r>
        <w:t xml:space="preserve">Copilot Studio generative orchestration: </w:t>
      </w:r>
      <w:hyperlink r:id="rId11">
        <w:r>
          <w:rPr>
            <w:color w:val="0563C1"/>
            <w:u w:val="single"/>
          </w:rPr>
          <w:t>https://learn.microsoft.com/en-us/microsoft-copilot-studio/guidance/generative-orchestration</w:t>
        </w:r>
      </w:hyperlink>
    </w:p>
    <w:p>
      <w:pPr>
        <w:pStyle w:val="ListBullet"/>
      </w:pPr>
      <w:r>
        <w:t xml:space="preserve">Microsoft Agent Framework: </w:t>
      </w:r>
      <w:hyperlink r:id="rId12">
        <w:r>
          <w:rPr>
            <w:color w:val="0563C1"/>
            <w:u w:val="single"/>
          </w:rPr>
          <w:t>https://learn.microsoft.com/en-us/agent-framework/overview/</w:t>
        </w:r>
      </w:hyperlink>
    </w:p>
    <w:p>
      <w:pPr>
        <w:pStyle w:val="ListBullet"/>
      </w:pPr>
      <w:r>
        <w:t xml:space="preserve">Microsoft Agent Framework GitHub: </w:t>
      </w:r>
      <w:hyperlink r:id="rId13">
        <w:r>
          <w:rPr>
            <w:color w:val="0563C1"/>
            <w:u w:val="single"/>
          </w:rPr>
          <w:t>https://github.com/microsoft/agent-framework</w:t>
        </w:r>
      </w:hyperlink>
    </w:p>
    <w:p>
      <w:pPr>
        <w:pStyle w:val="ListBullet"/>
      </w:pPr>
      <w:r>
        <w:t xml:space="preserve">Microsoft Foundry: </w:t>
      </w:r>
      <w:hyperlink r:id="rId14">
        <w:r>
          <w:rPr>
            <w:color w:val="0563C1"/>
            <w:u w:val="single"/>
          </w:rPr>
          <w:t>https://learn.microsoft.com/en-us/azure/foundry/</w:t>
        </w:r>
      </w:hyperlink>
    </w:p>
    <w:p>
      <w:pPr>
        <w:pStyle w:val="ListBullet"/>
      </w:pPr>
      <w:r>
        <w:t xml:space="preserve">Foundry Agent Service: </w:t>
      </w:r>
      <w:hyperlink r:id="rId15">
        <w:r>
          <w:rPr>
            <w:color w:val="0563C1"/>
            <w:u w:val="single"/>
          </w:rPr>
          <w:t>https://learn.microsoft.com/en-us/azure/ai-foundry/agents/overview</w:t>
        </w:r>
      </w:hyperlink>
    </w:p>
    <w:p>
      <w:pPr>
        <w:pStyle w:val="ListBullet"/>
      </w:pPr>
      <w:r>
        <w:t xml:space="preserve">Foundry IQ: </w:t>
      </w:r>
      <w:hyperlink r:id="rId16">
        <w:r>
          <w:rPr>
            <w:color w:val="0563C1"/>
            <w:u w:val="single"/>
          </w:rPr>
          <w:t>https://learn.microsoft.com/en-us/azure/ai-foundry/agents/concepts/what-is-foundry-iq</w:t>
        </w:r>
      </w:hyperlink>
    </w:p>
    <w:p>
      <w:pPr>
        <w:pStyle w:val="ListBullet"/>
      </w:pPr>
      <w:r>
        <w:t xml:space="preserve">AG-UI with Agent Framework: </w:t>
      </w:r>
      <w:hyperlink r:id="rId17">
        <w:r>
          <w:rPr>
            <w:color w:val="0563C1"/>
            <w:u w:val="single"/>
          </w:rPr>
          <w:t>https://learn.microsoft.com/en-us/agent-framework/integrations/ag-ui/</w:t>
        </w:r>
      </w:hyperlink>
    </w:p>
    <w:p>
      <w:pPr>
        <w:pStyle w:val="ListBullet"/>
      </w:pPr>
      <w:r>
        <w:t xml:space="preserve">LangGraph: </w:t>
      </w:r>
      <w:hyperlink r:id="rId18">
        <w:r>
          <w:rPr>
            <w:color w:val="0563C1"/>
            <w:u w:val="single"/>
          </w:rPr>
          <w:t>https://docs.langchain.com/oss/python/langgraph/overview</w:t>
        </w:r>
      </w:hyperlink>
    </w:p>
    <w:p>
      <w:pPr>
        <w:pStyle w:val="ListBullet"/>
      </w:pPr>
      <w:r>
        <w:t xml:space="preserve">LlamaIndex: </w:t>
      </w:r>
      <w:hyperlink r:id="rId19">
        <w:r>
          <w:rPr>
            <w:color w:val="0563C1"/>
            <w:u w:val="single"/>
          </w:rPr>
          <w:t>https://docs.llamaindex.ai/</w:t>
        </w:r>
      </w:hyperlink>
    </w:p>
    <w:p>
      <w:pPr>
        <w:pStyle w:val="ListBullet"/>
      </w:pPr>
      <w:r>
        <w:t xml:space="preserve">vLLM: </w:t>
      </w:r>
      <w:hyperlink r:id="rId20">
        <w:r>
          <w:rPr>
            <w:color w:val="0563C1"/>
            <w:u w:val="single"/>
          </w:rPr>
          <w:t>https://docs.vllm.ai/en/latest/serving/online_serving/openai_compatible_server/</w:t>
        </w:r>
      </w:hyperlink>
    </w:p>
    <w:p>
      <w:pPr>
        <w:pStyle w:val="ListBullet"/>
      </w:pPr>
      <w:r>
        <w:t xml:space="preserve">Ollama: </w:t>
      </w:r>
      <w:hyperlink r:id="rId21">
        <w:r>
          <w:rPr>
            <w:color w:val="0563C1"/>
            <w:u w:val="single"/>
          </w:rPr>
          <w:t>https://docs.ollama.com/</w:t>
        </w:r>
      </w:hyperlink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DEFE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00707E"/>
              </w:rPr>
              <w:t xml:space="preserve">Freshness rule: </w:t>
            </w:r>
            <w:r>
              <w:t>The technology review date is 22 August 2026. AI platforms, APIs, preview status and licensing change rapidly. Claude Code must re-verify current official documentation immediately before implementation.</w:t>
            </w:r>
          </w:p>
        </w:tc>
      </w:tr>
    </w:tbl>
    <w:p/>
    <w:p>
      <w:r>
        <w:br w:type="page"/>
      </w:r>
    </w:p>
    <w:p>
      <w:pPr>
        <w:pStyle w:val="Heading1"/>
      </w:pPr>
      <w:r>
        <w:t>Mandatory Data Protection &amp; Sovereignty Gate (Package v1.3)</w:t>
      </w:r>
    </w:p>
    <w:p>
      <w:r>
        <w:t>Every AI and conversational-AI technology decision must be evaluated against the Semantiq Data Protection, Data Sovereignty &amp; Engineering Context Reference before implementation.</w:t>
      </w:r>
    </w:p>
    <w:p>
      <w:pPr>
        <w:pStyle w:val="ListBullet"/>
      </w:pPr>
      <w:r>
        <w:t>Record model/runtime region, prompt and grounding data flows, embeddings/vector storage, conversation-history location/retention and AI telemetry location.</w:t>
      </w:r>
    </w:p>
    <w:p>
      <w:pPr>
        <w:pStyle w:val="ListBullet"/>
      </w:pPr>
      <w:r>
        <w:t>Keep Fabric/Copilot/Data Agent cross-geo processing, storage and conversation-history settings OFF by default; enabling them requires explicit sovereignty approval and recorded evidence.</w:t>
      </w:r>
    </w:p>
    <w:p>
      <w:pPr>
        <w:pStyle w:val="ListBullet"/>
      </w:pPr>
      <w:r>
        <w:t>If a Microsoft-hosted AI option cannot satisfy the approved geography, compare a region-compatible Microsoft option and a self-hosted/open-source runtime before requesting a cross-border exception.</w:t>
      </w:r>
    </w:p>
    <w:p>
      <w:pPr>
        <w:pStyle w:val="ListBullet"/>
      </w:pPr>
      <w:r>
        <w:t>Never place secrets in prompts; minimise personal/restricted data and redact sensitive prompt/output telemetry.</w:t>
      </w:r>
    </w:p>
    <w:p>
      <w:pPr>
        <w:pStyle w:val="ListBullet"/>
      </w:pPr>
      <w:r>
        <w:t>Update DATA_SOVEREIGNTY_REGISTER, DATA_CONTEXT_REGISTER, CONFIGURATION_REGISTER and the AI technology decision in the same change.</w:t>
      </w:r>
    </w:p>
    <w:p>
      <w:r>
        <w:t>Implementation rule: data sovereignty is a selection criterion, not a post-selection deployment detail. A model or agent runtime that violates the approved data boundary cannot be selected without an approved exception.</w:t>
      </w:r>
    </w:p>
    <w:p>
      <w:r>
        <w:br w:type="page"/>
      </w:r>
    </w:p>
    <w:p>
      <w:pPr>
        <w:pStyle w:val="Heading1"/>
      </w:pPr>
      <w:r>
        <w:t>Repository Alignment Addendum v1.3</w:t>
      </w:r>
    </w:p>
    <w:p>
      <w:pPr>
        <w:pStyle w:val="Heading2"/>
      </w:pPr>
      <w:r>
        <w:t>Confirmed primary application stack</w:t>
      </w:r>
    </w:p>
    <w:p>
      <w:r>
        <w:t>SemantIQ uses Laravel 13 on PHP 8.5, React 19 and MySQL on cPanel as the primary modular-monolith application. AI technology choices must integrate through stable adapters. A .NET/Python/Node/model-serving runtime is not automatically part of the product and requires a separately approved sidecar/service architecture decision.</w:t>
      </w:r>
    </w:p>
    <w:p>
      <w:pPr>
        <w:pStyle w:val="Heading2"/>
      </w:pPr>
      <w:r>
        <w:t>Preferred implementation bias</w:t>
      </w:r>
    </w:p>
    <w:p>
      <w:r>
        <w:t>Evaluate Fabric Data Agent and Copilot Studio first when they meet the governed Fabric analytics or conversational-channel requirement, because they can reduce custom AI runtime inside the PHP application. Open-source and custom agent frameworks remain valid options when their portability, sovereignty, capability or cost benefits justify the additional runtime and operations burden.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70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6323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earn.microsoft.com/en-us/fabric/data-science/how-to-create-data-agent" TargetMode="External"/><Relationship Id="rId10" Type="http://schemas.openxmlformats.org/officeDocument/2006/relationships/hyperlink" Target="https://learn.microsoft.com/en-us/microsoft-copilot-studio/" TargetMode="External"/><Relationship Id="rId11" Type="http://schemas.openxmlformats.org/officeDocument/2006/relationships/hyperlink" Target="https://learn.microsoft.com/en-us/microsoft-copilot-studio/guidance/generative-orchestration" TargetMode="External"/><Relationship Id="rId12" Type="http://schemas.openxmlformats.org/officeDocument/2006/relationships/hyperlink" Target="https://learn.microsoft.com/en-us/agent-framework/overview/" TargetMode="External"/><Relationship Id="rId13" Type="http://schemas.openxmlformats.org/officeDocument/2006/relationships/hyperlink" Target="https://github.com/microsoft/agent-framework" TargetMode="External"/><Relationship Id="rId14" Type="http://schemas.openxmlformats.org/officeDocument/2006/relationships/hyperlink" Target="https://learn.microsoft.com/en-us/azure/foundry/" TargetMode="External"/><Relationship Id="rId15" Type="http://schemas.openxmlformats.org/officeDocument/2006/relationships/hyperlink" Target="https://learn.microsoft.com/en-us/azure/ai-foundry/agents/overview" TargetMode="External"/><Relationship Id="rId16" Type="http://schemas.openxmlformats.org/officeDocument/2006/relationships/hyperlink" Target="https://learn.microsoft.com/en-us/azure/ai-foundry/agents/concepts/what-is-foundry-iq" TargetMode="External"/><Relationship Id="rId17" Type="http://schemas.openxmlformats.org/officeDocument/2006/relationships/hyperlink" Target="https://learn.microsoft.com/en-us/agent-framework/integrations/ag-ui/" TargetMode="External"/><Relationship Id="rId18" Type="http://schemas.openxmlformats.org/officeDocument/2006/relationships/hyperlink" Target="https://docs.langchain.com/oss/python/langgraph/overview" TargetMode="External"/><Relationship Id="rId19" Type="http://schemas.openxmlformats.org/officeDocument/2006/relationships/hyperlink" Target="https://docs.llamaindex.ai/" TargetMode="External"/><Relationship Id="rId20" Type="http://schemas.openxmlformats.org/officeDocument/2006/relationships/hyperlink" Target="https://docs.vllm.ai/en/latest/serving/online_serving/openai_compatible_server/" TargetMode="External"/><Relationship Id="rId21" Type="http://schemas.openxmlformats.org/officeDocument/2006/relationships/hyperlink" Target="https://docs.ollam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