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Solution Architecture</w:t>
      </w:r>
    </w:p>
    <w:p>
      <w:r>
        <w:rPr>
          <w:b/>
        </w:rPr>
        <w:t>Document ID:</w:t>
      </w:r>
      <w:r>
        <w:t xml:space="preserve"> 00-Solution-Architecture</w:t>
      </w:r>
    </w:p>
    <w:p>
      <w:r>
        <w:rPr>
          <w:b/>
        </w:rPr>
        <w:t>Status:</w:t>
      </w:r>
      <w:r>
        <w:t xml:space="preserve"> Draft for review</w:t>
      </w:r>
    </w:p>
    <w:p>
      <w:r>
        <w:rPr>
          <w:b/>
        </w:rPr>
        <w:t>Owner:</w:t>
      </w:r>
      <w:r>
        <w:t xml:space="preserve"> Technical Lead</w:t>
      </w:r>
    </w:p>
    <w:p>
      <w:r>
        <w:rPr>
          <w:b/>
        </w:rPr>
        <w:t>Applies to:</w:t>
      </w:r>
      <w:r>
        <w:t xml:space="preserve"> eduCLaaSTeach/semantiq</w:t>
      </w:r>
    </w:p>
    <w:p>
      <w:pPr>
        <w:pStyle w:val="Heading2"/>
      </w:pPr>
      <w:r>
        <w:t>1. Purpose</w:t>
      </w:r>
    </w:p>
    <w:p>
      <w:r>
        <w:t xml:space="preserve">SemantIQ is a </w:t>
      </w:r>
      <w:r>
        <w:rPr>
          <w:b/>
        </w:rPr>
        <w:t>control plane for Microsoft Fabric</w:t>
      </w:r>
      <w:r>
        <w:t>. It guides an organisation from raw source systems to a governed conversational AI application, executing the 80-step end-to-end procedure through the Microsoft APIs where they exist, and verifying and recording it where they do not.</w:t>
      </w:r>
    </w:p>
    <w:p>
      <w:r>
        <w:t>The reference target architecture SemantIQ builds and governs:</w:t>
      </w:r>
    </w:p>
    <w:p>
      <w:r>
        <w:rPr>
          <w:rFonts w:ascii="Consolas" w:hAnsi="Consolas"/>
          <w:sz w:val="16"/>
        </w:rPr>
        <w:t>ERP / CRM / LMS / SQL / Excel / APIs / Dataverse / Business Central / Other sources</w:t>
        <w:br/>
        <w:t xml:space="preserve">        |</w:t>
        <w:br/>
        <w:t>Fabric Data Factory / Mirroring / Shortcuts / On-premises Gateway</w:t>
        <w:br/>
        <w:t xml:space="preserve">        |</w:t>
        <w:br/>
        <w:t>OneLake</w:t>
        <w:br/>
        <w:t xml:space="preserve">        |</w:t>
        <w:br/>
        <w:t>Lakehouse - Bronze -&gt; Silver -&gt; Gold</w:t>
        <w:br/>
        <w:t xml:space="preserve">        |</w:t>
        <w:br/>
        <w:t>Fabric Warehouse / Gold tables</w:t>
        <w:br/>
        <w:t xml:space="preserve">        |</w:t>
        <w:br/>
        <w:t>Power BI Semantic Model + DAX + RLS + Prep for AI</w:t>
        <w:br/>
        <w:t xml:space="preserve">        |</w:t>
        <w:br/>
        <w:t>Fabric Data Agent</w:t>
        <w:br/>
        <w:t xml:space="preserve">        |</w:t>
        <w:br/>
        <w:t>Copilot Studio Agent</w:t>
        <w:br/>
        <w:t xml:space="preserve">        |</w:t>
        <w:br/>
        <w:t>Teams / Web / Business application</w:t>
      </w:r>
    </w:p>
    <w:p>
      <w:pPr>
        <w:pStyle w:val="Heading2"/>
      </w:pPr>
      <w:r>
        <w:t>2. Confirmed decisions</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r>
              <w:rPr>
                <w:b/>
              </w:rPr>
              <w:t>#</w:t>
            </w:r>
          </w:p>
        </w:tc>
        <w:tc>
          <w:tcPr>
            <w:tcW w:type="dxa" w:w="5131"/>
          </w:tcPr>
          <w:p>
            <w:pPr>
              <w:spacing w:after="40"/>
            </w:pPr>
            <w:r>
              <w:rPr>
                <w:b/>
              </w:rPr>
              <w:t>Decision</w:t>
            </w:r>
          </w:p>
        </w:tc>
        <w:tc>
          <w:tcPr>
            <w:tcW w:type="dxa" w:w="5131"/>
          </w:tcPr>
          <w:p>
            <w:pPr>
              <w:spacing w:after="40"/>
            </w:pPr>
            <w:r>
              <w:rPr>
                <w:b/>
              </w:rPr>
              <w:t>Confirmed value</w:t>
            </w:r>
          </w:p>
        </w:tc>
      </w:tr>
      <w:tr>
        <w:tc>
          <w:tcPr>
            <w:tcW w:type="dxa" w:w="5131"/>
          </w:tcPr>
          <w:p>
            <w:pPr>
              <w:spacing w:after="40"/>
            </w:pPr>
            <w:r>
              <w:t>1</w:t>
            </w:r>
          </w:p>
        </w:tc>
        <w:tc>
          <w:tcPr>
            <w:tcW w:type="dxa" w:w="5131"/>
          </w:tcPr>
          <w:p>
            <w:pPr>
              <w:spacing w:after="40"/>
            </w:pPr>
            <w:r>
              <w:t>Fabric tenancy</w:t>
            </w:r>
          </w:p>
        </w:tc>
        <w:tc>
          <w:tcPr>
            <w:tcW w:type="dxa" w:w="5131"/>
          </w:tcPr>
          <w:p>
            <w:pPr>
              <w:spacing w:after="40"/>
            </w:pPr>
            <w:r>
              <w:rPr>
                <w:b/>
              </w:rPr>
              <w:t>Bring-your-own-tenant.</w:t>
            </w:r>
            <w:r>
              <w:t xml:space="preserve"> Each customer connects their own Microsoft Entra ID and Fabric tenant. SemantIQ never hosts customer data.</w:t>
            </w:r>
          </w:p>
        </w:tc>
      </w:tr>
      <w:tr>
        <w:tc>
          <w:tcPr>
            <w:tcW w:type="dxa" w:w="5131"/>
          </w:tcPr>
          <w:p>
            <w:pPr>
              <w:spacing w:after="40"/>
            </w:pPr>
            <w:r>
              <w:t>2</w:t>
            </w:r>
          </w:p>
        </w:tc>
        <w:tc>
          <w:tcPr>
            <w:tcW w:type="dxa" w:w="5131"/>
          </w:tcPr>
          <w:p>
            <w:pPr>
              <w:spacing w:after="40"/>
            </w:pPr>
            <w:r>
              <w:t>Provisioning posture</w:t>
            </w:r>
          </w:p>
        </w:tc>
        <w:tc>
          <w:tcPr>
            <w:tcW w:type="dxa" w:w="5131"/>
          </w:tcPr>
          <w:p>
            <w:pPr>
              <w:spacing w:after="40"/>
            </w:pPr>
            <w:r>
              <w:rPr>
                <w:b/>
              </w:rPr>
              <w:t>Both supported.</w:t>
            </w:r>
            <w:r>
              <w:t xml:space="preserve"> SemantIQ can create Fabric artifacts *or* attach to existing ones. Attach is built first; provision layers on top.</w:t>
            </w:r>
          </w:p>
        </w:tc>
      </w:tr>
      <w:tr>
        <w:tc>
          <w:tcPr>
            <w:tcW w:type="dxa" w:w="5131"/>
          </w:tcPr>
          <w:p>
            <w:pPr>
              <w:spacing w:after="40"/>
            </w:pPr>
            <w:r>
              <w:t>3</w:t>
            </w:r>
          </w:p>
        </w:tc>
        <w:tc>
          <w:tcPr>
            <w:tcW w:type="dxa" w:w="5131"/>
          </w:tcPr>
          <w:p>
            <w:pPr>
              <w:spacing w:after="40"/>
            </w:pPr>
            <w:r>
              <w:t>Conversational runtime</w:t>
            </w:r>
          </w:p>
        </w:tc>
        <w:tc>
          <w:tcPr>
            <w:tcW w:type="dxa" w:w="5131"/>
          </w:tcPr>
          <w:p>
            <w:pPr>
              <w:spacing w:after="40"/>
            </w:pPr>
            <w:r>
              <w:rPr>
                <w:b/>
              </w:rPr>
              <w:t>Fabric Data Agent</w:t>
            </w:r>
            <w:r>
              <w:t xml:space="preserve"> as the governed answer engine, surfaced through a </w:t>
            </w:r>
            <w:r>
              <w:rPr>
                <w:b/>
              </w:rPr>
              <w:t>Copilot Studio</w:t>
            </w:r>
            <w:r>
              <w:t xml:space="preserve"> agent to Teams and web.</w:t>
            </w:r>
          </w:p>
        </w:tc>
      </w:tr>
      <w:tr>
        <w:tc>
          <w:tcPr>
            <w:tcW w:type="dxa" w:w="5131"/>
          </w:tcPr>
          <w:p>
            <w:pPr>
              <w:spacing w:after="40"/>
            </w:pPr>
            <w:r>
              <w:t>4</w:t>
            </w:r>
          </w:p>
        </w:tc>
        <w:tc>
          <w:tcPr>
            <w:tcW w:type="dxa" w:w="5131"/>
          </w:tcPr>
          <w:p>
            <w:pPr>
              <w:spacing w:after="40"/>
            </w:pPr>
            <w:r>
              <w:t>Deployment target</w:t>
            </w:r>
          </w:p>
        </w:tc>
        <w:tc>
          <w:tcPr>
            <w:tcW w:type="dxa" w:w="5131"/>
          </w:tcPr>
          <w:p>
            <w:pPr>
              <w:spacing w:after="40"/>
            </w:pPr>
            <w:r>
              <w:t>GoDaddy server, AlmaLinux 9.8, MySQL 8.0.46, Laravel 13, React 19. See section 9.</w:t>
            </w:r>
          </w:p>
        </w:tc>
      </w:tr>
      <w:tr>
        <w:tc>
          <w:tcPr>
            <w:tcW w:type="dxa" w:w="5131"/>
          </w:tcPr>
          <w:p>
            <w:pPr>
              <w:spacing w:after="40"/>
            </w:pPr>
            <w:r>
              <w:t>5</w:t>
            </w:r>
          </w:p>
        </w:tc>
        <w:tc>
          <w:tcPr>
            <w:tcW w:type="dxa" w:w="5131"/>
          </w:tcPr>
          <w:p>
            <w:pPr>
              <w:spacing w:after="40"/>
            </w:pPr>
            <w:r>
              <w:t>Personas</w:t>
            </w:r>
          </w:p>
        </w:tc>
        <w:tc>
          <w:tcPr>
            <w:tcW w:type="dxa" w:w="5131"/>
          </w:tcPr>
          <w:p>
            <w:pPr>
              <w:spacing w:after="40"/>
            </w:pPr>
            <w:r>
              <w:rPr>
                <w:b/>
              </w:rPr>
              <w:t>Data Engineer, Business User, Administrator</w:t>
            </w:r>
            <w:r>
              <w:t xml:space="preserve"> — mapped to the five-tier role baseline in section 7.</w:t>
            </w:r>
          </w:p>
        </w:tc>
      </w:tr>
    </w:tbl>
    <w:p/>
    <w:p>
      <w:pPr>
        <w:pStyle w:val="Heading2"/>
      </w:pPr>
      <w:r>
        <w:t>3. The central design problem: not every step has an API</w:t>
      </w:r>
    </w:p>
    <w:p>
      <w:r>
        <w:t>The 80-step procedure mixes three fundamentally different kinds of work. Treating them identically is the single biggest way this product could fail, so SemantIQ classifies</w:t>
      </w:r>
    </w:p>
    <w:p>
      <w:r>
        <w:rPr>
          <w:b/>
        </w:rPr>
        <w:t>every</w:t>
      </w:r>
      <w:r>
        <w:t xml:space="preserve"> step into one of three automation tiers, and the UI is honest about which tier the user is standing in.</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Tier</w:t>
            </w:r>
          </w:p>
        </w:tc>
        <w:tc>
          <w:tcPr>
            <w:tcW w:type="dxa" w:w="3848"/>
          </w:tcPr>
          <w:p>
            <w:pPr>
              <w:spacing w:after="40"/>
            </w:pPr>
            <w:r>
              <w:rPr>
                <w:b/>
              </w:rPr>
              <w:t>Name</w:t>
            </w:r>
          </w:p>
        </w:tc>
        <w:tc>
          <w:tcPr>
            <w:tcW w:type="dxa" w:w="3848"/>
          </w:tcPr>
          <w:p>
            <w:pPr>
              <w:spacing w:after="40"/>
            </w:pPr>
            <w:r>
              <w:rPr>
                <w:b/>
              </w:rPr>
              <w:t>What SemantIQ does</w:t>
            </w:r>
          </w:p>
        </w:tc>
        <w:tc>
          <w:tcPr>
            <w:tcW w:type="dxa" w:w="3848"/>
          </w:tcPr>
          <w:p>
            <w:pPr>
              <w:spacing w:after="40"/>
            </w:pPr>
            <w:r>
              <w:rPr>
                <w:b/>
              </w:rPr>
              <w:t>Example steps</w:t>
            </w:r>
          </w:p>
        </w:tc>
      </w:tr>
      <w:tr>
        <w:tc>
          <w:tcPr>
            <w:tcW w:type="dxa" w:w="3848"/>
          </w:tcPr>
          <w:p>
            <w:pPr>
              <w:spacing w:after="40"/>
            </w:pPr>
            <w:r>
              <w:rPr>
                <w:b/>
              </w:rPr>
              <w:t>A</w:t>
            </w:r>
          </w:p>
        </w:tc>
        <w:tc>
          <w:tcPr>
            <w:tcW w:type="dxa" w:w="3848"/>
          </w:tcPr>
          <w:p>
            <w:pPr>
              <w:spacing w:after="40"/>
            </w:pPr>
            <w:r>
              <w:rPr>
                <w:b/>
              </w:rPr>
              <w:t>Automated</w:t>
            </w:r>
          </w:p>
        </w:tc>
        <w:tc>
          <w:tcPr>
            <w:tcW w:type="dxa" w:w="3848"/>
          </w:tcPr>
          <w:p>
            <w:pPr>
              <w:spacing w:after="40"/>
            </w:pPr>
            <w:r>
              <w:t>Executes the change through a Microsoft API and records the result.</w:t>
            </w:r>
          </w:p>
        </w:tc>
        <w:tc>
          <w:tcPr>
            <w:tcW w:type="dxa" w:w="3848"/>
          </w:tcPr>
          <w:p>
            <w:pPr>
              <w:spacing w:after="40"/>
            </w:pPr>
            <w:r>
              <w:t>Create workspace, assign capacity, create lakehouse, create and run pipelines, create Data Agent, git integration, deployment pipelines</w:t>
            </w:r>
          </w:p>
        </w:tc>
      </w:tr>
      <w:tr>
        <w:tc>
          <w:tcPr>
            <w:tcW w:type="dxa" w:w="3848"/>
          </w:tcPr>
          <w:p>
            <w:pPr>
              <w:spacing w:after="40"/>
            </w:pPr>
            <w:r>
              <w:rPr>
                <w:b/>
              </w:rPr>
              <w:t>B</w:t>
            </w:r>
          </w:p>
        </w:tc>
        <w:tc>
          <w:tcPr>
            <w:tcW w:type="dxa" w:w="3848"/>
          </w:tcPr>
          <w:p>
            <w:pPr>
              <w:spacing w:after="40"/>
            </w:pPr>
            <w:r>
              <w:rPr>
                <w:b/>
              </w:rPr>
              <w:t>Guided and verified</w:t>
            </w:r>
          </w:p>
        </w:tc>
        <w:tc>
          <w:tcPr>
            <w:tcW w:type="dxa" w:w="3848"/>
          </w:tcPr>
          <w:p>
            <w:pPr>
              <w:spacing w:after="40"/>
            </w:pPr>
            <w:r>
              <w:t xml:space="preserve">Cannot make the change (no API, or portal-only authoring). SemantIQ states the exact action, deep-links to the correct Microsoft screen, then </w:t>
            </w:r>
            <w:r>
              <w:rPr>
                <w:b/>
              </w:rPr>
              <w:t>reads back tenant/artifact state to verify</w:t>
            </w:r>
            <w:r>
              <w:t xml:space="preserve"> it was done, and blocks progress until verified.</w:t>
            </w:r>
          </w:p>
        </w:tc>
        <w:tc>
          <w:tcPr>
            <w:tcW w:type="dxa" w:w="3848"/>
          </w:tcPr>
          <w:p>
            <w:pPr>
              <w:spacing w:after="40"/>
            </w:pPr>
            <w:r>
              <w:t>Fabric tenant AI settings, cross-geo settings, gateway installation, private connectivity, Copilot Studio agent authoring, channel publication</w:t>
            </w:r>
          </w:p>
        </w:tc>
      </w:tr>
      <w:tr>
        <w:tc>
          <w:tcPr>
            <w:tcW w:type="dxa" w:w="3848"/>
          </w:tcPr>
          <w:p>
            <w:pPr>
              <w:spacing w:after="40"/>
            </w:pPr>
            <w:r>
              <w:rPr>
                <w:b/>
              </w:rPr>
              <w:t>C</w:t>
            </w:r>
          </w:p>
        </w:tc>
        <w:tc>
          <w:tcPr>
            <w:tcW w:type="dxa" w:w="3848"/>
          </w:tcPr>
          <w:p>
            <w:pPr>
              <w:spacing w:after="40"/>
            </w:pPr>
            <w:r>
              <w:rPr>
                <w:b/>
              </w:rPr>
              <w:t>Governed record</w:t>
            </w:r>
          </w:p>
        </w:tc>
        <w:tc>
          <w:tcPr>
            <w:tcW w:type="dxa" w:w="3848"/>
          </w:tcPr>
          <w:p>
            <w:pPr>
              <w:spacing w:after="40"/>
            </w:pPr>
            <w:r>
              <w:t>The artifact is knowledge, not configuration. SemantIQ is the system of record and the review workflow.</w:t>
            </w:r>
          </w:p>
        </w:tc>
        <w:tc>
          <w:tcPr>
            <w:tcW w:type="dxa" w:w="3848"/>
          </w:tcPr>
          <w:p>
            <w:pPr>
              <w:spacing w:after="40"/>
            </w:pPr>
            <w:r>
              <w:t>Business definitions, KPI ownership, ground-truth question bank, AI change process, sign-off for go-live</w:t>
            </w:r>
          </w:p>
        </w:tc>
      </w:tr>
    </w:tbl>
    <w:p/>
    <w:p>
      <w:r>
        <w:rPr>
          <w:b/>
        </w:rPr>
        <w:t>Design rule:</w:t>
      </w:r>
      <w:r>
        <w:t xml:space="preserve"> a Tier B step is never marked complete on a user's word alone. It is complete when a verification probe returns the expected state, or when a named approver records a written exception. This is what makes SemantIQ a governance tool rather than a checklist app.</w:t>
      </w:r>
    </w:p>
    <w:p>
      <w:r>
        <w:rPr>
          <w:b/>
        </w:rPr>
        <w:t>Verification note:</w:t>
      </w:r>
      <w:r>
        <w:t xml:space="preserve"> the Microsoft Fabric, Power BI, Power Platform, and Copilot Studio API surfaces change frequently, and service-principal support varies per endpoint. Every step's tier is therefore stored as </w:t>
      </w:r>
      <w:r>
        <w:rPr>
          <w:b/>
        </w:rPr>
        <w:t>configuration, not code</w:t>
      </w:r>
      <w:r>
        <w:t>, and a</w:t>
      </w:r>
    </w:p>
    <w:p>
      <w:r>
        <w:rPr>
          <w:rFonts w:ascii="Consolas" w:hAnsi="Consolas"/>
        </w:rPr>
        <w:t>CapabilityProbe</w:t>
      </w:r>
      <w:r>
        <w:t xml:space="preserve"> suite runs against a live development tenant to re-confirm tiers per release. A step may be promoted from B to A without a code change.</w:t>
      </w:r>
    </w:p>
    <w:p>
      <w:pPr>
        <w:pStyle w:val="Heading2"/>
      </w:pPr>
      <w:r>
        <w:t>4. Application architecture</w:t>
      </w:r>
    </w:p>
    <w:p>
      <w:r>
        <w:t xml:space="preserve">A </w:t>
      </w:r>
      <w:r>
        <w:rPr>
          <w:b/>
        </w:rPr>
        <w:t>modular monolith</w:t>
      </w:r>
      <w:r>
        <w:t>: one Laravel 13 application, internally partitioned, with React 19 served through Inertia.</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r>
              <w:rPr>
                <w:b/>
              </w:rPr>
              <w:t>Layer</w:t>
            </w:r>
          </w:p>
        </w:tc>
        <w:tc>
          <w:tcPr>
            <w:tcW w:type="dxa" w:w="5131"/>
          </w:tcPr>
          <w:p>
            <w:pPr>
              <w:spacing w:after="40"/>
            </w:pPr>
            <w:r>
              <w:rPr>
                <w:b/>
              </w:rPr>
              <w:t>Technology</w:t>
            </w:r>
          </w:p>
        </w:tc>
        <w:tc>
          <w:tcPr>
            <w:tcW w:type="dxa" w:w="5131"/>
          </w:tcPr>
          <w:p>
            <w:pPr>
              <w:spacing w:after="40"/>
            </w:pPr>
            <w:r>
              <w:rPr>
                <w:b/>
              </w:rPr>
              <w:t>Notes</w:t>
            </w:r>
          </w:p>
        </w:tc>
      </w:tr>
      <w:tr>
        <w:tc>
          <w:tcPr>
            <w:tcW w:type="dxa" w:w="5131"/>
          </w:tcPr>
          <w:p>
            <w:pPr>
              <w:spacing w:after="40"/>
            </w:pPr>
            <w:r>
              <w:t>Presentation</w:t>
            </w:r>
          </w:p>
        </w:tc>
        <w:tc>
          <w:tcPr>
            <w:tcW w:type="dxa" w:w="5131"/>
          </w:tcPr>
          <w:p>
            <w:pPr>
              <w:spacing w:after="40"/>
            </w:pPr>
            <w:r>
              <w:t>React 19 + TypeScript, Inertia, Vite</w:t>
            </w:r>
          </w:p>
        </w:tc>
        <w:tc>
          <w:tcPr>
            <w:tcW w:type="dxa" w:w="5131"/>
          </w:tcPr>
          <w:p>
            <w:pPr>
              <w:spacing w:after="40"/>
            </w:pPr>
            <w:r>
              <w:t>Typed page props; assets built in CI, never on the host</w:t>
            </w:r>
          </w:p>
        </w:tc>
      </w:tr>
      <w:tr>
        <w:tc>
          <w:tcPr>
            <w:tcW w:type="dxa" w:w="5131"/>
          </w:tcPr>
          <w:p>
            <w:pPr>
              <w:spacing w:after="40"/>
            </w:pPr>
            <w:r>
              <w:t>Application</w:t>
            </w:r>
          </w:p>
        </w:tc>
        <w:tc>
          <w:tcPr>
            <w:tcW w:type="dxa" w:w="5131"/>
          </w:tcPr>
          <w:p>
            <w:pPr>
              <w:spacing w:after="40"/>
            </w:pPr>
            <w:r>
              <w:t>Laravel 13, PHP 8.3+</w:t>
            </w:r>
          </w:p>
        </w:tc>
        <w:tc>
          <w:tcPr>
            <w:tcW w:type="dxa" w:w="5131"/>
          </w:tcPr>
          <w:p>
            <w:pPr>
              <w:spacing w:after="40"/>
            </w:pPr>
            <w:r>
              <w:t>Control plane, token broker, orchestration</w:t>
            </w:r>
          </w:p>
        </w:tc>
      </w:tr>
      <w:tr>
        <w:tc>
          <w:tcPr>
            <w:tcW w:type="dxa" w:w="5131"/>
          </w:tcPr>
          <w:p>
            <w:pPr>
              <w:spacing w:after="40"/>
            </w:pPr>
            <w:r>
              <w:t>Persistence</w:t>
            </w:r>
          </w:p>
        </w:tc>
        <w:tc>
          <w:tcPr>
            <w:tcW w:type="dxa" w:w="5131"/>
          </w:tcPr>
          <w:p>
            <w:pPr>
              <w:spacing w:after="40"/>
            </w:pPr>
            <w:r>
              <w:t>MySQL 8.0.46</w:t>
            </w:r>
          </w:p>
        </w:tc>
        <w:tc>
          <w:tcPr>
            <w:tcW w:type="dxa" w:w="5131"/>
          </w:tcPr>
          <w:p>
            <w:pPr>
              <w:spacing w:after="40"/>
            </w:pPr>
            <w:r>
              <w:t>InnoDB, utf8mb4, JSON columns for artifact metadata</w:t>
            </w:r>
          </w:p>
        </w:tc>
      </w:tr>
      <w:tr>
        <w:tc>
          <w:tcPr>
            <w:tcW w:type="dxa" w:w="5131"/>
          </w:tcPr>
          <w:p>
            <w:pPr>
              <w:spacing w:after="40"/>
            </w:pPr>
            <w:r>
              <w:t>Async</w:t>
            </w:r>
          </w:p>
        </w:tc>
        <w:tc>
          <w:tcPr>
            <w:tcW w:type="dxa" w:w="5131"/>
          </w:tcPr>
          <w:p>
            <w:pPr>
              <w:spacing w:after="40"/>
            </w:pPr>
            <w:r>
              <w:t xml:space="preserve">Laravel queue on the </w:t>
            </w:r>
            <w:r>
              <w:rPr>
                <w:b/>
              </w:rPr>
              <w:t>database</w:t>
            </w:r>
            <w:r>
              <w:t xml:space="preserve"> driver</w:t>
            </w:r>
          </w:p>
        </w:tc>
        <w:tc>
          <w:tcPr>
            <w:tcW w:type="dxa" w:w="5131"/>
          </w:tcPr>
          <w:p>
            <w:pPr>
              <w:spacing w:after="40"/>
            </w:pPr>
            <w:r>
              <w:t>Portable to constrained hosting; Redis is an optional upgrade</w:t>
            </w:r>
          </w:p>
        </w:tc>
      </w:tr>
      <w:tr>
        <w:tc>
          <w:tcPr>
            <w:tcW w:type="dxa" w:w="5131"/>
          </w:tcPr>
          <w:p>
            <w:pPr>
              <w:spacing w:after="40"/>
            </w:pPr>
            <w:r>
              <w:t>Progress transport</w:t>
            </w:r>
          </w:p>
        </w:tc>
        <w:tc>
          <w:tcPr>
            <w:tcW w:type="dxa" w:w="5131"/>
          </w:tcPr>
          <w:p>
            <w:pPr>
              <w:spacing w:after="40"/>
            </w:pPr>
            <w:r>
              <w:rPr>
                <w:b/>
              </w:rPr>
              <w:t>HTTP polling</w:t>
            </w:r>
            <w:r>
              <w:t xml:space="preserve"> on a run-status endpoint</w:t>
            </w:r>
          </w:p>
        </w:tc>
        <w:tc>
          <w:tcPr>
            <w:tcW w:type="dxa" w:w="5131"/>
          </w:tcPr>
          <w:p>
            <w:pPr>
              <w:spacing w:after="40"/>
            </w:pPr>
            <w:r>
              <w:t>Deliberate: no WebSocket dependency (section 9)</w:t>
            </w:r>
          </w:p>
        </w:tc>
      </w:tr>
      <w:tr>
        <w:tc>
          <w:tcPr>
            <w:tcW w:type="dxa" w:w="5131"/>
          </w:tcPr>
          <w:p>
            <w:pPr>
              <w:spacing w:after="40"/>
            </w:pPr>
            <w:r>
              <w:t>Integration</w:t>
            </w:r>
          </w:p>
        </w:tc>
        <w:tc>
          <w:tcPr>
            <w:tcW w:type="dxa" w:w="5131"/>
          </w:tcPr>
          <w:p>
            <w:pPr>
              <w:spacing w:after="40"/>
            </w:pPr>
            <w:r>
              <w:t xml:space="preserve">Internal </w:t>
            </w:r>
            <w:r>
              <w:rPr>
                <w:rFonts w:ascii="Consolas" w:hAnsi="Consolas"/>
              </w:rPr>
              <w:t>Fabric</w:t>
            </w:r>
            <w:r>
              <w:t xml:space="preserve"> module</w:t>
            </w:r>
          </w:p>
        </w:tc>
        <w:tc>
          <w:tcPr>
            <w:tcW w:type="dxa" w:w="5131"/>
          </w:tcPr>
          <w:p>
            <w:pPr>
              <w:spacing w:after="40"/>
            </w:pPr>
            <w:r>
              <w:t>The only code that speaks HTTP to Microsoft</w:t>
            </w:r>
          </w:p>
        </w:tc>
      </w:tr>
    </w:tbl>
    <w:p/>
    <w:p>
      <w:r>
        <w:rPr>
          <w:b/>
        </w:rPr>
        <w:t>Why Inertia rather than a separate SPA:</w:t>
      </w:r>
      <w:r>
        <w:t xml:space="preserve"> Microsoft access tokens must never reach the browser. Inertia keeps one session, one authorisation layer, and one deployment, and the token broker stays server-side by construction. A public API can be added later beside Inertia; removing a leaked-token surface afterwards is far harder.</w:t>
      </w:r>
    </w:p>
    <w:p>
      <w:pPr>
        <w:pStyle w:val="Heading3"/>
      </w:pPr>
      <w:r>
        <w:t>4.1 Module map</w:t>
      </w:r>
    </w:p>
    <w:p>
      <w:r>
        <w:rPr>
          <w:rFonts w:ascii="Consolas" w:hAnsi="Consolas"/>
          <w:sz w:val="16"/>
        </w:rPr>
        <w:t>app/Modules/</w:t>
        <w:br/>
        <w:t xml:space="preserve">  Identity/       Entra sign-in, tenant onboarding, consent, token broker, roles</w:t>
        <w:br/>
        <w:t xml:space="preserve">  Readiness/      Tenant preflight probes, capacity checks, admin-role checks</w:t>
        <w:br/>
        <w:t xml:space="preserve">  Environments/   Workspace lifecycle, DEV/TEST/PROD, capacity assignment</w:t>
        <w:br/>
        <w:t xml:space="preserve">  Sources/        Source register, connections, gateway and connectivity records</w:t>
        <w:br/>
        <w:t xml:space="preserve">  DataPlatform/   Lakehouse, medallion layers, warehouse, shortcuts, mirroring</w:t>
        <w:br/>
        <w:t xml:space="preserve">  Ingestion/      Pipelines, copy jobs, incremental strategy, schedules, retries</w:t>
        <w:br/>
        <w:t xml:space="preserve">  Transformation/ Silver/Gold logic, entity standardisation, keys, data quality</w:t>
        <w:br/>
        <w:t xml:space="preserve">  Modelling/      Semantic model, relationships, measures, naming, RLS/CLS</w:t>
        <w:br/>
        <w:t xml:space="preserve">  Semantics/      Business glossary, descriptions, synonyms, AI instructions, verified answers</w:t>
        <w:br/>
        <w:t xml:space="preserve">  Agents/         Data Agent definition, sources, instructions, examples</w:t>
        <w:br/>
        <w:t xml:space="preserve">  Evaluation/     Ground-truth bank, test runs, accuracy scoring, security tests</w:t>
        <w:br/>
        <w:t xml:space="preserve">  Conversation/   Copilot Studio guidance, channels, sharing, routing tests</w:t>
        <w:br/>
        <w:t xml:space="preserve">  Observability/  Capacity metrics, pipeline runs, conversation quality</w:t>
        <w:br/>
        <w:t xml:space="preserve">  Lifecycle/      Git integration, deployment pipelines, AI change process, go-live gate</w:t>
        <w:br/>
        <w:t xml:space="preserve">  Governance/     Audit trail, sensitivity labels, lineage register, exceptions</w:t>
        <w:br/>
        <w:t xml:space="preserve">  Platform/       App users, roles, settings, recycle bin, notifications</w:t>
      </w:r>
    </w:p>
    <w:p>
      <w:r>
        <w:t>Boundaries are enforced by a static dependency rule (Deptrac) in CI. Only</w:t>
      </w:r>
    </w:p>
    <w:p>
      <w:r>
        <w:rPr>
          <w:rFonts w:ascii="Consolas" w:hAnsi="Consolas"/>
        </w:rPr>
        <w:t>Modules/Fabric</w:t>
      </w:r>
      <w:r>
        <w:t xml:space="preserve"> (inside </w:t>
      </w:r>
      <w:r>
        <w:rPr>
          <w:rFonts w:ascii="Consolas" w:hAnsi="Consolas"/>
        </w:rPr>
        <w:t>Identity</w:t>
      </w:r>
      <w:r>
        <w:t>/shared infrastructure) may issue outbound Microsoft calls.</w:t>
      </w:r>
    </w:p>
    <w:p>
      <w:pPr>
        <w:pStyle w:val="Heading3"/>
      </w:pPr>
      <w:r>
        <w:t>4.2 The Blueprint engine</w:t>
      </w:r>
    </w:p>
    <w:p>
      <w:r>
        <w:t>The 80 steps are not 80 screens. They are data.</w:t>
      </w:r>
    </w:p>
    <w:p>
      <w:r>
        <w:rPr>
          <w:rFonts w:ascii="Consolas" w:hAnsi="Consolas"/>
          <w:sz w:val="16"/>
        </w:rPr>
        <w:t>Project  (one customer initiative)</w:t>
        <w:br/>
        <w:t xml:space="preserve">  └── Blueprint            versioned declarative target state</w:t>
        <w:br/>
        <w:t xml:space="preserve">        └── Stage          one of the 14 clusters</w:t>
        <w:br/>
        <w:t xml:space="preserve">              └── StepRun  one of the 80 steps, tier A|B|C</w:t>
        <w:br/>
        <w:t xml:space="preserve">                    └── Operation   one idempotent API call + its long-running poll</w:t>
      </w:r>
    </w:p>
    <w:p>
      <w:r>
        <w:rPr>
          <w:rFonts w:ascii="Consolas" w:hAnsi="Consolas"/>
        </w:rPr>
        <w:t>StepRun</w:t>
      </w:r>
      <w:r>
        <w:t xml:space="preserve"> states: `blocked -&gt; ready -&gt; running -&gt; awaiting_input -&gt; awaiting_verification</w:t>
      </w:r>
    </w:p>
    <w:p>
      <w:r>
        <w:t>-&gt; verified -&gt; failed -&gt; skipped(exception)`.</w:t>
      </w:r>
    </w:p>
    <w:p>
      <w:r>
        <w:t>Properties this buys:</w:t>
      </w:r>
    </w:p>
    <w:p>
      <w:pPr>
        <w:pStyle w:val="ListBullet"/>
      </w:pPr>
      <w:r>
        <w:rPr>
          <w:b/>
        </w:rPr>
        <w:t>Idempotency.</w:t>
      </w:r>
      <w:r>
        <w:t xml:space="preserve"> Every Operation carries a deterministic idempotency key, so a resumed</w:t>
      </w:r>
    </w:p>
    <w:p>
      <w:r>
        <w:t>run never creates a duplicate Fabric artifact.</w:t>
      </w:r>
    </w:p>
    <w:p>
      <w:pPr>
        <w:pStyle w:val="ListBullet"/>
      </w:pPr>
      <w:r>
        <w:rPr>
          <w:b/>
        </w:rPr>
        <w:t>Resumability.</w:t>
      </w:r>
      <w:r>
        <w:t xml:space="preserve"> A failed step resumes; the run does not restart.</w:t>
      </w:r>
    </w:p>
    <w:p>
      <w:pPr>
        <w:pStyle w:val="ListBullet"/>
      </w:pPr>
      <w:r>
        <w:rPr>
          <w:b/>
        </w:rPr>
        <w:t>Drift detection.</w:t>
      </w:r>
      <w:r>
        <w:t xml:space="preserve"> Re-running a verification probe detects that Fabric no longer</w:t>
      </w:r>
    </w:p>
    <w:p>
      <w:r>
        <w:t>matches the Blueprint.</w:t>
      </w:r>
    </w:p>
    <w:p>
      <w:pPr>
        <w:pStyle w:val="ListBullet"/>
      </w:pPr>
      <w:r>
        <w:rPr>
          <w:b/>
        </w:rPr>
        <w:t>Templating.</w:t>
      </w:r>
      <w:r>
        <w:t xml:space="preserve"> An industry starter blueprint is a seed record, not new code.</w:t>
      </w:r>
    </w:p>
    <w:p>
      <w:pPr>
        <w:pStyle w:val="ListBullet"/>
      </w:pPr>
      <w:r>
        <w:rPr>
          <w:b/>
        </w:rPr>
        <w:t>Traceability.</w:t>
      </w:r>
      <w:r>
        <w:t xml:space="preserve"> Requirement -&gt; step -&gt; operation -&gt; audit event is one join.</w:t>
      </w:r>
    </w:p>
    <w:p>
      <w:pPr>
        <w:pStyle w:val="Heading3"/>
      </w:pPr>
      <w:r>
        <w:t>4.3 Long-running operations</w:t>
      </w:r>
    </w:p>
    <w:p>
      <w:r>
        <w:t xml:space="preserve">Fabric returns </w:t>
      </w:r>
      <w:r>
        <w:rPr>
          <w:rFonts w:ascii="Consolas" w:hAnsi="Consolas"/>
        </w:rPr>
        <w:t>202 Accepted</w:t>
      </w:r>
      <w:r>
        <w:t xml:space="preserve"> with a </w:t>
      </w:r>
      <w:r>
        <w:rPr>
          <w:rFonts w:ascii="Consolas" w:hAnsi="Consolas"/>
        </w:rPr>
        <w:t>Location</w:t>
      </w:r>
      <w:r>
        <w:t xml:space="preserve"> and </w:t>
      </w:r>
      <w:r>
        <w:rPr>
          <w:rFonts w:ascii="Consolas" w:hAnsi="Consolas"/>
        </w:rPr>
        <w:t>Retry-After</w:t>
      </w:r>
      <w:r>
        <w:t xml:space="preserve"> for most meaningful work. One shared poller handles all of it: an Operation dispatches, stores the operation URL, and </w:t>
      </w:r>
      <w:r>
        <w:rPr>
          <w:b/>
        </w:rPr>
        <w:t>re-queues itself</w:t>
      </w:r>
      <w:r>
        <w:t xml:space="preserve"> with the advertised delay. Nothing sleeps inside a request or a worker. This is what makes the system survivable on constrained hosting.</w:t>
      </w:r>
    </w:p>
    <w:p>
      <w:pPr>
        <w:pStyle w:val="Heading2"/>
      </w:pPr>
      <w:r>
        <w:t>5. Microsoft integration surface</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r>
              <w:rPr>
                <w:b/>
              </w:rPr>
              <w:t>Concern</w:t>
            </w:r>
          </w:p>
        </w:tc>
        <w:tc>
          <w:tcPr>
            <w:tcW w:type="dxa" w:w="5131"/>
          </w:tcPr>
          <w:p>
            <w:pPr>
              <w:spacing w:after="40"/>
            </w:pPr>
            <w:r>
              <w:rPr>
                <w:b/>
              </w:rPr>
              <w:t>Endpoint / mechanism</w:t>
            </w:r>
          </w:p>
        </w:tc>
        <w:tc>
          <w:tcPr>
            <w:tcW w:type="dxa" w:w="5131"/>
          </w:tcPr>
          <w:p>
            <w:pPr>
              <w:spacing w:after="40"/>
            </w:pPr>
            <w:r>
              <w:rPr>
                <w:b/>
              </w:rPr>
              <w:t>Notes</w:t>
            </w:r>
          </w:p>
        </w:tc>
      </w:tr>
      <w:tr>
        <w:tc>
          <w:tcPr>
            <w:tcW w:type="dxa" w:w="5131"/>
          </w:tcPr>
          <w:p>
            <w:pPr>
              <w:spacing w:after="40"/>
            </w:pPr>
            <w:r>
              <w:t>Sign-in</w:t>
            </w:r>
          </w:p>
        </w:tc>
        <w:tc>
          <w:tcPr>
            <w:tcW w:type="dxa" w:w="5131"/>
          </w:tcPr>
          <w:p>
            <w:pPr>
              <w:spacing w:after="40"/>
            </w:pPr>
            <w:r>
              <w:t>Entra ID OIDC (authorization code + PKCE)</w:t>
            </w:r>
          </w:p>
        </w:tc>
        <w:tc>
          <w:tcPr>
            <w:tcW w:type="dxa" w:w="5131"/>
          </w:tcPr>
          <w:p>
            <w:pPr>
              <w:spacing w:after="40"/>
            </w:pPr>
            <w:r>
              <w:t>Multi-tenant app registration; admin consent per customer tenant</w:t>
            </w:r>
          </w:p>
        </w:tc>
      </w:tr>
      <w:tr>
        <w:tc>
          <w:tcPr>
            <w:tcW w:type="dxa" w:w="5131"/>
          </w:tcPr>
          <w:p>
            <w:pPr>
              <w:spacing w:after="40"/>
            </w:pPr>
            <w:r>
              <w:t>Delegated Fabric calls</w:t>
            </w:r>
          </w:p>
        </w:tc>
        <w:tc>
          <w:tcPr>
            <w:tcW w:type="dxa" w:w="5131"/>
          </w:tcPr>
          <w:p>
            <w:pPr>
              <w:spacing w:after="40"/>
            </w:pPr>
            <w:r>
              <w:t>On-behalf-of token exchange</w:t>
            </w:r>
          </w:p>
        </w:tc>
        <w:tc>
          <w:tcPr>
            <w:tcW w:type="dxa" w:w="5131"/>
          </w:tcPr>
          <w:p>
            <w:pPr>
              <w:spacing w:after="40"/>
            </w:pPr>
            <w:r>
              <w:t>Preserves the user's own Fabric permissions — required for honest RLS behaviour</w:t>
            </w:r>
          </w:p>
        </w:tc>
      </w:tr>
      <w:tr>
        <w:tc>
          <w:tcPr>
            <w:tcW w:type="dxa" w:w="5131"/>
          </w:tcPr>
          <w:p>
            <w:pPr>
              <w:spacing w:after="40"/>
            </w:pPr>
            <w:r>
              <w:t>Automation</w:t>
            </w:r>
          </w:p>
        </w:tc>
        <w:tc>
          <w:tcPr>
            <w:tcW w:type="dxa" w:w="5131"/>
          </w:tcPr>
          <w:p>
            <w:pPr>
              <w:spacing w:after="40"/>
            </w:pPr>
            <w:r>
              <w:t>Service principal (client credentials)</w:t>
            </w:r>
          </w:p>
        </w:tc>
        <w:tc>
          <w:tcPr>
            <w:tcW w:type="dxa" w:w="5131"/>
          </w:tcPr>
          <w:p>
            <w:pPr>
              <w:spacing w:after="40"/>
            </w:pPr>
            <w:r>
              <w:t>Only where the endpoint supports it; probed per release</w:t>
            </w:r>
          </w:p>
        </w:tc>
      </w:tr>
      <w:tr>
        <w:tc>
          <w:tcPr>
            <w:tcW w:type="dxa" w:w="5131"/>
          </w:tcPr>
          <w:p>
            <w:pPr>
              <w:spacing w:after="40"/>
            </w:pPr>
            <w:r>
              <w:t>Fabric items</w:t>
            </w:r>
          </w:p>
        </w:tc>
        <w:tc>
          <w:tcPr>
            <w:tcW w:type="dxa" w:w="5131"/>
          </w:tcPr>
          <w:p>
            <w:pPr>
              <w:spacing w:after="40"/>
            </w:pPr>
            <w:r>
              <w:rPr>
                <w:rFonts w:ascii="Consolas" w:hAnsi="Consolas"/>
              </w:rPr>
              <w:t>api.fabric.microsoft.com/v1</w:t>
            </w:r>
          </w:p>
        </w:tc>
        <w:tc>
          <w:tcPr>
            <w:tcW w:type="dxa" w:w="5131"/>
          </w:tcPr>
          <w:p>
            <w:pPr>
              <w:spacing w:after="40"/>
            </w:pPr>
            <w:r>
              <w:t>Workspaces, capacities, items, item definitions (base64 TMDL/TMSL/JSON), jobs, git, deployment pipelines</w:t>
            </w:r>
          </w:p>
        </w:tc>
      </w:tr>
      <w:tr>
        <w:tc>
          <w:tcPr>
            <w:tcW w:type="dxa" w:w="5131"/>
          </w:tcPr>
          <w:p>
            <w:pPr>
              <w:spacing w:after="40"/>
            </w:pPr>
            <w:r>
              <w:t>Power BI</w:t>
            </w:r>
          </w:p>
        </w:tc>
        <w:tc>
          <w:tcPr>
            <w:tcW w:type="dxa" w:w="5131"/>
          </w:tcPr>
          <w:p>
            <w:pPr>
              <w:spacing w:after="40"/>
            </w:pPr>
            <w:r>
              <w:rPr>
                <w:rFonts w:ascii="Consolas" w:hAnsi="Consolas"/>
              </w:rPr>
              <w:t>api.powerbi.com/v1.0</w:t>
            </w:r>
          </w:p>
        </w:tc>
        <w:tc>
          <w:tcPr>
            <w:tcW w:type="dxa" w:w="5131"/>
          </w:tcPr>
          <w:p>
            <w:pPr>
              <w:spacing w:after="40"/>
            </w:pPr>
            <w:r>
              <w:t>Refresh, RLS role membership, dataset users, embed tokens</w:t>
            </w:r>
          </w:p>
        </w:tc>
      </w:tr>
      <w:tr>
        <w:tc>
          <w:tcPr>
            <w:tcW w:type="dxa" w:w="5131"/>
          </w:tcPr>
          <w:p>
            <w:pPr>
              <w:spacing w:after="40"/>
            </w:pPr>
            <w:r>
              <w:t>OneLake</w:t>
            </w:r>
          </w:p>
        </w:tc>
        <w:tc>
          <w:tcPr>
            <w:tcW w:type="dxa" w:w="5131"/>
          </w:tcPr>
          <w:p>
            <w:pPr>
              <w:spacing w:after="40"/>
            </w:pPr>
            <w:r>
              <w:rPr>
                <w:rFonts w:ascii="Consolas" w:hAnsi="Consolas"/>
              </w:rPr>
              <w:t>onelake.dfs.fabric.microsoft.com</w:t>
            </w:r>
          </w:p>
        </w:tc>
        <w:tc>
          <w:tcPr>
            <w:tcW w:type="dxa" w:w="5131"/>
          </w:tcPr>
          <w:p>
            <w:pPr>
              <w:spacing w:after="40"/>
            </w:pPr>
            <w:r>
              <w:t>Table and file inspection, previews</w:t>
            </w:r>
          </w:p>
        </w:tc>
      </w:tr>
      <w:tr>
        <w:tc>
          <w:tcPr>
            <w:tcW w:type="dxa" w:w="5131"/>
          </w:tcPr>
          <w:p>
            <w:pPr>
              <w:spacing w:after="40"/>
            </w:pPr>
            <w:r>
              <w:t>Capacity</w:t>
            </w:r>
          </w:p>
        </w:tc>
        <w:tc>
          <w:tcPr>
            <w:tcW w:type="dxa" w:w="5131"/>
          </w:tcPr>
          <w:p>
            <w:pPr>
              <w:spacing w:after="40"/>
            </w:pPr>
            <w:r>
              <w:t xml:space="preserve">Azure Resource Manager, </w:t>
            </w:r>
            <w:r>
              <w:rPr>
                <w:rFonts w:ascii="Consolas" w:hAnsi="Consolas"/>
              </w:rPr>
              <w:t>Microsoft.Fabric/capacities</w:t>
            </w:r>
          </w:p>
        </w:tc>
        <w:tc>
          <w:tcPr>
            <w:tcW w:type="dxa" w:w="5131"/>
          </w:tcPr>
          <w:p>
            <w:pPr>
              <w:spacing w:after="40"/>
            </w:pPr>
            <w:r>
              <w:t>SKU verification (F2+), pause/resume, cost signals</w:t>
            </w:r>
          </w:p>
        </w:tc>
      </w:tr>
      <w:tr>
        <w:tc>
          <w:tcPr>
            <w:tcW w:type="dxa" w:w="5131"/>
          </w:tcPr>
          <w:p>
            <w:pPr>
              <w:spacing w:after="40"/>
            </w:pPr>
            <w:r>
              <w:t>Tenant settings</w:t>
            </w:r>
          </w:p>
        </w:tc>
        <w:tc>
          <w:tcPr>
            <w:tcW w:type="dxa" w:w="5131"/>
          </w:tcPr>
          <w:p>
            <w:pPr>
              <w:spacing w:after="40"/>
            </w:pPr>
            <w:r>
              <w:t>Fabric admin APIs (read) + portal deep link (change)</w:t>
            </w:r>
          </w:p>
        </w:tc>
        <w:tc>
          <w:tcPr>
            <w:tcW w:type="dxa" w:w="5131"/>
          </w:tcPr>
          <w:p>
            <w:pPr>
              <w:spacing w:after="40"/>
            </w:pPr>
            <w:r>
              <w:t>Tier B: verify by read-back</w:t>
            </w:r>
          </w:p>
        </w:tc>
      </w:tr>
      <w:tr>
        <w:tc>
          <w:tcPr>
            <w:tcW w:type="dxa" w:w="5131"/>
          </w:tcPr>
          <w:p>
            <w:pPr>
              <w:spacing w:after="40"/>
            </w:pPr>
            <w:r>
              <w:t>Copilot Studio</w:t>
            </w:r>
          </w:p>
        </w:tc>
        <w:tc>
          <w:tcPr>
            <w:tcW w:type="dxa" w:w="5131"/>
          </w:tcPr>
          <w:p>
            <w:pPr>
              <w:spacing w:after="40"/>
            </w:pPr>
            <w:r>
              <w:t>Portal authoring + deep link; Power Platform environment APIs</w:t>
            </w:r>
          </w:p>
        </w:tc>
        <w:tc>
          <w:tcPr>
            <w:tcW w:type="dxa" w:w="5131"/>
          </w:tcPr>
          <w:p>
            <w:pPr>
              <w:spacing w:after="40"/>
            </w:pPr>
            <w:r>
              <w:t>Tier B</w:t>
            </w:r>
          </w:p>
        </w:tc>
      </w:tr>
    </w:tbl>
    <w:p/>
    <w:p>
      <w:r>
        <w:t xml:space="preserve">Token handling: refresh tokens are stored encrypted at rest under </w:t>
      </w:r>
      <w:r>
        <w:rPr>
          <w:rFonts w:ascii="Consolas" w:hAnsi="Consolas"/>
        </w:rPr>
        <w:t>APP_KEY</w:t>
      </w:r>
      <w:r>
        <w:t>, scoped to a tenant and a user, never logged, never rendered, and never sent to the browser. Access tokens are held in memory for the duration of a job only.</w:t>
      </w:r>
    </w:p>
    <w:p>
      <w:pPr>
        <w:pStyle w:val="Heading2"/>
      </w:pPr>
      <w:r>
        <w:t>6. Data model (first cut)</w:t>
      </w:r>
    </w:p>
    <w:p>
      <w:r>
        <w:rPr>
          <w:rFonts w:ascii="Consolas" w:hAnsi="Consolas"/>
        </w:rPr>
        <w:t>tenants</w:t>
      </w:r>
      <w:r>
        <w:t xml:space="preserve"> · </w:t>
      </w:r>
      <w:r>
        <w:rPr>
          <w:rFonts w:ascii="Consolas" w:hAnsi="Consolas"/>
        </w:rPr>
        <w:t>users</w:t>
      </w:r>
      <w:r>
        <w:t xml:space="preserve"> · </w:t>
      </w:r>
      <w:r>
        <w:rPr>
          <w:rFonts w:ascii="Consolas" w:hAnsi="Consolas"/>
        </w:rPr>
        <w:t>roles</w:t>
      </w:r>
      <w:r>
        <w:t xml:space="preserve"> · </w:t>
      </w:r>
      <w:r>
        <w:rPr>
          <w:rFonts w:ascii="Consolas" w:hAnsi="Consolas"/>
        </w:rPr>
        <w:t>role_user</w:t>
      </w:r>
      <w:r>
        <w:t xml:space="preserve"> · </w:t>
      </w:r>
      <w:r>
        <w:rPr>
          <w:rFonts w:ascii="Consolas" w:hAnsi="Consolas"/>
        </w:rPr>
        <w:t>entra_connections</w:t>
      </w:r>
      <w:r>
        <w:t xml:space="preserve"> ·</w:t>
      </w:r>
    </w:p>
    <w:p>
      <w:r>
        <w:rPr>
          <w:rFonts w:ascii="Consolas" w:hAnsi="Consolas"/>
        </w:rPr>
        <w:t>fabric_capacities</w:t>
      </w:r>
      <w:r>
        <w:t xml:space="preserve"> · </w:t>
      </w:r>
      <w:r>
        <w:rPr>
          <w:rFonts w:ascii="Consolas" w:hAnsi="Consolas"/>
        </w:rPr>
        <w:t>projects</w:t>
      </w:r>
      <w:r>
        <w:t xml:space="preserve"> · </w:t>
      </w:r>
      <w:r>
        <w:rPr>
          <w:rFonts w:ascii="Consolas" w:hAnsi="Consolas"/>
        </w:rPr>
        <w:t>blueprints</w:t>
      </w:r>
      <w:r>
        <w:t xml:space="preserve"> · </w:t>
      </w:r>
      <w:r>
        <w:rPr>
          <w:rFonts w:ascii="Consolas" w:hAnsi="Consolas"/>
        </w:rPr>
        <w:t>blueprint_versions</w:t>
      </w:r>
      <w:r>
        <w:t xml:space="preserve"> · </w:t>
      </w:r>
      <w:r>
        <w:rPr>
          <w:rFonts w:ascii="Consolas" w:hAnsi="Consolas"/>
        </w:rPr>
        <w:t>stages</w:t>
      </w:r>
      <w:r>
        <w:t xml:space="preserve"> ·</w:t>
      </w:r>
    </w:p>
    <w:p>
      <w:r>
        <w:rPr>
          <w:rFonts w:ascii="Consolas" w:hAnsi="Consolas"/>
        </w:rPr>
        <w:t>steps</w:t>
      </w:r>
      <w:r>
        <w:t xml:space="preserve"> (catalogue of the 80) · </w:t>
      </w:r>
      <w:r>
        <w:rPr>
          <w:rFonts w:ascii="Consolas" w:hAnsi="Consolas"/>
        </w:rPr>
        <w:t>step_runs</w:t>
      </w:r>
      <w:r>
        <w:t xml:space="preserve"> · </w:t>
      </w:r>
      <w:r>
        <w:rPr>
          <w:rFonts w:ascii="Consolas" w:hAnsi="Consolas"/>
        </w:rPr>
        <w:t>operations</w:t>
      </w:r>
      <w:r>
        <w:t xml:space="preserve"> ·</w:t>
      </w:r>
    </w:p>
    <w:p>
      <w:r>
        <w:rPr>
          <w:rFonts w:ascii="Consolas" w:hAnsi="Consolas"/>
        </w:rPr>
        <w:t>environments</w:t>
      </w:r>
      <w:r>
        <w:t xml:space="preserve"> (DEV/TEST/PROD) · </w:t>
      </w:r>
      <w:r>
        <w:rPr>
          <w:rFonts w:ascii="Consolas" w:hAnsi="Consolas"/>
        </w:rPr>
        <w:t>workspaces</w:t>
      </w:r>
      <w:r>
        <w:t xml:space="preserve"> · </w:t>
      </w:r>
      <w:r>
        <w:rPr>
          <w:rFonts w:ascii="Consolas" w:hAnsi="Consolas"/>
        </w:rPr>
        <w:t>data_sources</w:t>
      </w:r>
      <w:r>
        <w:t xml:space="preserve"> · </w:t>
      </w:r>
      <w:r>
        <w:rPr>
          <w:rFonts w:ascii="Consolas" w:hAnsi="Consolas"/>
        </w:rPr>
        <w:t>connections</w:t>
      </w:r>
      <w:r>
        <w:t xml:space="preserve"> ·</w:t>
      </w:r>
    </w:p>
    <w:p>
      <w:r>
        <w:rPr>
          <w:rFonts w:ascii="Consolas" w:hAnsi="Consolas"/>
        </w:rPr>
        <w:t>gateways</w:t>
      </w:r>
      <w:r>
        <w:t xml:space="preserve"> · </w:t>
      </w:r>
      <w:r>
        <w:rPr>
          <w:rFonts w:ascii="Consolas" w:hAnsi="Consolas"/>
        </w:rPr>
        <w:t>lakehouses</w:t>
      </w:r>
      <w:r>
        <w:t xml:space="preserve"> · </w:t>
      </w:r>
      <w:r>
        <w:rPr>
          <w:rFonts w:ascii="Consolas" w:hAnsi="Consolas"/>
        </w:rPr>
        <w:t>medallion_layers</w:t>
      </w:r>
      <w:r>
        <w:t xml:space="preserve"> · </w:t>
      </w:r>
      <w:r>
        <w:rPr>
          <w:rFonts w:ascii="Consolas" w:hAnsi="Consolas"/>
        </w:rPr>
        <w:t>warehouses</w:t>
      </w:r>
      <w:r>
        <w:t xml:space="preserve"> · </w:t>
      </w:r>
      <w:r>
        <w:rPr>
          <w:rFonts w:ascii="Consolas" w:hAnsi="Consolas"/>
        </w:rPr>
        <w:t>pipelines</w:t>
      </w:r>
      <w:r>
        <w:t xml:space="preserve"> ·</w:t>
      </w:r>
    </w:p>
    <w:p>
      <w:r>
        <w:rPr>
          <w:rFonts w:ascii="Consolas" w:hAnsi="Consolas"/>
        </w:rPr>
        <w:t>pipeline_runs</w:t>
      </w:r>
      <w:r>
        <w:t xml:space="preserve"> · </w:t>
      </w:r>
      <w:r>
        <w:rPr>
          <w:rFonts w:ascii="Consolas" w:hAnsi="Consolas"/>
        </w:rPr>
        <w:t>transformations</w:t>
      </w:r>
      <w:r>
        <w:t xml:space="preserve"> · </w:t>
      </w:r>
      <w:r>
        <w:rPr>
          <w:rFonts w:ascii="Consolas" w:hAnsi="Consolas"/>
        </w:rPr>
        <w:t>quality_rules</w:t>
      </w:r>
      <w:r>
        <w:t xml:space="preserve"> · </w:t>
      </w:r>
      <w:r>
        <w:rPr>
          <w:rFonts w:ascii="Consolas" w:hAnsi="Consolas"/>
        </w:rPr>
        <w:t>quality_results</w:t>
      </w:r>
      <w:r>
        <w:t xml:space="preserve"> ·</w:t>
      </w:r>
    </w:p>
    <w:p>
      <w:r>
        <w:rPr>
          <w:rFonts w:ascii="Consolas" w:hAnsi="Consolas"/>
        </w:rPr>
        <w:t>semantic_models</w:t>
      </w:r>
      <w:r>
        <w:t xml:space="preserve"> · </w:t>
      </w:r>
      <w:r>
        <w:rPr>
          <w:rFonts w:ascii="Consolas" w:hAnsi="Consolas"/>
        </w:rPr>
        <w:t>model_relationships</w:t>
      </w:r>
      <w:r>
        <w:t xml:space="preserve"> · </w:t>
      </w:r>
      <w:r>
        <w:rPr>
          <w:rFonts w:ascii="Consolas" w:hAnsi="Consolas"/>
        </w:rPr>
        <w:t>measures</w:t>
      </w:r>
      <w:r>
        <w:t xml:space="preserve"> · </w:t>
      </w:r>
      <w:r>
        <w:rPr>
          <w:rFonts w:ascii="Consolas" w:hAnsi="Consolas"/>
        </w:rPr>
        <w:t>field_metadata</w:t>
      </w:r>
      <w:r>
        <w:t xml:space="preserve"> ·</w:t>
      </w:r>
    </w:p>
    <w:p>
      <w:r>
        <w:rPr>
          <w:rFonts w:ascii="Consolas" w:hAnsi="Consolas"/>
        </w:rPr>
        <w:t>rls_rules</w:t>
      </w:r>
      <w:r>
        <w:t xml:space="preserve"> · </w:t>
      </w:r>
      <w:r>
        <w:rPr>
          <w:rFonts w:ascii="Consolas" w:hAnsi="Consolas"/>
        </w:rPr>
        <w:t>cls_rules</w:t>
      </w:r>
      <w:r>
        <w:t xml:space="preserve"> · </w:t>
      </w:r>
      <w:r>
        <w:rPr>
          <w:rFonts w:ascii="Consolas" w:hAnsi="Consolas"/>
        </w:rPr>
        <w:t>glossary_terms</w:t>
      </w:r>
      <w:r>
        <w:t xml:space="preserve"> · </w:t>
      </w:r>
      <w:r>
        <w:rPr>
          <w:rFonts w:ascii="Consolas" w:hAnsi="Consolas"/>
        </w:rPr>
        <w:t>ai_instructions</w:t>
      </w:r>
      <w:r>
        <w:t xml:space="preserve"> · </w:t>
      </w:r>
      <w:r>
        <w:rPr>
          <w:rFonts w:ascii="Consolas" w:hAnsi="Consolas"/>
        </w:rPr>
        <w:t>verified_answers</w:t>
      </w:r>
      <w:r>
        <w:t xml:space="preserve"> ·</w:t>
      </w:r>
    </w:p>
    <w:p>
      <w:r>
        <w:rPr>
          <w:rFonts w:ascii="Consolas" w:hAnsi="Consolas"/>
        </w:rPr>
        <w:t>data_agents</w:t>
      </w:r>
      <w:r>
        <w:t xml:space="preserve"> · </w:t>
      </w:r>
      <w:r>
        <w:rPr>
          <w:rFonts w:ascii="Consolas" w:hAnsi="Consolas"/>
        </w:rPr>
        <w:t>agent_sources</w:t>
      </w:r>
      <w:r>
        <w:t xml:space="preserve"> · </w:t>
      </w:r>
      <w:r>
        <w:rPr>
          <w:rFonts w:ascii="Consolas" w:hAnsi="Consolas"/>
        </w:rPr>
        <w:t>agent_examples</w:t>
      </w:r>
      <w:r>
        <w:t xml:space="preserve"> · </w:t>
      </w:r>
      <w:r>
        <w:rPr>
          <w:rFonts w:ascii="Consolas" w:hAnsi="Consolas"/>
        </w:rPr>
        <w:t>ground_truth_questions</w:t>
      </w:r>
      <w:r>
        <w:t xml:space="preserve"> ·</w:t>
      </w:r>
    </w:p>
    <w:p>
      <w:r>
        <w:rPr>
          <w:rFonts w:ascii="Consolas" w:hAnsi="Consolas"/>
        </w:rPr>
        <w:t>evaluation_runs</w:t>
      </w:r>
      <w:r>
        <w:t xml:space="preserve"> · </w:t>
      </w:r>
      <w:r>
        <w:rPr>
          <w:rFonts w:ascii="Consolas" w:hAnsi="Consolas"/>
        </w:rPr>
        <w:t>evaluation_results</w:t>
      </w:r>
      <w:r>
        <w:t xml:space="preserve"> · </w:t>
      </w:r>
      <w:r>
        <w:rPr>
          <w:rFonts w:ascii="Consolas" w:hAnsi="Consolas"/>
        </w:rPr>
        <w:t>conversational_apps</w:t>
      </w:r>
      <w:r>
        <w:t xml:space="preserve"> · </w:t>
      </w:r>
      <w:r>
        <w:rPr>
          <w:rFonts w:ascii="Consolas" w:hAnsi="Consolas"/>
        </w:rPr>
        <w:t>channels</w:t>
      </w:r>
      <w:r>
        <w:t xml:space="preserve"> ·</w:t>
      </w:r>
    </w:p>
    <w:p>
      <w:r>
        <w:rPr>
          <w:rFonts w:ascii="Consolas" w:hAnsi="Consolas"/>
        </w:rPr>
        <w:t>access_grants</w:t>
      </w:r>
      <w:r>
        <w:t xml:space="preserve"> · </w:t>
      </w:r>
      <w:r>
        <w:rPr>
          <w:rFonts w:ascii="Consolas" w:hAnsi="Consolas"/>
        </w:rPr>
        <w:t>capacity_metrics</w:t>
      </w:r>
      <w:r>
        <w:t xml:space="preserve"> · </w:t>
      </w:r>
      <w:r>
        <w:rPr>
          <w:rFonts w:ascii="Consolas" w:hAnsi="Consolas"/>
        </w:rPr>
        <w:t>conversation_reviews</w:t>
      </w:r>
      <w:r>
        <w:t xml:space="preserve"> · </w:t>
      </w:r>
      <w:r>
        <w:rPr>
          <w:rFonts w:ascii="Consolas" w:hAnsi="Consolas"/>
        </w:rPr>
        <w:t>git_bindings</w:t>
      </w:r>
      <w:r>
        <w:t xml:space="preserve"> ·</w:t>
      </w:r>
    </w:p>
    <w:p>
      <w:r>
        <w:rPr>
          <w:rFonts w:ascii="Consolas" w:hAnsi="Consolas"/>
        </w:rPr>
        <w:t>deployment_pipelines</w:t>
      </w:r>
      <w:r>
        <w:t xml:space="preserve"> · </w:t>
      </w:r>
      <w:r>
        <w:rPr>
          <w:rFonts w:ascii="Consolas" w:hAnsi="Consolas"/>
        </w:rPr>
        <w:t>change_requests</w:t>
      </w:r>
      <w:r>
        <w:t xml:space="preserve"> · </w:t>
      </w:r>
      <w:r>
        <w:rPr>
          <w:rFonts w:ascii="Consolas" w:hAnsi="Consolas"/>
        </w:rPr>
        <w:t>signoffs</w:t>
      </w:r>
      <w:r>
        <w:t xml:space="preserve"> · </w:t>
      </w:r>
      <w:r>
        <w:rPr>
          <w:rFonts w:ascii="Consolas" w:hAnsi="Consolas"/>
        </w:rPr>
        <w:t>audit_events</w:t>
      </w:r>
      <w:r>
        <w:t xml:space="preserve"> ·</w:t>
      </w:r>
    </w:p>
    <w:p>
      <w:r>
        <w:rPr>
          <w:rFonts w:ascii="Consolas" w:hAnsi="Consolas"/>
        </w:rPr>
        <w:t>exceptions</w:t>
      </w:r>
      <w:r>
        <w:t xml:space="preserve"> · </w:t>
      </w:r>
      <w:r>
        <w:rPr>
          <w:rFonts w:ascii="Consolas" w:hAnsi="Consolas"/>
        </w:rPr>
        <w:t>deleted_records</w:t>
      </w:r>
      <w:r>
        <w:t xml:space="preserve"> (recycle bin)</w:t>
      </w:r>
    </w:p>
    <w:p>
      <w:r>
        <w:t>Tenant isolation is enforced by a global query scope plus a test suite that deliberately attempts cross-tenant reads.</w:t>
      </w:r>
    </w:p>
    <w:p>
      <w:pPr>
        <w:pStyle w:val="Heading2"/>
      </w:pPr>
      <w:r>
        <w:t>7. Roles</w:t>
      </w:r>
    </w:p>
    <w:p>
      <w:r>
        <w:t xml:space="preserve">The three confirmed personas map onto the five-tier baseline as follows. </w:t>
      </w:r>
      <w:r>
        <w:rPr>
          <w:b/>
        </w:rPr>
        <w:t>Labels to be confirmed by the technical lead.</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Baseline tier</w:t>
            </w:r>
          </w:p>
        </w:tc>
        <w:tc>
          <w:tcPr>
            <w:tcW w:type="dxa" w:w="3848"/>
          </w:tcPr>
          <w:p>
            <w:pPr>
              <w:spacing w:after="40"/>
            </w:pPr>
            <w:r>
              <w:rPr>
                <w:b/>
              </w:rPr>
              <w:t>SemantIQ role</w:t>
            </w:r>
          </w:p>
        </w:tc>
        <w:tc>
          <w:tcPr>
            <w:tcW w:type="dxa" w:w="3848"/>
          </w:tcPr>
          <w:p>
            <w:pPr>
              <w:spacing w:after="40"/>
            </w:pPr>
            <w:r>
              <w:rPr>
                <w:b/>
              </w:rPr>
              <w:t>Persona</w:t>
            </w:r>
          </w:p>
        </w:tc>
        <w:tc>
          <w:tcPr>
            <w:tcW w:type="dxa" w:w="3848"/>
          </w:tcPr>
          <w:p>
            <w:pPr>
              <w:spacing w:after="40"/>
            </w:pPr>
            <w:r>
              <w:rPr>
                <w:b/>
              </w:rPr>
              <w:t>Reaches</w:t>
            </w:r>
          </w:p>
        </w:tc>
      </w:tr>
      <w:tr>
        <w:tc>
          <w:tcPr>
            <w:tcW w:type="dxa" w:w="3848"/>
          </w:tcPr>
          <w:p>
            <w:pPr>
              <w:spacing w:after="40"/>
            </w:pPr>
            <w:r>
              <w:t>system admin</w:t>
            </w:r>
          </w:p>
        </w:tc>
        <w:tc>
          <w:tcPr>
            <w:tcW w:type="dxa" w:w="3848"/>
          </w:tcPr>
          <w:p>
            <w:pPr>
              <w:spacing w:after="40"/>
            </w:pPr>
            <w:r>
              <w:rPr>
                <w:b/>
              </w:rPr>
              <w:t>Platform Administrator</w:t>
            </w:r>
          </w:p>
        </w:tc>
        <w:tc>
          <w:tcPr>
            <w:tcW w:type="dxa" w:w="3848"/>
          </w:tcPr>
          <w:p>
            <w:pPr>
              <w:spacing w:after="40"/>
            </w:pPr>
            <w:r>
              <w:t>Administrator</w:t>
            </w:r>
          </w:p>
        </w:tc>
        <w:tc>
          <w:tcPr>
            <w:tcW w:type="dxa" w:w="3848"/>
          </w:tcPr>
          <w:p>
            <w:pPr>
              <w:spacing w:after="40"/>
            </w:pPr>
            <w:r>
              <w:t xml:space="preserve">All clusters including </w:t>
            </w:r>
            <w:r>
              <w:rPr>
                <w:rFonts w:ascii="Consolas" w:hAnsi="Consolas"/>
              </w:rPr>
              <w:t>System Administration</w:t>
            </w:r>
            <w:r>
              <w:t xml:space="preserve"> — Entra/Fabric connections, capacity, integration settings</w:t>
            </w:r>
          </w:p>
        </w:tc>
      </w:tr>
      <w:tr>
        <w:tc>
          <w:tcPr>
            <w:tcW w:type="dxa" w:w="3848"/>
          </w:tcPr>
          <w:p>
            <w:pPr>
              <w:spacing w:after="40"/>
            </w:pPr>
            <w:r>
              <w:t>admin</w:t>
            </w:r>
          </w:p>
        </w:tc>
        <w:tc>
          <w:tcPr>
            <w:tcW w:type="dxa" w:w="3848"/>
          </w:tcPr>
          <w:p>
            <w:pPr>
              <w:spacing w:after="40"/>
            </w:pPr>
            <w:r>
              <w:rPr>
                <w:b/>
              </w:rPr>
              <w:t>Tenant Administrator</w:t>
            </w:r>
          </w:p>
        </w:tc>
        <w:tc>
          <w:tcPr>
            <w:tcW w:type="dxa" w:w="3848"/>
          </w:tcPr>
          <w:p>
            <w:pPr>
              <w:spacing w:after="40"/>
            </w:pPr>
            <w:r>
              <w:t>Administrator</w:t>
            </w:r>
          </w:p>
        </w:tc>
        <w:tc>
          <w:tcPr>
            <w:tcW w:type="dxa" w:w="3848"/>
          </w:tcPr>
          <w:p>
            <w:pPr>
              <w:spacing w:after="40"/>
            </w:pPr>
            <w:r>
              <w:rPr>
                <w:rFonts w:ascii="Consolas" w:hAnsi="Consolas"/>
              </w:rPr>
              <w:t>Workspace</w:t>
            </w:r>
            <w:r>
              <w:t xml:space="preserve">, </w:t>
            </w:r>
            <w:r>
              <w:rPr>
                <w:rFonts w:ascii="Consolas" w:hAnsi="Consolas"/>
              </w:rPr>
              <w:t>Compliance</w:t>
            </w:r>
            <w:r>
              <w:t xml:space="preserve">, </w:t>
            </w:r>
            <w:r>
              <w:rPr>
                <w:rFonts w:ascii="Consolas" w:hAnsi="Consolas"/>
              </w:rPr>
              <w:t>Application Administration</w:t>
            </w:r>
            <w:r>
              <w:t>; permanently deletes application records</w:t>
            </w:r>
          </w:p>
        </w:tc>
      </w:tr>
      <w:tr>
        <w:tc>
          <w:tcPr>
            <w:tcW w:type="dxa" w:w="3848"/>
          </w:tcPr>
          <w:p>
            <w:pPr>
              <w:spacing w:after="40"/>
            </w:pPr>
            <w:r>
              <w:t>team / collaborator</w:t>
            </w:r>
          </w:p>
        </w:tc>
        <w:tc>
          <w:tcPr>
            <w:tcW w:type="dxa" w:w="3848"/>
          </w:tcPr>
          <w:p>
            <w:pPr>
              <w:spacing w:after="40"/>
            </w:pPr>
            <w:r>
              <w:rPr>
                <w:b/>
              </w:rPr>
              <w:t>Lead Data Engineer</w:t>
            </w:r>
          </w:p>
        </w:tc>
        <w:tc>
          <w:tcPr>
            <w:tcW w:type="dxa" w:w="3848"/>
          </w:tcPr>
          <w:p>
            <w:pPr>
              <w:spacing w:after="40"/>
            </w:pPr>
            <w:r>
              <w:t>Data Engineer</w:t>
            </w:r>
          </w:p>
        </w:tc>
        <w:tc>
          <w:tcPr>
            <w:tcW w:type="dxa" w:w="3848"/>
          </w:tcPr>
          <w:p>
            <w:pPr>
              <w:spacing w:after="40"/>
            </w:pPr>
            <w:r>
              <w:rPr>
                <w:rFonts w:ascii="Consolas" w:hAnsi="Consolas"/>
              </w:rPr>
              <w:t>Workspace</w:t>
            </w:r>
            <w:r>
              <w:t xml:space="preserve">, </w:t>
            </w:r>
            <w:r>
              <w:rPr>
                <w:rFonts w:ascii="Consolas" w:hAnsi="Consolas"/>
              </w:rPr>
              <w:t>Compliance</w:t>
            </w:r>
            <w:r>
              <w:t>; owns blueprints for their team</w:t>
            </w:r>
          </w:p>
        </w:tc>
      </w:tr>
      <w:tr>
        <w:tc>
          <w:tcPr>
            <w:tcW w:type="dxa" w:w="3848"/>
          </w:tcPr>
          <w:p>
            <w:pPr>
              <w:spacing w:after="40"/>
            </w:pPr>
            <w:r>
              <w:t>self / contributor</w:t>
            </w:r>
          </w:p>
        </w:tc>
        <w:tc>
          <w:tcPr>
            <w:tcW w:type="dxa" w:w="3848"/>
          </w:tcPr>
          <w:p>
            <w:pPr>
              <w:spacing w:after="40"/>
            </w:pPr>
            <w:r>
              <w:rPr>
                <w:b/>
              </w:rPr>
              <w:t>Data Engineer</w:t>
            </w:r>
          </w:p>
        </w:tc>
        <w:tc>
          <w:tcPr>
            <w:tcW w:type="dxa" w:w="3848"/>
          </w:tcPr>
          <w:p>
            <w:pPr>
              <w:spacing w:after="40"/>
            </w:pPr>
            <w:r>
              <w:t>Data Engineer</w:t>
            </w:r>
          </w:p>
        </w:tc>
        <w:tc>
          <w:tcPr>
            <w:tcW w:type="dxa" w:w="3848"/>
          </w:tcPr>
          <w:p>
            <w:pPr>
              <w:spacing w:after="40"/>
            </w:pPr>
            <w:r>
              <w:rPr>
                <w:rFonts w:ascii="Consolas" w:hAnsi="Consolas"/>
              </w:rPr>
              <w:t>Workspace</w:t>
            </w:r>
            <w:r>
              <w:t>; own projects and step runs</w:t>
            </w:r>
          </w:p>
        </w:tc>
      </w:tr>
      <w:tr>
        <w:tc>
          <w:tcPr>
            <w:tcW w:type="dxa" w:w="3848"/>
          </w:tcPr>
          <w:p>
            <w:pPr>
              <w:spacing w:after="40"/>
            </w:pPr>
            <w:r>
              <w:t>self-view / read-only</w:t>
            </w:r>
          </w:p>
        </w:tc>
        <w:tc>
          <w:tcPr>
            <w:tcW w:type="dxa" w:w="3848"/>
          </w:tcPr>
          <w:p>
            <w:pPr>
              <w:spacing w:after="40"/>
            </w:pPr>
            <w:r>
              <w:rPr>
                <w:b/>
              </w:rPr>
              <w:t>Business User</w:t>
            </w:r>
          </w:p>
        </w:tc>
        <w:tc>
          <w:tcPr>
            <w:tcW w:type="dxa" w:w="3848"/>
          </w:tcPr>
          <w:p>
            <w:pPr>
              <w:spacing w:after="40"/>
            </w:pPr>
            <w:r>
              <w:t>Business User</w:t>
            </w:r>
          </w:p>
        </w:tc>
        <w:tc>
          <w:tcPr>
            <w:tcW w:type="dxa" w:w="3848"/>
          </w:tcPr>
          <w:p>
            <w:pPr>
              <w:spacing w:after="40"/>
            </w:pPr>
            <w:r>
              <w:rPr>
                <w:rFonts w:ascii="Consolas" w:hAnsi="Consolas"/>
              </w:rPr>
              <w:t>Workspace</w:t>
            </w:r>
            <w:r>
              <w:t xml:space="preserve"> read-only: conversational app, glossary, published answers</w:t>
            </w:r>
          </w:p>
        </w:tc>
      </w:tr>
    </w:tbl>
    <w:p/>
    <w:p>
      <w:r>
        <w:t>Cluster grants follow the default and are narrowed, never widened.</w:t>
      </w:r>
    </w:p>
    <w:p>
      <w:pPr>
        <w:pStyle w:val="Heading2"/>
      </w:pPr>
      <w:r>
        <w:t>8. Non-functional requirements</w:t>
      </w:r>
    </w:p>
    <w:tbl>
      <w:tblPr>
        <w:tblStyle w:val="TableGrid"/>
        <w:tblW w:type="auto" w:w="0"/>
        <w:tblLayout w:type="autofit"/>
        <w:tblLook w:firstColumn="1" w:firstRow="1" w:lastColumn="0" w:lastRow="0" w:noHBand="0" w:noVBand="1" w:val="04A0"/>
      </w:tblPr>
      <w:tblGrid>
        <w:gridCol w:w="7697"/>
        <w:gridCol w:w="7697"/>
      </w:tblGrid>
      <w:tr>
        <w:tc>
          <w:tcPr>
            <w:tcW w:type="dxa" w:w="7697"/>
          </w:tcPr>
          <w:p>
            <w:pPr>
              <w:spacing w:after="40"/>
            </w:pPr>
            <w:r>
              <w:rPr>
                <w:b/>
              </w:rPr>
              <w:t>Area</w:t>
            </w:r>
          </w:p>
        </w:tc>
        <w:tc>
          <w:tcPr>
            <w:tcW w:type="dxa" w:w="7697"/>
          </w:tcPr>
          <w:p>
            <w:pPr>
              <w:spacing w:after="40"/>
            </w:pPr>
            <w:r>
              <w:rPr>
                <w:b/>
              </w:rPr>
              <w:t>Requirement</w:t>
            </w:r>
          </w:p>
        </w:tc>
      </w:tr>
      <w:tr>
        <w:tc>
          <w:tcPr>
            <w:tcW w:type="dxa" w:w="7697"/>
          </w:tcPr>
          <w:p>
            <w:pPr>
              <w:spacing w:after="40"/>
            </w:pPr>
            <w:r>
              <w:t>Tenant isolation</w:t>
            </w:r>
          </w:p>
        </w:tc>
        <w:tc>
          <w:tcPr>
            <w:tcW w:type="dxa" w:w="7697"/>
          </w:tcPr>
          <w:p>
            <w:pPr>
              <w:spacing w:after="40"/>
            </w:pPr>
            <w:r>
              <w:t>Global scope on every tenant-owned model; negative cross-tenant tests in CI</w:t>
            </w:r>
          </w:p>
        </w:tc>
      </w:tr>
      <w:tr>
        <w:tc>
          <w:tcPr>
            <w:tcW w:type="dxa" w:w="7697"/>
          </w:tcPr>
          <w:p>
            <w:pPr>
              <w:spacing w:after="40"/>
            </w:pPr>
            <w:r>
              <w:t>Secrets</w:t>
            </w:r>
          </w:p>
        </w:tc>
        <w:tc>
          <w:tcPr>
            <w:tcW w:type="dxa" w:w="7697"/>
          </w:tcPr>
          <w:p>
            <w:pPr>
              <w:spacing w:after="40"/>
            </w:pPr>
            <w:r>
              <w:t>Encrypted at rest; masked in UI as an "encrypted at rest" badge; never in drafts</w:t>
            </w:r>
          </w:p>
        </w:tc>
      </w:tr>
      <w:tr>
        <w:tc>
          <w:tcPr>
            <w:tcW w:type="dxa" w:w="7697"/>
          </w:tcPr>
          <w:p>
            <w:pPr>
              <w:spacing w:after="40"/>
            </w:pPr>
            <w:r>
              <w:t>Audit</w:t>
            </w:r>
          </w:p>
        </w:tc>
        <w:tc>
          <w:tcPr>
            <w:tcW w:type="dxa" w:w="7697"/>
          </w:tcPr>
          <w:p>
            <w:pPr>
              <w:spacing w:after="40"/>
            </w:pPr>
            <w:r>
              <w:t>Every Microsoft mutation records actor, tenant, target, payload digest, correlation ID, outcome</w:t>
            </w:r>
          </w:p>
        </w:tc>
      </w:tr>
      <w:tr>
        <w:tc>
          <w:tcPr>
            <w:tcW w:type="dxa" w:w="7697"/>
          </w:tcPr>
          <w:p>
            <w:pPr>
              <w:spacing w:after="40"/>
            </w:pPr>
            <w:r>
              <w:t>Rate limits</w:t>
            </w:r>
          </w:p>
        </w:tc>
        <w:tc>
          <w:tcPr>
            <w:tcW w:type="dxa" w:w="7697"/>
          </w:tcPr>
          <w:p>
            <w:pPr>
              <w:spacing w:after="40"/>
            </w:pPr>
            <w:r>
              <w:t>Per-tenant concurrency cap and exponential backoff with jitter on 429/503</w:t>
            </w:r>
          </w:p>
        </w:tc>
      </w:tr>
      <w:tr>
        <w:tc>
          <w:tcPr>
            <w:tcW w:type="dxa" w:w="7697"/>
          </w:tcPr>
          <w:p>
            <w:pPr>
              <w:spacing w:after="40"/>
            </w:pPr>
            <w:r>
              <w:t>Idempotency</w:t>
            </w:r>
          </w:p>
        </w:tc>
        <w:tc>
          <w:tcPr>
            <w:tcW w:type="dxa" w:w="7697"/>
          </w:tcPr>
          <w:p>
            <w:pPr>
              <w:spacing w:after="40"/>
            </w:pPr>
            <w:r>
              <w:t>Deterministic keys on every Operation</w:t>
            </w:r>
          </w:p>
        </w:tc>
      </w:tr>
      <w:tr>
        <w:tc>
          <w:tcPr>
            <w:tcW w:type="dxa" w:w="7697"/>
          </w:tcPr>
          <w:p>
            <w:pPr>
              <w:spacing w:after="40"/>
            </w:pPr>
            <w:r>
              <w:t>Data residency</w:t>
            </w:r>
          </w:p>
        </w:tc>
        <w:tc>
          <w:tcPr>
            <w:tcW w:type="dxa" w:w="7697"/>
          </w:tcPr>
          <w:p>
            <w:pPr>
              <w:spacing w:after="40"/>
            </w:pPr>
            <w:r>
              <w:t>Customer data stays in the customer's OneLake. SemantIQ stores metadata, not business rows</w:t>
            </w:r>
          </w:p>
        </w:tc>
      </w:tr>
      <w:tr>
        <w:tc>
          <w:tcPr>
            <w:tcW w:type="dxa" w:w="7697"/>
          </w:tcPr>
          <w:p>
            <w:pPr>
              <w:spacing w:after="40"/>
            </w:pPr>
            <w:r>
              <w:t>Cost visibility</w:t>
            </w:r>
          </w:p>
        </w:tc>
        <w:tc>
          <w:tcPr>
            <w:tcW w:type="dxa" w:w="7697"/>
          </w:tcPr>
          <w:p>
            <w:pPr>
              <w:spacing w:after="40"/>
            </w:pPr>
            <w:r>
              <w:t>Capacity CU consumption surfaced per project and per stage</w:t>
            </w:r>
          </w:p>
        </w:tc>
      </w:tr>
      <w:tr>
        <w:tc>
          <w:tcPr>
            <w:tcW w:type="dxa" w:w="7697"/>
          </w:tcPr>
          <w:p>
            <w:pPr>
              <w:spacing w:after="40"/>
            </w:pPr>
            <w:r>
              <w:t>Accessibility</w:t>
            </w:r>
          </w:p>
        </w:tc>
        <w:tc>
          <w:tcPr>
            <w:tcW w:type="dxa" w:w="7697"/>
          </w:tcPr>
          <w:p>
            <w:pPr>
              <w:spacing w:after="40"/>
            </w:pPr>
            <w:r>
              <w:t>WCAG AA, per the approved design system</w:t>
            </w:r>
          </w:p>
        </w:tc>
      </w:tr>
      <w:tr>
        <w:tc>
          <w:tcPr>
            <w:tcW w:type="dxa" w:w="7697"/>
          </w:tcPr>
          <w:p>
            <w:pPr>
              <w:spacing w:after="40"/>
            </w:pPr>
            <w:r>
              <w:t>Observability</w:t>
            </w:r>
          </w:p>
        </w:tc>
        <w:tc>
          <w:tcPr>
            <w:tcW w:type="dxa" w:w="7697"/>
          </w:tcPr>
          <w:p>
            <w:pPr>
              <w:spacing w:after="40"/>
            </w:pPr>
            <w:r>
              <w:t>Structured logs with correlation IDs; failed-operation register</w:t>
            </w:r>
          </w:p>
        </w:tc>
      </w:tr>
      <w:tr>
        <w:tc>
          <w:tcPr>
            <w:tcW w:type="dxa" w:w="7697"/>
          </w:tcPr>
          <w:p>
            <w:pPr>
              <w:spacing w:after="40"/>
            </w:pPr>
            <w:r>
              <w:t>Recoverability</w:t>
            </w:r>
          </w:p>
        </w:tc>
        <w:tc>
          <w:tcPr>
            <w:tcW w:type="dxa" w:w="7697"/>
          </w:tcPr>
          <w:p>
            <w:pPr>
              <w:spacing w:after="40"/>
            </w:pPr>
            <w:r>
              <w:t>Soft delete to recycle bin; permanent delete gated to admin</w:t>
            </w:r>
          </w:p>
        </w:tc>
      </w:tr>
    </w:tbl>
    <w:p/>
    <w:p>
      <w:pPr>
        <w:pStyle w:val="Heading2"/>
      </w:pPr>
      <w:r>
        <w:t>9. Deployment feasibility on the confirmed target</w:t>
      </w:r>
    </w:p>
    <w:p>
      <w:r>
        <w:rPr>
          <w:b/>
        </w:rPr>
        <w:t>Answer: yes, with one qualification you should settle before Phase 0.</w:t>
      </w:r>
    </w:p>
    <w:p>
      <w:r>
        <w:t xml:space="preserve">AlmaLinux 9.8, MySQL 8.0.46, PHP 8.4, Laravel 13 and React 19 are a sound stack for this application. The question is not the OS — it is </w:t>
      </w:r>
      <w:r>
        <w:rPr>
          <w:b/>
        </w:rPr>
        <w:t>whether the account gives root or long-running process control</w:t>
      </w:r>
      <w:r>
        <w:t>.</w:t>
      </w:r>
    </w:p>
    <w:p>
      <w:pPr>
        <w:pStyle w:val="Heading3"/>
      </w:pPr>
      <w:r>
        <w:t>9.1 What the application genuinely requires</w:t>
      </w:r>
    </w:p>
    <w:tbl>
      <w:tblPr>
        <w:tblStyle w:val="TableGrid"/>
        <w:tblW w:type="auto" w:w="0"/>
        <w:tblLayout w:type="autofit"/>
        <w:tblLook w:firstColumn="1" w:firstRow="1" w:lastColumn="0" w:lastRow="0" w:noHBand="0" w:noVBand="1" w:val="04A0"/>
      </w:tblPr>
      <w:tblGrid>
        <w:gridCol w:w="7697"/>
        <w:gridCol w:w="7697"/>
      </w:tblGrid>
      <w:tr>
        <w:tc>
          <w:tcPr>
            <w:tcW w:type="dxa" w:w="7697"/>
          </w:tcPr>
          <w:p>
            <w:pPr>
              <w:spacing w:after="40"/>
            </w:pPr>
            <w:r>
              <w:rPr>
                <w:b/>
              </w:rPr>
              <w:t>Requirement</w:t>
            </w:r>
          </w:p>
        </w:tc>
        <w:tc>
          <w:tcPr>
            <w:tcW w:type="dxa" w:w="7697"/>
          </w:tcPr>
          <w:p>
            <w:pPr>
              <w:spacing w:after="40"/>
            </w:pPr>
            <w:r>
              <w:rPr>
                <w:b/>
              </w:rPr>
              <w:t>Why</w:t>
            </w:r>
          </w:p>
        </w:tc>
      </w:tr>
      <w:tr>
        <w:tc>
          <w:tcPr>
            <w:tcW w:type="dxa" w:w="7697"/>
          </w:tcPr>
          <w:p>
            <w:pPr>
              <w:spacing w:after="40"/>
            </w:pPr>
            <w:r>
              <w:t>Valid HTTPS on a stable hostname</w:t>
            </w:r>
          </w:p>
        </w:tc>
        <w:tc>
          <w:tcPr>
            <w:tcW w:type="dxa" w:w="7697"/>
          </w:tcPr>
          <w:p>
            <w:pPr>
              <w:spacing w:after="40"/>
            </w:pPr>
            <w:r>
              <w:t>Entra ID redirect URIs must be HTTPS; sign-in fails otherwise</w:t>
            </w:r>
          </w:p>
        </w:tc>
      </w:tr>
      <w:tr>
        <w:tc>
          <w:tcPr>
            <w:tcW w:type="dxa" w:w="7697"/>
          </w:tcPr>
          <w:p>
            <w:pPr>
              <w:spacing w:after="40"/>
            </w:pPr>
            <w:r>
              <w:t>Outbound HTTPS (443) to Microsoft</w:t>
            </w:r>
          </w:p>
        </w:tc>
        <w:tc>
          <w:tcPr>
            <w:tcW w:type="dxa" w:w="7697"/>
          </w:tcPr>
          <w:p>
            <w:pPr>
              <w:spacing w:after="40"/>
            </w:pPr>
            <w:r>
              <w:rPr>
                <w:rFonts w:ascii="Consolas" w:hAnsi="Consolas"/>
              </w:rPr>
              <w:t>login.microsoftonline.com</w:t>
            </w:r>
            <w:r>
              <w:t xml:space="preserve">, </w:t>
            </w:r>
            <w:r>
              <w:rPr>
                <w:rFonts w:ascii="Consolas" w:hAnsi="Consolas"/>
              </w:rPr>
              <w:t>api.fabric.microsoft.com</w:t>
            </w:r>
            <w:r>
              <w:t xml:space="preserve">, </w:t>
            </w:r>
            <w:r>
              <w:rPr>
                <w:rFonts w:ascii="Consolas" w:hAnsi="Consolas"/>
              </w:rPr>
              <w:t>api.powerbi.com</w:t>
            </w:r>
            <w:r>
              <w:t xml:space="preserve">, </w:t>
            </w:r>
            <w:r>
              <w:rPr>
                <w:rFonts w:ascii="Consolas" w:hAnsi="Consolas"/>
              </w:rPr>
              <w:t>management.azure.com</w:t>
            </w:r>
            <w:r>
              <w:t xml:space="preserve">, </w:t>
            </w:r>
            <w:r>
              <w:rPr>
                <w:rFonts w:ascii="Consolas" w:hAnsi="Consolas"/>
              </w:rPr>
              <w:t>*.onelake.dfs.fabric.microsoft.com</w:t>
            </w:r>
            <w:r>
              <w:t xml:space="preserve">, </w:t>
            </w:r>
            <w:r>
              <w:rPr>
                <w:rFonts w:ascii="Consolas" w:hAnsi="Consolas"/>
              </w:rPr>
              <w:t>*.powerplatform.com</w:t>
            </w:r>
          </w:p>
        </w:tc>
      </w:tr>
      <w:tr>
        <w:tc>
          <w:tcPr>
            <w:tcW w:type="dxa" w:w="7697"/>
          </w:tcPr>
          <w:p>
            <w:pPr>
              <w:spacing w:after="40"/>
            </w:pPr>
            <w:r>
              <w:t>A way to run queued work every minute</w:t>
            </w:r>
          </w:p>
        </w:tc>
        <w:tc>
          <w:tcPr>
            <w:tcW w:type="dxa" w:w="7697"/>
          </w:tcPr>
          <w:p>
            <w:pPr>
              <w:spacing w:after="40"/>
            </w:pPr>
            <w:r>
              <w:t>All Fabric work is queued; nothing runs inline</w:t>
            </w:r>
          </w:p>
        </w:tc>
      </w:tr>
      <w:tr>
        <w:tc>
          <w:tcPr>
            <w:tcW w:type="dxa" w:w="7697"/>
          </w:tcPr>
          <w:p>
            <w:pPr>
              <w:spacing w:after="40"/>
            </w:pPr>
            <w:r>
              <w:t>Cron</w:t>
            </w:r>
          </w:p>
        </w:tc>
        <w:tc>
          <w:tcPr>
            <w:tcW w:type="dxa" w:w="7697"/>
          </w:tcPr>
          <w:p>
            <w:pPr>
              <w:spacing w:after="40"/>
            </w:pPr>
            <w:r>
              <w:t>Laravel scheduler, poll re-dispatch, metric collection</w:t>
            </w:r>
          </w:p>
        </w:tc>
      </w:tr>
      <w:tr>
        <w:tc>
          <w:tcPr>
            <w:tcW w:type="dxa" w:w="7697"/>
          </w:tcPr>
          <w:p>
            <w:pPr>
              <w:spacing w:after="40"/>
            </w:pPr>
            <w:r>
              <w:t>MySQL 8</w:t>
            </w:r>
          </w:p>
        </w:tc>
        <w:tc>
          <w:tcPr>
            <w:tcW w:type="dxa" w:w="7697"/>
          </w:tcPr>
          <w:p>
            <w:pPr>
              <w:spacing w:after="40"/>
            </w:pPr>
            <w:r>
              <w:t>Confirmed available</w:t>
            </w:r>
          </w:p>
        </w:tc>
      </w:tr>
      <w:tr>
        <w:tc>
          <w:tcPr>
            <w:tcW w:type="dxa" w:w="7697"/>
          </w:tcPr>
          <w:p>
            <w:pPr>
              <w:spacing w:after="40"/>
            </w:pPr>
            <w:r>
              <w:t>Node at build time only</w:t>
            </w:r>
          </w:p>
        </w:tc>
        <w:tc>
          <w:tcPr>
            <w:tcW w:type="dxa" w:w="7697"/>
          </w:tcPr>
          <w:p>
            <w:pPr>
              <w:spacing w:after="40"/>
            </w:pPr>
            <w:r>
              <w:t>Assets are compiled in CI and deployed as files</w:t>
            </w:r>
          </w:p>
        </w:tc>
      </w:tr>
    </w:tbl>
    <w:p/>
    <w:p>
      <w:pPr>
        <w:pStyle w:val="Heading3"/>
      </w:pPr>
      <w:r>
        <w:t>9.2 Two hosting profiles</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p>
        </w:tc>
        <w:tc>
          <w:tcPr>
            <w:tcW w:type="dxa" w:w="5131"/>
          </w:tcPr>
          <w:p>
            <w:pPr>
              <w:spacing w:after="40"/>
            </w:pPr>
            <w:r>
              <w:rPr>
                <w:b/>
              </w:rPr>
              <w:t>Profile A — VPS / Dedicated with root</w:t>
            </w:r>
            <w:r>
              <w:rPr>
                <w:b/>
              </w:rPr>
              <w:t xml:space="preserve"> (recommended)</w:t>
            </w:r>
          </w:p>
        </w:tc>
        <w:tc>
          <w:tcPr>
            <w:tcW w:type="dxa" w:w="5131"/>
          </w:tcPr>
          <w:p>
            <w:pPr>
              <w:spacing w:after="40"/>
            </w:pPr>
            <w:r>
              <w:rPr>
                <w:b/>
              </w:rPr>
              <w:t>Profile B — Shared / cPanel, no root</w:t>
            </w:r>
          </w:p>
        </w:tc>
      </w:tr>
      <w:tr>
        <w:tc>
          <w:tcPr>
            <w:tcW w:type="dxa" w:w="5131"/>
          </w:tcPr>
          <w:p>
            <w:pPr>
              <w:spacing w:after="40"/>
            </w:pPr>
            <w:r>
              <w:t>Queue worker</w:t>
            </w:r>
          </w:p>
        </w:tc>
        <w:tc>
          <w:tcPr>
            <w:tcW w:type="dxa" w:w="5131"/>
          </w:tcPr>
          <w:p>
            <w:pPr>
              <w:spacing w:after="40"/>
            </w:pPr>
            <w:r>
              <w:rPr>
                <w:rFonts w:ascii="Consolas" w:hAnsi="Consolas"/>
              </w:rPr>
              <w:t>systemd</w:t>
            </w:r>
            <w:r>
              <w:t xml:space="preserve"> unit running </w:t>
            </w:r>
            <w:r>
              <w:rPr>
                <w:rFonts w:ascii="Consolas" w:hAnsi="Consolas"/>
              </w:rPr>
              <w:t>queue:work</w:t>
            </w:r>
            <w:r>
              <w:t>, auto-restart</w:t>
            </w:r>
          </w:p>
        </w:tc>
        <w:tc>
          <w:tcPr>
            <w:tcW w:type="dxa" w:w="5131"/>
          </w:tcPr>
          <w:p>
            <w:pPr>
              <w:spacing w:after="40"/>
            </w:pPr>
            <w:r>
              <w:t xml:space="preserve">Cron each minute: </w:t>
            </w:r>
            <w:r>
              <w:rPr>
                <w:rFonts w:ascii="Consolas" w:hAnsi="Consolas"/>
              </w:rPr>
              <w:t>queue:work --stop-when-empty --max-time=55</w:t>
            </w:r>
          </w:p>
        </w:tc>
      </w:tr>
      <w:tr>
        <w:tc>
          <w:tcPr>
            <w:tcW w:type="dxa" w:w="5131"/>
          </w:tcPr>
          <w:p>
            <w:pPr>
              <w:spacing w:after="40"/>
            </w:pPr>
            <w:r>
              <w:t>Scheduler</w:t>
            </w:r>
          </w:p>
        </w:tc>
        <w:tc>
          <w:tcPr>
            <w:tcW w:type="dxa" w:w="5131"/>
          </w:tcPr>
          <w:p>
            <w:pPr>
              <w:spacing w:after="40"/>
            </w:pPr>
            <w:r>
              <w:t xml:space="preserve">Cron </w:t>
            </w:r>
            <w:r>
              <w:rPr>
                <w:rFonts w:ascii="Consolas" w:hAnsi="Consolas"/>
              </w:rPr>
              <w:t>* * * * * php artisan schedule:run</w:t>
            </w:r>
          </w:p>
        </w:tc>
        <w:tc>
          <w:tcPr>
            <w:tcW w:type="dxa" w:w="5131"/>
          </w:tcPr>
          <w:p>
            <w:pPr>
              <w:spacing w:after="40"/>
            </w:pPr>
            <w:r>
              <w:t>Same</w:t>
            </w:r>
          </w:p>
        </w:tc>
      </w:tr>
      <w:tr>
        <w:tc>
          <w:tcPr>
            <w:tcW w:type="dxa" w:w="5131"/>
          </w:tcPr>
          <w:p>
            <w:pPr>
              <w:spacing w:after="40"/>
            </w:pPr>
            <w:r>
              <w:t>Cache / session</w:t>
            </w:r>
          </w:p>
        </w:tc>
        <w:tc>
          <w:tcPr>
            <w:tcW w:type="dxa" w:w="5131"/>
          </w:tcPr>
          <w:p>
            <w:pPr>
              <w:spacing w:after="40"/>
            </w:pPr>
            <w:r>
              <w:t>Redis</w:t>
            </w:r>
          </w:p>
        </w:tc>
        <w:tc>
          <w:tcPr>
            <w:tcW w:type="dxa" w:w="5131"/>
          </w:tcPr>
          <w:p>
            <w:pPr>
              <w:spacing w:after="40"/>
            </w:pPr>
            <w:r>
              <w:t>Database / file</w:t>
            </w:r>
          </w:p>
        </w:tc>
      </w:tr>
      <w:tr>
        <w:tc>
          <w:tcPr>
            <w:tcW w:type="dxa" w:w="5131"/>
          </w:tcPr>
          <w:p>
            <w:pPr>
              <w:spacing w:after="40"/>
            </w:pPr>
            <w:r>
              <w:t>Realtime</w:t>
            </w:r>
          </w:p>
        </w:tc>
        <w:tc>
          <w:tcPr>
            <w:tcW w:type="dxa" w:w="5131"/>
          </w:tcPr>
          <w:p>
            <w:pPr>
              <w:spacing w:after="40"/>
            </w:pPr>
            <w:r>
              <w:t>Optional Reverb behind nginx</w:t>
            </w:r>
          </w:p>
        </w:tc>
        <w:tc>
          <w:tcPr>
            <w:tcW w:type="dxa" w:w="5131"/>
          </w:tcPr>
          <w:p>
            <w:pPr>
              <w:spacing w:after="40"/>
            </w:pPr>
            <w:r>
              <w:t>Not available — polling only</w:t>
            </w:r>
          </w:p>
        </w:tc>
      </w:tr>
      <w:tr>
        <w:tc>
          <w:tcPr>
            <w:tcW w:type="dxa" w:w="5131"/>
          </w:tcPr>
          <w:p>
            <w:pPr>
              <w:spacing w:after="40"/>
            </w:pPr>
            <w:r>
              <w:t>Long operations</w:t>
            </w:r>
          </w:p>
        </w:tc>
        <w:tc>
          <w:tcPr>
            <w:tcW w:type="dxa" w:w="5131"/>
          </w:tcPr>
          <w:p>
            <w:pPr>
              <w:spacing w:after="40"/>
            </w:pPr>
            <w:r>
              <w:t>Comfortable</w:t>
            </w:r>
          </w:p>
        </w:tc>
        <w:tc>
          <w:tcPr>
            <w:tcW w:type="dxa" w:w="5131"/>
          </w:tcPr>
          <w:p>
            <w:pPr>
              <w:spacing w:after="40"/>
            </w:pPr>
            <w:r>
              <w:t xml:space="preserve">Bounded by </w:t>
            </w:r>
            <w:r>
              <w:rPr>
                <w:rFonts w:ascii="Consolas" w:hAnsi="Consolas"/>
              </w:rPr>
              <w:t>max_execution_time</w:t>
            </w:r>
            <w:r>
              <w:t>; hard requirement that no job exceeds ~50s</w:t>
            </w:r>
          </w:p>
        </w:tc>
      </w:tr>
      <w:tr>
        <w:tc>
          <w:tcPr>
            <w:tcW w:type="dxa" w:w="5131"/>
          </w:tcPr>
          <w:p>
            <w:pPr>
              <w:spacing w:after="40"/>
            </w:pPr>
            <w:r>
              <w:t>Verdict</w:t>
            </w:r>
          </w:p>
        </w:tc>
        <w:tc>
          <w:tcPr>
            <w:tcW w:type="dxa" w:w="5131"/>
          </w:tcPr>
          <w:p>
            <w:pPr>
              <w:spacing w:after="40"/>
            </w:pPr>
            <w:r>
              <w:t>Full functionality</w:t>
            </w:r>
          </w:p>
        </w:tc>
        <w:tc>
          <w:tcPr>
            <w:tcW w:type="dxa" w:w="5131"/>
          </w:tcPr>
          <w:p>
            <w:pPr>
              <w:spacing w:after="40"/>
            </w:pPr>
            <w:r>
              <w:rPr>
                <w:b/>
              </w:rPr>
              <w:t>Fully functional</w:t>
            </w:r>
            <w:r>
              <w:t>, with slower progress updates</w:t>
            </w:r>
          </w:p>
        </w:tc>
      </w:tr>
    </w:tbl>
    <w:p/>
    <w:p>
      <w:r>
        <w:rPr>
          <w:b/>
        </w:rPr>
        <w:t>Architectural consequence, and it is a good one:</w:t>
      </w:r>
      <w:r>
        <w:t xml:space="preserve"> because Profile B must work, the application is designed with </w:t>
      </w:r>
      <w:r>
        <w:rPr>
          <w:b/>
        </w:rPr>
        <w:t>no WebSocket dependency and no long-lived process assumption</w:t>
      </w:r>
      <w:r>
        <w:t>. Progress is delivered by polling a run-status endpoint (3s while a step is running, backing off to 15s when idle), and every unit of work is a small, re-queueable job. If you later move to Profile A or to Azure, nothing has to be redesigned — Redis and Reverb become optimisations, not rescues.</w:t>
      </w:r>
    </w:p>
    <w:p>
      <w:r>
        <w:rPr>
          <w:b/>
        </w:rPr>
        <w:t>Please confirm which profile the GoDaddy account is</w:t>
      </w:r>
      <w:r>
        <w:t>, since it changes the deployment runbook (systemd vs cron) but nothing above it.</w:t>
      </w:r>
    </w:p>
    <w:p>
      <w:pPr>
        <w:pStyle w:val="Heading3"/>
      </w:pPr>
      <w:r>
        <w:t>9.3 Known constraints to design around</w:t>
      </w:r>
    </w:p>
    <w:p>
      <w:pPr>
        <w:pStyle w:val="ListNumber"/>
      </w:pPr>
      <w:r>
        <w:rPr>
          <w:b/>
        </w:rPr>
        <w:t>PHP execution limits.</w:t>
      </w:r>
      <w:r>
        <w:t xml:space="preserve"> Every Fabric call happens inside a queued job with an</w:t>
      </w:r>
    </w:p>
    <w:p>
      <w:r>
        <w:t>explicit timeout well under the host limit. Long-running Fabric operations are</w:t>
      </w:r>
    </w:p>
    <w:p>
      <w:r>
        <w:t xml:space="preserve">*polled across jobs*, never awaited. 2. </w:t>
      </w:r>
      <w:r>
        <w:rPr>
          <w:b/>
        </w:rPr>
        <w:t>No inline sleeping.</w:t>
      </w:r>
      <w:r>
        <w:t xml:space="preserve"> A poll re-dispatches with a delay; it never blocks a worker. 3. </w:t>
      </w:r>
      <w:r>
        <w:rPr>
          <w:b/>
        </w:rPr>
        <w:t>Egress restrictions.</w:t>
      </w:r>
      <w:r>
        <w:t xml:space="preserve"> Some shared hosts filter outbound traffic. This must be tested against the live Microsoft endpoints on day one of Phase 0, before any feature work. It is the single highest-risk unknown in the whole plan. 4. </w:t>
      </w:r>
      <w:r>
        <w:rPr>
          <w:b/>
        </w:rPr>
        <w:t>Cron granularity.</w:t>
      </w:r>
      <w:r>
        <w:t xml:space="preserve"> One minute is the floor; the UI must not promise sub-minute step transitions on Profile B. 5. </w:t>
      </w:r>
      <w:r>
        <w:rPr>
          <w:b/>
        </w:rPr>
        <w:t>Server timezone.</w:t>
      </w:r>
      <w:r>
        <w:t xml:space="preserve"> Store and compute in UTC; render in the tenant's timezone. 6. </w:t>
      </w:r>
      <w:r>
        <w:rPr>
          <w:b/>
        </w:rPr>
        <w:t>Deployment method.</w:t>
      </w:r>
      <w:r>
        <w:t xml:space="preserve"> Git-based deploy with a release directory and an atomic symlink switch; </w:t>
      </w:r>
      <w:r>
        <w:rPr>
          <w:rFonts w:ascii="Consolas" w:hAnsi="Consolas"/>
        </w:rPr>
        <w:t>php artisan migrate --force</w:t>
      </w:r>
      <w:r>
        <w:t xml:space="preserve"> and </w:t>
      </w:r>
      <w:r>
        <w:rPr>
          <w:rFonts w:ascii="Consolas" w:hAnsi="Consolas"/>
        </w:rPr>
        <w:t>optimize</w:t>
      </w:r>
      <w:r>
        <w:t xml:space="preserve"> in the release script. Never build assets on the production host.</w:t>
      </w:r>
    </w:p>
    <w:p>
      <w:pPr>
        <w:pStyle w:val="Heading3"/>
      </w:pPr>
      <w:r>
        <w:t>9.4 A note on scale</w:t>
      </w:r>
    </w:p>
    <w:p>
      <w:r>
        <w:t xml:space="preserve">Profile B is appropriate for pilot and early customers. Once concurrent tenants run ingestion and evaluation simultaneously, the database queue driver and one-minute cron will become the bottleneck long before PHP does. Plan the move to Profile A, or to a container host, as a </w:t>
      </w:r>
      <w:r>
        <w:rPr>
          <w:b/>
        </w:rPr>
        <w:t>capacity decision on a known trigger</w:t>
      </w:r>
      <w:r>
        <w:t xml:space="preserve"> (sustained queue depth), not as an emergency.</w:t>
      </w:r>
    </w:p>
    <w:p>
      <w:pPr>
        <w:pStyle w:val="Heading2"/>
      </w:pPr>
      <w:r>
        <w:t>10. Delivery phases</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r>
              <w:rPr>
                <w:b/>
              </w:rPr>
              <w:t>Phase</w:t>
            </w:r>
          </w:p>
        </w:tc>
        <w:tc>
          <w:tcPr>
            <w:tcW w:type="dxa" w:w="5131"/>
          </w:tcPr>
          <w:p>
            <w:pPr>
              <w:spacing w:after="40"/>
            </w:pPr>
            <w:r>
              <w:rPr>
                <w:b/>
              </w:rPr>
              <w:t>Outcome</w:t>
            </w:r>
          </w:p>
        </w:tc>
        <w:tc>
          <w:tcPr>
            <w:tcW w:type="dxa" w:w="5131"/>
          </w:tcPr>
          <w:p>
            <w:pPr>
              <w:spacing w:after="40"/>
            </w:pPr>
            <w:r>
              <w:rPr>
                <w:b/>
              </w:rPr>
              <w:t>Exit criteria</w:t>
            </w:r>
          </w:p>
        </w:tc>
      </w:tr>
      <w:tr>
        <w:tc>
          <w:tcPr>
            <w:tcW w:type="dxa" w:w="5131"/>
          </w:tcPr>
          <w:p>
            <w:pPr>
              <w:spacing w:after="40"/>
            </w:pPr>
            <w:r>
              <w:rPr>
                <w:b/>
              </w:rPr>
              <w:t>0</w:t>
            </w:r>
            <w:r>
              <w:t xml:space="preserve"> Foundation</w:t>
            </w:r>
          </w:p>
        </w:tc>
        <w:tc>
          <w:tcPr>
            <w:tcW w:type="dxa" w:w="5131"/>
          </w:tcPr>
          <w:p>
            <w:pPr>
              <w:spacing w:after="40"/>
            </w:pPr>
            <w:r>
              <w:t>Laravel 13 + Inertia + React 19 skeleton, design system implemented, Entra sign-in, Fabric client, LRO poller, CI, deployment runbook</w:t>
            </w:r>
          </w:p>
        </w:tc>
        <w:tc>
          <w:tcPr>
            <w:tcW w:type="dxa" w:w="5131"/>
          </w:tcPr>
          <w:p>
            <w:pPr>
              <w:spacing w:after="40"/>
            </w:pPr>
            <w:r>
              <w:t>A real Fabric workspace is listed in the UI from a real customer tenant, on the real host</w:t>
            </w:r>
          </w:p>
        </w:tc>
      </w:tr>
      <w:tr>
        <w:tc>
          <w:tcPr>
            <w:tcW w:type="dxa" w:w="5131"/>
          </w:tcPr>
          <w:p>
            <w:pPr>
              <w:spacing w:after="40"/>
            </w:pPr>
            <w:r>
              <w:rPr>
                <w:b/>
              </w:rPr>
              <w:t>1</w:t>
            </w:r>
            <w:r>
              <w:t xml:space="preserve"> Blueprint engine</w:t>
            </w:r>
          </w:p>
        </w:tc>
        <w:tc>
          <w:tcPr>
            <w:tcW w:type="dxa" w:w="5131"/>
          </w:tcPr>
          <w:p>
            <w:pPr>
              <w:spacing w:after="40"/>
            </w:pPr>
            <w:r>
              <w:t>Step catalogue (80), stage/run state machine, tier A/B/C execution, verification probes, audit trail, polling progress UI</w:t>
            </w:r>
          </w:p>
        </w:tc>
        <w:tc>
          <w:tcPr>
            <w:tcW w:type="dxa" w:w="5131"/>
          </w:tcPr>
          <w:p>
            <w:pPr>
              <w:spacing w:after="40"/>
            </w:pPr>
            <w:r>
              <w:t>A blueprint runs end to end against a dev tenant with mixed A/B/C steps</w:t>
            </w:r>
          </w:p>
        </w:tc>
      </w:tr>
      <w:tr>
        <w:tc>
          <w:tcPr>
            <w:tcW w:type="dxa" w:w="5131"/>
          </w:tcPr>
          <w:p>
            <w:pPr>
              <w:spacing w:after="40"/>
            </w:pPr>
            <w:r>
              <w:rPr>
                <w:b/>
              </w:rPr>
              <w:t>2</w:t>
            </w:r>
            <w:r>
              <w:t xml:space="preserve"> Readiness and environments</w:t>
            </w:r>
          </w:p>
        </w:tc>
        <w:tc>
          <w:tcPr>
            <w:tcW w:type="dxa" w:w="5131"/>
          </w:tcPr>
          <w:p>
            <w:pPr>
              <w:spacing w:after="40"/>
            </w:pPr>
            <w:r>
              <w:t>Clusters 1-2: preflight, workspace lifecycle, capacity, DEV/TEST/PROD</w:t>
            </w:r>
          </w:p>
        </w:tc>
        <w:tc>
          <w:tcPr>
            <w:tcW w:type="dxa" w:w="5131"/>
          </w:tcPr>
          <w:p>
            <w:pPr>
              <w:spacing w:after="40"/>
            </w:pPr>
            <w:r>
              <w:t>A customer can go from empty tenant to three assigned workspaces</w:t>
            </w:r>
          </w:p>
        </w:tc>
      </w:tr>
      <w:tr>
        <w:tc>
          <w:tcPr>
            <w:tcW w:type="dxa" w:w="5131"/>
          </w:tcPr>
          <w:p>
            <w:pPr>
              <w:spacing w:after="40"/>
            </w:pPr>
            <w:r>
              <w:rPr>
                <w:b/>
              </w:rPr>
              <w:t>3</w:t>
            </w:r>
            <w:r>
              <w:t xml:space="preserve"> Data spine</w:t>
            </w:r>
          </w:p>
        </w:tc>
        <w:tc>
          <w:tcPr>
            <w:tcW w:type="dxa" w:w="5131"/>
          </w:tcPr>
          <w:p>
            <w:pPr>
              <w:spacing w:after="40"/>
            </w:pPr>
            <w:r>
              <w:t>Clusters 3-7: sources, connections, lakehouse, medallion, ingestion, transformation, quality, dimensional model</w:t>
            </w:r>
          </w:p>
        </w:tc>
        <w:tc>
          <w:tcPr>
            <w:tcW w:type="dxa" w:w="5131"/>
          </w:tcPr>
          <w:p>
            <w:pPr>
              <w:spacing w:after="40"/>
            </w:pPr>
            <w:r>
              <w:t>Bronze -&gt; Silver -&gt; Gold running on a schedule with quality gates</w:t>
            </w:r>
          </w:p>
        </w:tc>
      </w:tr>
      <w:tr>
        <w:tc>
          <w:tcPr>
            <w:tcW w:type="dxa" w:w="5131"/>
          </w:tcPr>
          <w:p>
            <w:pPr>
              <w:spacing w:after="40"/>
            </w:pPr>
            <w:r>
              <w:rPr>
                <w:b/>
              </w:rPr>
              <w:t>4</w:t>
            </w:r>
            <w:r>
              <w:t xml:space="preserve"> Semantic layer</w:t>
            </w:r>
          </w:p>
        </w:tc>
        <w:tc>
          <w:tcPr>
            <w:tcW w:type="dxa" w:w="5131"/>
          </w:tcPr>
          <w:p>
            <w:pPr>
              <w:spacing w:after="40"/>
            </w:pPr>
            <w:r>
              <w:t>Cluster 8: model, relationships, measures, naming, descriptions and synonyms, RLS/CLS, Prep for AI, AI instructions, verified answers</w:t>
            </w:r>
          </w:p>
        </w:tc>
        <w:tc>
          <w:tcPr>
            <w:tcW w:type="dxa" w:w="5131"/>
          </w:tcPr>
          <w:p>
            <w:pPr>
              <w:spacing w:after="40"/>
            </w:pPr>
            <w:r>
              <w:t>A governed semantic model with a reviewed glossary</w:t>
            </w:r>
          </w:p>
        </w:tc>
      </w:tr>
      <w:tr>
        <w:tc>
          <w:tcPr>
            <w:tcW w:type="dxa" w:w="5131"/>
          </w:tcPr>
          <w:p>
            <w:pPr>
              <w:spacing w:after="40"/>
            </w:pPr>
            <w:r>
              <w:rPr>
                <w:b/>
              </w:rPr>
              <w:t>5</w:t>
            </w:r>
            <w:r>
              <w:t xml:space="preserve"> Agent and evaluation</w:t>
            </w:r>
          </w:p>
        </w:tc>
        <w:tc>
          <w:tcPr>
            <w:tcW w:type="dxa" w:w="5131"/>
          </w:tcPr>
          <w:p>
            <w:pPr>
              <w:spacing w:after="40"/>
            </w:pPr>
            <w:r>
              <w:t>Clusters 9-11: Data Agent studio, ground truth, accuracy and security testing, publication, access</w:t>
            </w:r>
          </w:p>
        </w:tc>
        <w:tc>
          <w:tcPr>
            <w:tcW w:type="dxa" w:w="5131"/>
          </w:tcPr>
          <w:p>
            <w:pPr>
              <w:spacing w:after="40"/>
            </w:pPr>
            <w:r>
              <w:t>Measured accuracy against a ground-truth bank, with security validated per role</w:t>
            </w:r>
          </w:p>
        </w:tc>
      </w:tr>
      <w:tr>
        <w:tc>
          <w:tcPr>
            <w:tcW w:type="dxa" w:w="5131"/>
          </w:tcPr>
          <w:p>
            <w:pPr>
              <w:spacing w:after="40"/>
            </w:pPr>
            <w:r>
              <w:rPr>
                <w:b/>
              </w:rPr>
              <w:t>6</w:t>
            </w:r>
            <w:r>
              <w:t xml:space="preserve"> Conversational app</w:t>
            </w:r>
          </w:p>
        </w:tc>
        <w:tc>
          <w:tcPr>
            <w:tcW w:type="dxa" w:w="5131"/>
          </w:tcPr>
          <w:p>
            <w:pPr>
              <w:spacing w:after="40"/>
            </w:pPr>
            <w:r>
              <w:t>Cluster 12: Copilot Studio guidance, routing and multi-turn tests, channels, sharing</w:t>
            </w:r>
          </w:p>
        </w:tc>
        <w:tc>
          <w:tcPr>
            <w:tcW w:type="dxa" w:w="5131"/>
          </w:tcPr>
          <w:p>
            <w:pPr>
              <w:spacing w:after="40"/>
            </w:pPr>
            <w:r>
              <w:t>A Teams-published agent answering governed questions</w:t>
            </w:r>
          </w:p>
        </w:tc>
      </w:tr>
      <w:tr>
        <w:tc>
          <w:tcPr>
            <w:tcW w:type="dxa" w:w="5131"/>
          </w:tcPr>
          <w:p>
            <w:pPr>
              <w:spacing w:after="40"/>
            </w:pPr>
            <w:r>
              <w:rPr>
                <w:b/>
              </w:rPr>
              <w:t>7</w:t>
            </w:r>
            <w:r>
              <w:t xml:space="preserve"> Operate and govern</w:t>
            </w:r>
          </w:p>
        </w:tc>
        <w:tc>
          <w:tcPr>
            <w:tcW w:type="dxa" w:w="5131"/>
          </w:tcPr>
          <w:p>
            <w:pPr>
              <w:spacing w:after="40"/>
            </w:pPr>
            <w:r>
              <w:t>Clusters 13-14: monitoring, git, deployment pipelines, change process, go-live gate</w:t>
            </w:r>
          </w:p>
        </w:tc>
        <w:tc>
          <w:tcPr>
            <w:tcW w:type="dxa" w:w="5131"/>
          </w:tcPr>
          <w:p>
            <w:pPr>
              <w:spacing w:after="40"/>
            </w:pPr>
            <w:r>
              <w:t>Signed-off go-live with an active AI change process</w:t>
            </w:r>
          </w:p>
        </w:tc>
      </w:tr>
    </w:tbl>
    <w:p/>
    <w:p>
      <w:pPr>
        <w:pStyle w:val="Heading2"/>
      </w:pPr>
      <w:r>
        <w:t>11. Open items for the technical lead</w:t>
      </w:r>
    </w:p>
    <w:p>
      <w:pPr>
        <w:pStyle w:val="ListNumber"/>
      </w:pPr>
      <w:r>
        <w:t>Hosting profile A or B (section 9.2), and confirmation of outbound egress to the</w:t>
      </w:r>
    </w:p>
    <w:p>
      <w:r>
        <w:t>Microsoft endpoints listed in 9.1. 2. Application name string for the top bar and browser title, and the approved brand asset pack plus its installed location. 3. Confirmation of the five role labels in section 7. 4. Whether a single Entra app registration is used for all customer tenants (multi-tenant) or one per customer. 5. Whether pilot customers already hold F2+ capacity, or SemantIQ must provision it.</w:t>
      </w:r>
    </w:p>
    <w:p>
      <w:r>
        <w:t>*00-Solution-Architecture*</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00-Solution-Architecture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