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CLaaS2SaaS SemantIQ — Data and Artifact Request</w:t>
      </w:r>
    </w:p>
    <w:p>
      <w:r>
        <w:rPr>
          <w:b/>
        </w:rPr>
        <w:t>Document ID:</w:t>
      </w:r>
      <w:r>
        <w:t xml:space="preserve"> 01a-Artifact-Data-Request</w:t>
      </w:r>
    </w:p>
    <w:p>
      <w:r>
        <w:rPr>
          <w:b/>
        </w:rPr>
        <w:t>To:</w:t>
      </w:r>
      <w:r>
        <w:t xml:space="preserve"> Customer project sponsor and technical lead</w:t>
      </w:r>
    </w:p>
    <w:p>
      <w:r>
        <w:rPr>
          <w:b/>
        </w:rPr>
        <w:t>From:</w:t>
      </w:r>
      <w:r>
        <w:t xml:space="preserve"> CLaaS2SaaS SemantIQ implementation team</w:t>
      </w:r>
    </w:p>
    <w:p>
      <w:r>
        <w:rPr>
          <w:b/>
        </w:rPr>
        <w:t>Purpose:</w:t>
      </w:r>
      <w:r>
        <w:t xml:space="preserve"> Collect the existing artifacts needed to understand the current state before configuration begins</w:t>
      </w:r>
    </w:p>
    <w:p>
      <w:pPr>
        <w:pStyle w:val="Heading2"/>
      </w:pPr>
      <w:r>
        <w:t>Why we are asking</w:t>
      </w:r>
    </w:p>
    <w:p>
      <w:r>
        <w:t>SemantIQ configures your Microsoft Fabric environment from source data through to a governed conversational assistant. Several steps in that procedure cannot be performed without decisions that already exist inside your organisation — an agreed definition of revenue, a known list of source systems, an existing security model. Collecting these up front prevents us from inventing an answer that later has to be unwound.</w:t>
      </w:r>
    </w:p>
    <w:p>
      <w:r>
        <w:t xml:space="preserve">Please supply what exists today. </w:t>
      </w:r>
      <w:r>
        <w:rPr>
          <w:b/>
        </w:rPr>
        <w:t>Do not create anything new for this request.</w:t>
      </w:r>
      <w:r>
        <w:t xml:space="preserve"> Where an artifact does not exist, marking it "not available" is a genuinely useful answer: it tells us the definition has to be established during the project, and we will schedule that work rather than discover it late.</w:t>
      </w:r>
    </w:p>
    <w:p>
      <w:r>
        <w:rPr>
          <w:b/>
        </w:rPr>
        <w:t>Please do not send credentials, passwords, connection strings, API keys or secrets in response to this request.</w:t>
      </w:r>
      <w:r>
        <w:t xml:space="preserve"> Access is granted through Microsoft Entra ID during onboarding, never by sharing a secret.</w:t>
      </w:r>
    </w:p>
    <w:p>
      <w:pPr>
        <w:pStyle w:val="Heading2"/>
      </w:pPr>
      <w:r>
        <w:t>A — Microsoft tenant and licensing</w:t>
      </w:r>
    </w:p>
    <w:tbl>
      <w:tblPr>
        <w:tblStyle w:val="TableGrid"/>
        <w:tblW w:type="auto" w:w="0"/>
        <w:tblLayout w:type="autofit"/>
        <w:tblLook w:firstColumn="1" w:firstRow="1" w:lastColumn="0" w:lastRow="0" w:noHBand="0" w:noVBand="1" w:val="04A0"/>
      </w:tblPr>
      <w:tblGrid>
        <w:gridCol w:w="3079"/>
        <w:gridCol w:w="3079"/>
        <w:gridCol w:w="3079"/>
        <w:gridCol w:w="3079"/>
        <w:gridCol w:w="3079"/>
      </w:tblGrid>
      <w:tr>
        <w:tc>
          <w:tcPr>
            <w:tcW w:type="dxa" w:w="3079"/>
          </w:tcPr>
          <w:p>
            <w:pPr>
              <w:spacing w:after="40"/>
            </w:pPr>
            <w:r>
              <w:rPr>
                <w:b/>
              </w:rPr>
              <w:t>#</w:t>
            </w:r>
          </w:p>
        </w:tc>
        <w:tc>
          <w:tcPr>
            <w:tcW w:type="dxa" w:w="3079"/>
          </w:tcPr>
          <w:p>
            <w:pPr>
              <w:spacing w:after="40"/>
            </w:pPr>
            <w:r>
              <w:rPr>
                <w:b/>
              </w:rPr>
              <w:t>Artifact requested</w:t>
            </w:r>
          </w:p>
        </w:tc>
        <w:tc>
          <w:tcPr>
            <w:tcW w:type="dxa" w:w="3079"/>
          </w:tcPr>
          <w:p>
            <w:pPr>
              <w:spacing w:after="40"/>
            </w:pPr>
            <w:r>
              <w:rPr>
                <w:b/>
              </w:rPr>
              <w:t>Why it is needed</w:t>
            </w:r>
          </w:p>
        </w:tc>
        <w:tc>
          <w:tcPr>
            <w:tcW w:type="dxa" w:w="3079"/>
          </w:tcPr>
          <w:p>
            <w:pPr>
              <w:spacing w:after="40"/>
            </w:pPr>
            <w:r>
              <w:rPr>
                <w:b/>
              </w:rPr>
              <w:t>Related step</w:t>
            </w:r>
          </w:p>
        </w:tc>
        <w:tc>
          <w:tcPr>
            <w:tcW w:type="dxa" w:w="3079"/>
          </w:tcPr>
          <w:p>
            <w:pPr>
              <w:spacing w:after="40"/>
            </w:pPr>
            <w:r>
              <w:rPr>
                <w:b/>
              </w:rPr>
              <w:t>Priority</w:t>
            </w:r>
          </w:p>
        </w:tc>
      </w:tr>
      <w:tr>
        <w:tc>
          <w:tcPr>
            <w:tcW w:type="dxa" w:w="3079"/>
          </w:tcPr>
          <w:p>
            <w:pPr>
              <w:spacing w:after="40"/>
            </w:pPr>
            <w:r>
              <w:t>A1</w:t>
            </w:r>
          </w:p>
        </w:tc>
        <w:tc>
          <w:tcPr>
            <w:tcW w:type="dxa" w:w="3079"/>
          </w:tcPr>
          <w:p>
            <w:pPr>
              <w:spacing w:after="40"/>
            </w:pPr>
            <w:r>
              <w:t>Fabric capacity details: SKU, region, billing state</w:t>
            </w:r>
          </w:p>
        </w:tc>
        <w:tc>
          <w:tcPr>
            <w:tcW w:type="dxa" w:w="3079"/>
          </w:tcPr>
          <w:p>
            <w:pPr>
              <w:spacing w:after="40"/>
            </w:pPr>
            <w:r>
              <w:t>Confirms the F2-or-higher paid capacity that Fabric Data Agent requires</w:t>
            </w:r>
          </w:p>
        </w:tc>
        <w:tc>
          <w:tcPr>
            <w:tcW w:type="dxa" w:w="3079"/>
          </w:tcPr>
          <w:p>
            <w:pPr>
              <w:spacing w:after="40"/>
            </w:pPr>
            <w:r>
              <w:t>1</w:t>
            </w:r>
          </w:p>
        </w:tc>
        <w:tc>
          <w:tcPr>
            <w:tcW w:type="dxa" w:w="3079"/>
          </w:tcPr>
          <w:p>
            <w:pPr>
              <w:spacing w:after="40"/>
            </w:pPr>
            <w:r>
              <w:t>Essential</w:t>
            </w:r>
          </w:p>
        </w:tc>
      </w:tr>
      <w:tr>
        <w:tc>
          <w:tcPr>
            <w:tcW w:type="dxa" w:w="3079"/>
          </w:tcPr>
          <w:p>
            <w:pPr>
              <w:spacing w:after="40"/>
            </w:pPr>
            <w:r>
              <w:t>A2</w:t>
            </w:r>
          </w:p>
        </w:tc>
        <w:tc>
          <w:tcPr>
            <w:tcW w:type="dxa" w:w="3079"/>
          </w:tcPr>
          <w:p>
            <w:pPr>
              <w:spacing w:after="40"/>
            </w:pPr>
            <w:r>
              <w:t>Name and contact of the Fabric Administrator or Global Administrator</w:t>
            </w:r>
          </w:p>
        </w:tc>
        <w:tc>
          <w:tcPr>
            <w:tcW w:type="dxa" w:w="3079"/>
          </w:tcPr>
          <w:p>
            <w:pPr>
              <w:spacing w:after="40"/>
            </w:pPr>
            <w:r>
              <w:t>Tenant-level AI settings cannot be changed without this role</w:t>
            </w:r>
          </w:p>
        </w:tc>
        <w:tc>
          <w:tcPr>
            <w:tcW w:type="dxa" w:w="3079"/>
          </w:tcPr>
          <w:p>
            <w:pPr>
              <w:spacing w:after="40"/>
            </w:pPr>
            <w:r>
              <w:t>2</w:t>
            </w:r>
          </w:p>
        </w:tc>
        <w:tc>
          <w:tcPr>
            <w:tcW w:type="dxa" w:w="3079"/>
          </w:tcPr>
          <w:p>
            <w:pPr>
              <w:spacing w:after="40"/>
            </w:pPr>
            <w:r>
              <w:t>Essential</w:t>
            </w:r>
          </w:p>
        </w:tc>
      </w:tr>
      <w:tr>
        <w:tc>
          <w:tcPr>
            <w:tcW w:type="dxa" w:w="3079"/>
          </w:tcPr>
          <w:p>
            <w:pPr>
              <w:spacing w:after="40"/>
            </w:pPr>
            <w:r>
              <w:t>A3</w:t>
            </w:r>
          </w:p>
        </w:tc>
        <w:tc>
          <w:tcPr>
            <w:tcW w:type="dxa" w:w="3079"/>
          </w:tcPr>
          <w:p>
            <w:pPr>
              <w:spacing w:after="40"/>
            </w:pPr>
            <w:r>
              <w:t>Current Fabric tenant settings export or screenshots for the Copilot and AI settings</w:t>
            </w:r>
          </w:p>
        </w:tc>
        <w:tc>
          <w:tcPr>
            <w:tcW w:type="dxa" w:w="3079"/>
          </w:tcPr>
          <w:p>
            <w:pPr>
              <w:spacing w:after="40"/>
            </w:pPr>
            <w:r>
              <w:t>Establishes the starting state before any change is requested</w:t>
            </w:r>
          </w:p>
        </w:tc>
        <w:tc>
          <w:tcPr>
            <w:tcW w:type="dxa" w:w="3079"/>
          </w:tcPr>
          <w:p>
            <w:pPr>
              <w:spacing w:after="40"/>
            </w:pPr>
            <w:r>
              <w:t>3, 4</w:t>
            </w:r>
          </w:p>
        </w:tc>
        <w:tc>
          <w:tcPr>
            <w:tcW w:type="dxa" w:w="3079"/>
          </w:tcPr>
          <w:p>
            <w:pPr>
              <w:spacing w:after="40"/>
            </w:pPr>
            <w:r>
              <w:t>Essential</w:t>
            </w:r>
          </w:p>
        </w:tc>
      </w:tr>
      <w:tr>
        <w:tc>
          <w:tcPr>
            <w:tcW w:type="dxa" w:w="3079"/>
          </w:tcPr>
          <w:p>
            <w:pPr>
              <w:spacing w:after="40"/>
            </w:pPr>
            <w:r>
              <w:t>A4</w:t>
            </w:r>
          </w:p>
        </w:tc>
        <w:tc>
          <w:tcPr>
            <w:tcW w:type="dxa" w:w="3079"/>
          </w:tcPr>
          <w:p>
            <w:pPr>
              <w:spacing w:after="40"/>
            </w:pPr>
            <w:r>
              <w:t>Entra ID tenant ID and the admin-consent approver</w:t>
            </w:r>
          </w:p>
        </w:tc>
        <w:tc>
          <w:tcPr>
            <w:tcW w:type="dxa" w:w="3079"/>
          </w:tcPr>
          <w:p>
            <w:pPr>
              <w:spacing w:after="40"/>
            </w:pPr>
            <w:r>
              <w:t>Required to connect SemantIQ to your tenant</w:t>
            </w:r>
          </w:p>
        </w:tc>
        <w:tc>
          <w:tcPr>
            <w:tcW w:type="dxa" w:w="3079"/>
          </w:tcPr>
          <w:p>
            <w:pPr>
              <w:spacing w:after="40"/>
            </w:pPr>
            <w:r>
              <w:t>—</w:t>
            </w:r>
          </w:p>
        </w:tc>
        <w:tc>
          <w:tcPr>
            <w:tcW w:type="dxa" w:w="3079"/>
          </w:tcPr>
          <w:p>
            <w:pPr>
              <w:spacing w:after="40"/>
            </w:pPr>
            <w:r>
              <w:t>Essential</w:t>
            </w:r>
          </w:p>
        </w:tc>
      </w:tr>
      <w:tr>
        <w:tc>
          <w:tcPr>
            <w:tcW w:type="dxa" w:w="3079"/>
          </w:tcPr>
          <w:p>
            <w:pPr>
              <w:spacing w:after="40"/>
            </w:pPr>
            <w:r>
              <w:t>A5</w:t>
            </w:r>
          </w:p>
        </w:tc>
        <w:tc>
          <w:tcPr>
            <w:tcW w:type="dxa" w:w="3079"/>
          </w:tcPr>
          <w:p>
            <w:pPr>
              <w:spacing w:after="40"/>
            </w:pPr>
            <w:r>
              <w:t>Microsoft licensing summary covering Fabric, Power BI and Copilot Studio</w:t>
            </w:r>
          </w:p>
        </w:tc>
        <w:tc>
          <w:tcPr>
            <w:tcW w:type="dxa" w:w="3079"/>
          </w:tcPr>
          <w:p>
            <w:pPr>
              <w:spacing w:after="40"/>
            </w:pPr>
            <w:r>
              <w:t>Confirms the conversational layer is licensed before it is designed</w:t>
            </w:r>
          </w:p>
        </w:tc>
        <w:tc>
          <w:tcPr>
            <w:tcW w:type="dxa" w:w="3079"/>
          </w:tcPr>
          <w:p>
            <w:pPr>
              <w:spacing w:after="40"/>
            </w:pPr>
            <w:r>
              <w:t>55</w:t>
            </w:r>
          </w:p>
        </w:tc>
        <w:tc>
          <w:tcPr>
            <w:tcW w:type="dxa" w:w="3079"/>
          </w:tcPr>
          <w:p>
            <w:pPr>
              <w:spacing w:after="40"/>
            </w:pPr>
            <w:r>
              <w:t>Essential</w:t>
            </w:r>
          </w:p>
        </w:tc>
      </w:tr>
      <w:tr>
        <w:tc>
          <w:tcPr>
            <w:tcW w:type="dxa" w:w="3079"/>
          </w:tcPr>
          <w:p>
            <w:pPr>
              <w:spacing w:after="40"/>
            </w:pPr>
            <w:r>
              <w:t>A6</w:t>
            </w:r>
          </w:p>
        </w:tc>
        <w:tc>
          <w:tcPr>
            <w:tcW w:type="dxa" w:w="3079"/>
          </w:tcPr>
          <w:p>
            <w:pPr>
              <w:spacing w:after="40"/>
            </w:pPr>
            <w:r>
              <w:t>Data-residency or sovereignty policy, if one exists</w:t>
            </w:r>
          </w:p>
        </w:tc>
        <w:tc>
          <w:tcPr>
            <w:tcW w:type="dxa" w:w="3079"/>
          </w:tcPr>
          <w:p>
            <w:pPr>
              <w:spacing w:after="40"/>
            </w:pPr>
            <w:r>
              <w:t>Determines whether cross-geo AI processing is permissible</w:t>
            </w:r>
          </w:p>
        </w:tc>
        <w:tc>
          <w:tcPr>
            <w:tcW w:type="dxa" w:w="3079"/>
          </w:tcPr>
          <w:p>
            <w:pPr>
              <w:spacing w:after="40"/>
            </w:pPr>
            <w:r>
              <w:t>4</w:t>
            </w:r>
          </w:p>
        </w:tc>
        <w:tc>
          <w:tcPr>
            <w:tcW w:type="dxa" w:w="3079"/>
          </w:tcPr>
          <w:p>
            <w:pPr>
              <w:spacing w:after="40"/>
            </w:pPr>
            <w:r>
              <w:t>Important</w:t>
            </w:r>
          </w:p>
        </w:tc>
      </w:tr>
    </w:tbl>
    <w:p/>
    <w:p>
      <w:pPr>
        <w:pStyle w:val="Heading2"/>
      </w:pPr>
      <w:r>
        <w:t>B — Existing Fabric and Power BI estate</w:t>
      </w:r>
    </w:p>
    <w:tbl>
      <w:tblPr>
        <w:tblStyle w:val="TableGrid"/>
        <w:tblW w:type="auto" w:w="0"/>
        <w:tblLayout w:type="autofit"/>
        <w:tblLook w:firstColumn="1" w:firstRow="1" w:lastColumn="0" w:lastRow="0" w:noHBand="0" w:noVBand="1" w:val="04A0"/>
      </w:tblPr>
      <w:tblGrid>
        <w:gridCol w:w="3079"/>
        <w:gridCol w:w="3079"/>
        <w:gridCol w:w="3079"/>
        <w:gridCol w:w="3079"/>
        <w:gridCol w:w="3079"/>
      </w:tblGrid>
      <w:tr>
        <w:tc>
          <w:tcPr>
            <w:tcW w:type="dxa" w:w="3079"/>
          </w:tcPr>
          <w:p>
            <w:pPr>
              <w:spacing w:after="40"/>
            </w:pPr>
            <w:r>
              <w:rPr>
                <w:b/>
              </w:rPr>
              <w:t>#</w:t>
            </w:r>
          </w:p>
        </w:tc>
        <w:tc>
          <w:tcPr>
            <w:tcW w:type="dxa" w:w="3079"/>
          </w:tcPr>
          <w:p>
            <w:pPr>
              <w:spacing w:after="40"/>
            </w:pPr>
            <w:r>
              <w:rPr>
                <w:b/>
              </w:rPr>
              <w:t>Artifact requested</w:t>
            </w:r>
          </w:p>
        </w:tc>
        <w:tc>
          <w:tcPr>
            <w:tcW w:type="dxa" w:w="3079"/>
          </w:tcPr>
          <w:p>
            <w:pPr>
              <w:spacing w:after="40"/>
            </w:pPr>
            <w:r>
              <w:rPr>
                <w:b/>
              </w:rPr>
              <w:t>Why it is needed</w:t>
            </w:r>
          </w:p>
        </w:tc>
        <w:tc>
          <w:tcPr>
            <w:tcW w:type="dxa" w:w="3079"/>
          </w:tcPr>
          <w:p>
            <w:pPr>
              <w:spacing w:after="40"/>
            </w:pPr>
            <w:r>
              <w:rPr>
                <w:b/>
              </w:rPr>
              <w:t>Related step</w:t>
            </w:r>
          </w:p>
        </w:tc>
        <w:tc>
          <w:tcPr>
            <w:tcW w:type="dxa" w:w="3079"/>
          </w:tcPr>
          <w:p>
            <w:pPr>
              <w:spacing w:after="40"/>
            </w:pPr>
            <w:r>
              <w:rPr>
                <w:b/>
              </w:rPr>
              <w:t>Priority</w:t>
            </w:r>
          </w:p>
        </w:tc>
      </w:tr>
      <w:tr>
        <w:tc>
          <w:tcPr>
            <w:tcW w:type="dxa" w:w="3079"/>
          </w:tcPr>
          <w:p>
            <w:pPr>
              <w:spacing w:after="40"/>
            </w:pPr>
            <w:r>
              <w:t>B1</w:t>
            </w:r>
          </w:p>
        </w:tc>
        <w:tc>
          <w:tcPr>
            <w:tcW w:type="dxa" w:w="3079"/>
          </w:tcPr>
          <w:p>
            <w:pPr>
              <w:spacing w:after="40"/>
            </w:pPr>
            <w:r>
              <w:t>List of existing Fabric workspaces with their capacity assignment</w:t>
            </w:r>
          </w:p>
        </w:tc>
        <w:tc>
          <w:tcPr>
            <w:tcW w:type="dxa" w:w="3079"/>
          </w:tcPr>
          <w:p>
            <w:pPr>
              <w:spacing w:after="40"/>
            </w:pPr>
            <w:r>
              <w:t>Determines whether we attach to existing workspaces or create new ones</w:t>
            </w:r>
          </w:p>
        </w:tc>
        <w:tc>
          <w:tcPr>
            <w:tcW w:type="dxa" w:w="3079"/>
          </w:tcPr>
          <w:p>
            <w:pPr>
              <w:spacing w:after="40"/>
            </w:pPr>
            <w:r>
              <w:t>5, 6, 8</w:t>
            </w:r>
          </w:p>
        </w:tc>
        <w:tc>
          <w:tcPr>
            <w:tcW w:type="dxa" w:w="3079"/>
          </w:tcPr>
          <w:p>
            <w:pPr>
              <w:spacing w:after="40"/>
            </w:pPr>
            <w:r>
              <w:t>Essential</w:t>
            </w:r>
          </w:p>
        </w:tc>
      </w:tr>
      <w:tr>
        <w:tc>
          <w:tcPr>
            <w:tcW w:type="dxa" w:w="3079"/>
          </w:tcPr>
          <w:p>
            <w:pPr>
              <w:spacing w:after="40"/>
            </w:pPr>
            <w:r>
              <w:t>B2</w:t>
            </w:r>
          </w:p>
        </w:tc>
        <w:tc>
          <w:tcPr>
            <w:tcW w:type="dxa" w:w="3079"/>
          </w:tcPr>
          <w:p>
            <w:pPr>
              <w:spacing w:after="40"/>
            </w:pPr>
            <w:r>
              <w:t>List of existing lakehouses, warehouses and semantic models</w:t>
            </w:r>
          </w:p>
        </w:tc>
        <w:tc>
          <w:tcPr>
            <w:tcW w:type="dxa" w:w="3079"/>
          </w:tcPr>
          <w:p>
            <w:pPr>
              <w:spacing w:after="40"/>
            </w:pPr>
            <w:r>
              <w:t>Avoids duplicating an asset you already trust</w:t>
            </w:r>
          </w:p>
        </w:tc>
        <w:tc>
          <w:tcPr>
            <w:tcW w:type="dxa" w:w="3079"/>
          </w:tcPr>
          <w:p>
            <w:pPr>
              <w:spacing w:after="40"/>
            </w:pPr>
            <w:r>
              <w:t>14, 26, 29</w:t>
            </w:r>
          </w:p>
        </w:tc>
        <w:tc>
          <w:tcPr>
            <w:tcW w:type="dxa" w:w="3079"/>
          </w:tcPr>
          <w:p>
            <w:pPr>
              <w:spacing w:after="40"/>
            </w:pPr>
            <w:r>
              <w:t>Essential</w:t>
            </w:r>
          </w:p>
        </w:tc>
      </w:tr>
      <w:tr>
        <w:tc>
          <w:tcPr>
            <w:tcW w:type="dxa" w:w="3079"/>
          </w:tcPr>
          <w:p>
            <w:pPr>
              <w:spacing w:after="40"/>
            </w:pPr>
            <w:r>
              <w:t>B3</w:t>
            </w:r>
          </w:p>
        </w:tc>
        <w:tc>
          <w:tcPr>
            <w:tcW w:type="dxa" w:w="3079"/>
          </w:tcPr>
          <w:p>
            <w:pPr>
              <w:spacing w:after="40"/>
            </w:pPr>
            <w:r>
              <w:t>Existing Power BI reports and semantic models in active business use</w:t>
            </w:r>
          </w:p>
        </w:tc>
        <w:tc>
          <w:tcPr>
            <w:tcW w:type="dxa" w:w="3079"/>
          </w:tcPr>
          <w:p>
            <w:pPr>
              <w:spacing w:after="40"/>
            </w:pPr>
            <w:r>
              <w:t>These contain your real, already-agreed business definitions</w:t>
            </w:r>
          </w:p>
        </w:tc>
        <w:tc>
          <w:tcPr>
            <w:tcW w:type="dxa" w:w="3079"/>
          </w:tcPr>
          <w:p>
            <w:pPr>
              <w:spacing w:after="40"/>
            </w:pPr>
            <w:r>
              <w:t>29, 32, 78</w:t>
            </w:r>
          </w:p>
        </w:tc>
        <w:tc>
          <w:tcPr>
            <w:tcW w:type="dxa" w:w="3079"/>
          </w:tcPr>
          <w:p>
            <w:pPr>
              <w:spacing w:after="40"/>
            </w:pPr>
            <w:r>
              <w:t>Essential</w:t>
            </w:r>
          </w:p>
        </w:tc>
      </w:tr>
      <w:tr>
        <w:tc>
          <w:tcPr>
            <w:tcW w:type="dxa" w:w="3079"/>
          </w:tcPr>
          <w:p>
            <w:pPr>
              <w:spacing w:after="40"/>
            </w:pPr>
            <w:r>
              <w:t>B4</w:t>
            </w:r>
          </w:p>
        </w:tc>
        <w:tc>
          <w:tcPr>
            <w:tcW w:type="dxa" w:w="3079"/>
          </w:tcPr>
          <w:p>
            <w:pPr>
              <w:spacing w:after="40"/>
            </w:pPr>
            <w:r>
              <w:t>Existing DAX measure definitions, if extractable</w:t>
            </w:r>
          </w:p>
        </w:tc>
        <w:tc>
          <w:tcPr>
            <w:tcW w:type="dxa" w:w="3079"/>
          </w:tcPr>
          <w:p>
            <w:pPr>
              <w:spacing w:after="40"/>
            </w:pPr>
            <w:r>
              <w:t>The fastest route to a correct measure library</w:t>
            </w:r>
          </w:p>
        </w:tc>
        <w:tc>
          <w:tcPr>
            <w:tcW w:type="dxa" w:w="3079"/>
          </w:tcPr>
          <w:p>
            <w:pPr>
              <w:spacing w:after="40"/>
            </w:pPr>
            <w:r>
              <w:t>32</w:t>
            </w:r>
          </w:p>
        </w:tc>
        <w:tc>
          <w:tcPr>
            <w:tcW w:type="dxa" w:w="3079"/>
          </w:tcPr>
          <w:p>
            <w:pPr>
              <w:spacing w:after="40"/>
            </w:pPr>
            <w:r>
              <w:t>Important</w:t>
            </w:r>
          </w:p>
        </w:tc>
      </w:tr>
      <w:tr>
        <w:tc>
          <w:tcPr>
            <w:tcW w:type="dxa" w:w="3079"/>
          </w:tcPr>
          <w:p>
            <w:pPr>
              <w:spacing w:after="40"/>
            </w:pPr>
            <w:r>
              <w:t>B5</w:t>
            </w:r>
          </w:p>
        </w:tc>
        <w:tc>
          <w:tcPr>
            <w:tcW w:type="dxa" w:w="3079"/>
          </w:tcPr>
          <w:p>
            <w:pPr>
              <w:spacing w:after="40"/>
            </w:pPr>
            <w:r>
              <w:t>Current workspace role assignments</w:t>
            </w:r>
          </w:p>
        </w:tc>
        <w:tc>
          <w:tcPr>
            <w:tcW w:type="dxa" w:w="3079"/>
          </w:tcPr>
          <w:p>
            <w:pPr>
              <w:spacing w:after="40"/>
            </w:pPr>
            <w:r>
              <w:t>Establishes the existing access model before we narrow it</w:t>
            </w:r>
          </w:p>
        </w:tc>
        <w:tc>
          <w:tcPr>
            <w:tcW w:type="dxa" w:w="3079"/>
          </w:tcPr>
          <w:p>
            <w:pPr>
              <w:spacing w:after="40"/>
            </w:pPr>
            <w:r>
              <w:t>7, 77</w:t>
            </w:r>
          </w:p>
        </w:tc>
        <w:tc>
          <w:tcPr>
            <w:tcW w:type="dxa" w:w="3079"/>
          </w:tcPr>
          <w:p>
            <w:pPr>
              <w:spacing w:after="40"/>
            </w:pPr>
            <w:r>
              <w:t>Important</w:t>
            </w:r>
          </w:p>
        </w:tc>
      </w:tr>
      <w:tr>
        <w:tc>
          <w:tcPr>
            <w:tcW w:type="dxa" w:w="3079"/>
          </w:tcPr>
          <w:p>
            <w:pPr>
              <w:spacing w:after="40"/>
            </w:pPr>
            <w:r>
              <w:t>B6</w:t>
            </w:r>
          </w:p>
        </w:tc>
        <w:tc>
          <w:tcPr>
            <w:tcW w:type="dxa" w:w="3079"/>
          </w:tcPr>
          <w:p>
            <w:pPr>
              <w:spacing w:after="40"/>
            </w:pPr>
            <w:r>
              <w:t>Existing deployment pipelines and Git connections</w:t>
            </w:r>
          </w:p>
        </w:tc>
        <w:tc>
          <w:tcPr>
            <w:tcW w:type="dxa" w:w="3079"/>
          </w:tcPr>
          <w:p>
            <w:pPr>
              <w:spacing w:after="40"/>
            </w:pPr>
            <w:r>
              <w:t>Determines what lifecycle tooling already exists</w:t>
            </w:r>
          </w:p>
        </w:tc>
        <w:tc>
          <w:tcPr>
            <w:tcW w:type="dxa" w:w="3079"/>
          </w:tcPr>
          <w:p>
            <w:pPr>
              <w:spacing w:after="40"/>
            </w:pPr>
            <w:r>
              <w:t>75, 76</w:t>
            </w:r>
          </w:p>
        </w:tc>
        <w:tc>
          <w:tcPr>
            <w:tcW w:type="dxa" w:w="3079"/>
          </w:tcPr>
          <w:p>
            <w:pPr>
              <w:spacing w:after="40"/>
            </w:pPr>
            <w:r>
              <w:t>Useful</w:t>
            </w:r>
          </w:p>
        </w:tc>
      </w:tr>
    </w:tbl>
    <w:p/>
    <w:p>
      <w:pPr>
        <w:pStyle w:val="Heading2"/>
      </w:pPr>
      <w:r>
        <w:t>C — Source systems</w:t>
      </w:r>
    </w:p>
    <w:tbl>
      <w:tblPr>
        <w:tblStyle w:val="TableGrid"/>
        <w:tblW w:type="auto" w:w="0"/>
        <w:tblLayout w:type="autofit"/>
        <w:tblLook w:firstColumn="1" w:firstRow="1" w:lastColumn="0" w:lastRow="0" w:noHBand="0" w:noVBand="1" w:val="04A0"/>
      </w:tblPr>
      <w:tblGrid>
        <w:gridCol w:w="3079"/>
        <w:gridCol w:w="3079"/>
        <w:gridCol w:w="3079"/>
        <w:gridCol w:w="3079"/>
        <w:gridCol w:w="3079"/>
      </w:tblGrid>
      <w:tr>
        <w:tc>
          <w:tcPr>
            <w:tcW w:type="dxa" w:w="3079"/>
          </w:tcPr>
          <w:p>
            <w:pPr>
              <w:spacing w:after="40"/>
            </w:pPr>
            <w:r>
              <w:rPr>
                <w:b/>
              </w:rPr>
              <w:t>#</w:t>
            </w:r>
          </w:p>
        </w:tc>
        <w:tc>
          <w:tcPr>
            <w:tcW w:type="dxa" w:w="3079"/>
          </w:tcPr>
          <w:p>
            <w:pPr>
              <w:spacing w:after="40"/>
            </w:pPr>
            <w:r>
              <w:rPr>
                <w:b/>
              </w:rPr>
              <w:t>Artifact requested</w:t>
            </w:r>
          </w:p>
        </w:tc>
        <w:tc>
          <w:tcPr>
            <w:tcW w:type="dxa" w:w="3079"/>
          </w:tcPr>
          <w:p>
            <w:pPr>
              <w:spacing w:after="40"/>
            </w:pPr>
            <w:r>
              <w:rPr>
                <w:b/>
              </w:rPr>
              <w:t>Why it is needed</w:t>
            </w:r>
          </w:p>
        </w:tc>
        <w:tc>
          <w:tcPr>
            <w:tcW w:type="dxa" w:w="3079"/>
          </w:tcPr>
          <w:p>
            <w:pPr>
              <w:spacing w:after="40"/>
            </w:pPr>
            <w:r>
              <w:rPr>
                <w:b/>
              </w:rPr>
              <w:t>Related step</w:t>
            </w:r>
          </w:p>
        </w:tc>
        <w:tc>
          <w:tcPr>
            <w:tcW w:type="dxa" w:w="3079"/>
          </w:tcPr>
          <w:p>
            <w:pPr>
              <w:spacing w:after="40"/>
            </w:pPr>
            <w:r>
              <w:rPr>
                <w:b/>
              </w:rPr>
              <w:t>Priority</w:t>
            </w:r>
          </w:p>
        </w:tc>
      </w:tr>
      <w:tr>
        <w:tc>
          <w:tcPr>
            <w:tcW w:type="dxa" w:w="3079"/>
          </w:tcPr>
          <w:p>
            <w:pPr>
              <w:spacing w:after="40"/>
            </w:pPr>
            <w:r>
              <w:t>C1</w:t>
            </w:r>
          </w:p>
        </w:tc>
        <w:tc>
          <w:tcPr>
            <w:tcW w:type="dxa" w:w="3079"/>
          </w:tcPr>
          <w:p>
            <w:pPr>
              <w:spacing w:after="40"/>
            </w:pPr>
            <w:r>
              <w:t>Inventory of every source system: name, vendor, version, hosting, owner</w:t>
            </w:r>
          </w:p>
        </w:tc>
        <w:tc>
          <w:tcPr>
            <w:tcW w:type="dxa" w:w="3079"/>
          </w:tcPr>
          <w:p>
            <w:pPr>
              <w:spacing w:after="40"/>
            </w:pPr>
            <w:r>
              <w:t>The foundation of the entire ingestion design</w:t>
            </w:r>
          </w:p>
        </w:tc>
        <w:tc>
          <w:tcPr>
            <w:tcW w:type="dxa" w:w="3079"/>
          </w:tcPr>
          <w:p>
            <w:pPr>
              <w:spacing w:after="40"/>
            </w:pPr>
            <w:r>
              <w:t>9</w:t>
            </w:r>
          </w:p>
        </w:tc>
        <w:tc>
          <w:tcPr>
            <w:tcW w:type="dxa" w:w="3079"/>
          </w:tcPr>
          <w:p>
            <w:pPr>
              <w:spacing w:after="40"/>
            </w:pPr>
            <w:r>
              <w:t>Essential</w:t>
            </w:r>
          </w:p>
        </w:tc>
      </w:tr>
      <w:tr>
        <w:tc>
          <w:tcPr>
            <w:tcW w:type="dxa" w:w="3079"/>
          </w:tcPr>
          <w:p>
            <w:pPr>
              <w:spacing w:after="40"/>
            </w:pPr>
            <w:r>
              <w:t>C2</w:t>
            </w:r>
          </w:p>
        </w:tc>
        <w:tc>
          <w:tcPr>
            <w:tcW w:type="dxa" w:w="3079"/>
          </w:tcPr>
          <w:p>
            <w:pPr>
              <w:spacing w:after="40"/>
            </w:pPr>
            <w:r>
              <w:t>For each source, whether it is cloud-hosted or on-premises</w:t>
            </w:r>
          </w:p>
        </w:tc>
        <w:tc>
          <w:tcPr>
            <w:tcW w:type="dxa" w:w="3079"/>
          </w:tcPr>
          <w:p>
            <w:pPr>
              <w:spacing w:after="40"/>
            </w:pPr>
            <w:r>
              <w:t>Determines gateway and private-connectivity requirements</w:t>
            </w:r>
          </w:p>
        </w:tc>
        <w:tc>
          <w:tcPr>
            <w:tcW w:type="dxa" w:w="3079"/>
          </w:tcPr>
          <w:p>
            <w:pPr>
              <w:spacing w:after="40"/>
            </w:pPr>
            <w:r>
              <w:t>11, 12</w:t>
            </w:r>
          </w:p>
        </w:tc>
        <w:tc>
          <w:tcPr>
            <w:tcW w:type="dxa" w:w="3079"/>
          </w:tcPr>
          <w:p>
            <w:pPr>
              <w:spacing w:after="40"/>
            </w:pPr>
            <w:r>
              <w:t>Essential</w:t>
            </w:r>
          </w:p>
        </w:tc>
      </w:tr>
      <w:tr>
        <w:tc>
          <w:tcPr>
            <w:tcW w:type="dxa" w:w="3079"/>
          </w:tcPr>
          <w:p>
            <w:pPr>
              <w:spacing w:after="40"/>
            </w:pPr>
            <w:r>
              <w:t>C3</w:t>
            </w:r>
          </w:p>
        </w:tc>
        <w:tc>
          <w:tcPr>
            <w:tcW w:type="dxa" w:w="3079"/>
          </w:tcPr>
          <w:p>
            <w:pPr>
              <w:spacing w:after="40"/>
            </w:pPr>
            <w:r>
              <w:t>Data dictionaries, ERDs or schema exports per source</w:t>
            </w:r>
          </w:p>
        </w:tc>
        <w:tc>
          <w:tcPr>
            <w:tcW w:type="dxa" w:w="3079"/>
          </w:tcPr>
          <w:p>
            <w:pPr>
              <w:spacing w:after="40"/>
            </w:pPr>
            <w:r>
              <w:t>Enables entity standardisation without guesswork</w:t>
            </w:r>
          </w:p>
        </w:tc>
        <w:tc>
          <w:tcPr>
            <w:tcW w:type="dxa" w:w="3079"/>
          </w:tcPr>
          <w:p>
            <w:pPr>
              <w:spacing w:after="40"/>
            </w:pPr>
            <w:r>
              <w:t>21, 22</w:t>
            </w:r>
          </w:p>
        </w:tc>
        <w:tc>
          <w:tcPr>
            <w:tcW w:type="dxa" w:w="3079"/>
          </w:tcPr>
          <w:p>
            <w:pPr>
              <w:spacing w:after="40"/>
            </w:pPr>
            <w:r>
              <w:t>Essential</w:t>
            </w:r>
          </w:p>
        </w:tc>
      </w:tr>
      <w:tr>
        <w:tc>
          <w:tcPr>
            <w:tcW w:type="dxa" w:w="3079"/>
          </w:tcPr>
          <w:p>
            <w:pPr>
              <w:spacing w:after="40"/>
            </w:pPr>
            <w:r>
              <w:t>C4</w:t>
            </w:r>
          </w:p>
        </w:tc>
        <w:tc>
          <w:tcPr>
            <w:tcW w:type="dxa" w:w="3079"/>
          </w:tcPr>
          <w:p>
            <w:pPr>
              <w:spacing w:after="40"/>
            </w:pPr>
            <w:r>
              <w:t>Approximate table sizes and daily change volumes</w:t>
            </w:r>
          </w:p>
        </w:tc>
        <w:tc>
          <w:tcPr>
            <w:tcW w:type="dxa" w:w="3079"/>
          </w:tcPr>
          <w:p>
            <w:pPr>
              <w:spacing w:after="40"/>
            </w:pPr>
            <w:r>
              <w:t>Drives ingestion method and schedule selection</w:t>
            </w:r>
          </w:p>
        </w:tc>
        <w:tc>
          <w:tcPr>
            <w:tcW w:type="dxa" w:w="3079"/>
          </w:tcPr>
          <w:p>
            <w:pPr>
              <w:spacing w:after="40"/>
            </w:pPr>
            <w:r>
              <w:t>10, 17, 18</w:t>
            </w:r>
          </w:p>
        </w:tc>
        <w:tc>
          <w:tcPr>
            <w:tcW w:type="dxa" w:w="3079"/>
          </w:tcPr>
          <w:p>
            <w:pPr>
              <w:spacing w:after="40"/>
            </w:pPr>
            <w:r>
              <w:t>Important</w:t>
            </w:r>
          </w:p>
        </w:tc>
      </w:tr>
      <w:tr>
        <w:tc>
          <w:tcPr>
            <w:tcW w:type="dxa" w:w="3079"/>
          </w:tcPr>
          <w:p>
            <w:pPr>
              <w:spacing w:after="40"/>
            </w:pPr>
            <w:r>
              <w:t>C5</w:t>
            </w:r>
          </w:p>
        </w:tc>
        <w:tc>
          <w:tcPr>
            <w:tcW w:type="dxa" w:w="3079"/>
          </w:tcPr>
          <w:p>
            <w:pPr>
              <w:spacing w:after="40"/>
            </w:pPr>
            <w:r>
              <w:t>Available change-tracking mechanism per source: timestamp, key, CDC, none</w:t>
            </w:r>
          </w:p>
        </w:tc>
        <w:tc>
          <w:tcPr>
            <w:tcW w:type="dxa" w:w="3079"/>
          </w:tcPr>
          <w:p>
            <w:pPr>
              <w:spacing w:after="40"/>
            </w:pPr>
            <w:r>
              <w:t>Determines whether incremental loading is possible</w:t>
            </w:r>
          </w:p>
        </w:tc>
        <w:tc>
          <w:tcPr>
            <w:tcW w:type="dxa" w:w="3079"/>
          </w:tcPr>
          <w:p>
            <w:pPr>
              <w:spacing w:after="40"/>
            </w:pPr>
            <w:r>
              <w:t>17</w:t>
            </w:r>
          </w:p>
        </w:tc>
        <w:tc>
          <w:tcPr>
            <w:tcW w:type="dxa" w:w="3079"/>
          </w:tcPr>
          <w:p>
            <w:pPr>
              <w:spacing w:after="40"/>
            </w:pPr>
            <w:r>
              <w:t>Important</w:t>
            </w:r>
          </w:p>
        </w:tc>
      </w:tr>
      <w:tr>
        <w:tc>
          <w:tcPr>
            <w:tcW w:type="dxa" w:w="3079"/>
          </w:tcPr>
          <w:p>
            <w:pPr>
              <w:spacing w:after="40"/>
            </w:pPr>
            <w:r>
              <w:t>C6</w:t>
            </w:r>
          </w:p>
        </w:tc>
        <w:tc>
          <w:tcPr>
            <w:tcW w:type="dxa" w:w="3079"/>
          </w:tcPr>
          <w:p>
            <w:pPr>
              <w:spacing w:after="40"/>
            </w:pPr>
            <w:r>
              <w:t>Business freshness requirement per source, stated in business terms</w:t>
            </w:r>
          </w:p>
        </w:tc>
        <w:tc>
          <w:tcPr>
            <w:tcW w:type="dxa" w:w="3079"/>
          </w:tcPr>
          <w:p>
            <w:pPr>
              <w:spacing w:after="40"/>
            </w:pPr>
            <w:r>
              <w:t>Sets the schedule; "hourly" and "daily" are very different costs</w:t>
            </w:r>
          </w:p>
        </w:tc>
        <w:tc>
          <w:tcPr>
            <w:tcW w:type="dxa" w:w="3079"/>
          </w:tcPr>
          <w:p>
            <w:pPr>
              <w:spacing w:after="40"/>
            </w:pPr>
            <w:r>
              <w:t>18</w:t>
            </w:r>
          </w:p>
        </w:tc>
        <w:tc>
          <w:tcPr>
            <w:tcW w:type="dxa" w:w="3079"/>
          </w:tcPr>
          <w:p>
            <w:pPr>
              <w:spacing w:after="40"/>
            </w:pPr>
            <w:r>
              <w:t>Important</w:t>
            </w:r>
          </w:p>
        </w:tc>
      </w:tr>
      <w:tr>
        <w:tc>
          <w:tcPr>
            <w:tcW w:type="dxa" w:w="3079"/>
          </w:tcPr>
          <w:p>
            <w:pPr>
              <w:spacing w:after="40"/>
            </w:pPr>
            <w:r>
              <w:t>C7</w:t>
            </w:r>
          </w:p>
        </w:tc>
        <w:tc>
          <w:tcPr>
            <w:tcW w:type="dxa" w:w="3079"/>
          </w:tcPr>
          <w:p>
            <w:pPr>
              <w:spacing w:after="40"/>
            </w:pPr>
            <w:r>
              <w:t>Existing integration or ETL documentation, including any current tooling</w:t>
            </w:r>
          </w:p>
        </w:tc>
        <w:tc>
          <w:tcPr>
            <w:tcW w:type="dxa" w:w="3079"/>
          </w:tcPr>
          <w:p>
            <w:pPr>
              <w:spacing w:after="40"/>
            </w:pPr>
            <w:r>
              <w:t>Shows what already works and what is being replaced</w:t>
            </w:r>
          </w:p>
        </w:tc>
        <w:tc>
          <w:tcPr>
            <w:tcW w:type="dxa" w:w="3079"/>
          </w:tcPr>
          <w:p>
            <w:pPr>
              <w:spacing w:after="40"/>
            </w:pPr>
            <w:r>
              <w:t>10, 16, 23</w:t>
            </w:r>
          </w:p>
        </w:tc>
        <w:tc>
          <w:tcPr>
            <w:tcW w:type="dxa" w:w="3079"/>
          </w:tcPr>
          <w:p>
            <w:pPr>
              <w:spacing w:after="40"/>
            </w:pPr>
            <w:r>
              <w:t>Important</w:t>
            </w:r>
          </w:p>
        </w:tc>
      </w:tr>
      <w:tr>
        <w:tc>
          <w:tcPr>
            <w:tcW w:type="dxa" w:w="3079"/>
          </w:tcPr>
          <w:p>
            <w:pPr>
              <w:spacing w:after="40"/>
            </w:pPr>
            <w:r>
              <w:t>C8</w:t>
            </w:r>
          </w:p>
        </w:tc>
        <w:tc>
          <w:tcPr>
            <w:tcW w:type="dxa" w:w="3079"/>
          </w:tcPr>
          <w:p>
            <w:pPr>
              <w:spacing w:after="40"/>
            </w:pPr>
            <w:r>
              <w:t>Network topology or connectivity constraints for non-public sources</w:t>
            </w:r>
          </w:p>
        </w:tc>
        <w:tc>
          <w:tcPr>
            <w:tcW w:type="dxa" w:w="3079"/>
          </w:tcPr>
          <w:p>
            <w:pPr>
              <w:spacing w:after="40"/>
            </w:pPr>
            <w:r>
              <w:t>Needed before a connection can be attempted</w:t>
            </w:r>
          </w:p>
        </w:tc>
        <w:tc>
          <w:tcPr>
            <w:tcW w:type="dxa" w:w="3079"/>
          </w:tcPr>
          <w:p>
            <w:pPr>
              <w:spacing w:after="40"/>
            </w:pPr>
            <w:r>
              <w:t>12</w:t>
            </w:r>
          </w:p>
        </w:tc>
        <w:tc>
          <w:tcPr>
            <w:tcW w:type="dxa" w:w="3079"/>
          </w:tcPr>
          <w:p>
            <w:pPr>
              <w:spacing w:after="40"/>
            </w:pPr>
            <w:r>
              <w:t>Important</w:t>
            </w:r>
          </w:p>
        </w:tc>
      </w:tr>
      <w:tr>
        <w:tc>
          <w:tcPr>
            <w:tcW w:type="dxa" w:w="3079"/>
          </w:tcPr>
          <w:p>
            <w:pPr>
              <w:spacing w:after="40"/>
            </w:pPr>
            <w:r>
              <w:t>C9</w:t>
            </w:r>
          </w:p>
        </w:tc>
        <w:tc>
          <w:tcPr>
            <w:tcW w:type="dxa" w:w="3079"/>
          </w:tcPr>
          <w:p>
            <w:pPr>
              <w:spacing w:after="40"/>
            </w:pPr>
            <w:r>
              <w:t>Known data-quality issues, in whatever form they are currently tracked</w:t>
            </w:r>
          </w:p>
        </w:tc>
        <w:tc>
          <w:tcPr>
            <w:tcW w:type="dxa" w:w="3079"/>
          </w:tcPr>
          <w:p>
            <w:pPr>
              <w:spacing w:after="40"/>
            </w:pPr>
            <w:r>
              <w:t>Seeds the quality rule set with real, already-known problems</w:t>
            </w:r>
          </w:p>
        </w:tc>
        <w:tc>
          <w:tcPr>
            <w:tcW w:type="dxa" w:w="3079"/>
          </w:tcPr>
          <w:p>
            <w:pPr>
              <w:spacing w:after="40"/>
            </w:pPr>
            <w:r>
              <w:t>24</w:t>
            </w:r>
          </w:p>
        </w:tc>
        <w:tc>
          <w:tcPr>
            <w:tcW w:type="dxa" w:w="3079"/>
          </w:tcPr>
          <w:p>
            <w:pPr>
              <w:spacing w:after="40"/>
            </w:pPr>
            <w:r>
              <w:t>Useful</w:t>
            </w:r>
          </w:p>
        </w:tc>
      </w:tr>
    </w:tbl>
    <w:p/>
    <w:p>
      <w:pPr>
        <w:pStyle w:val="Heading2"/>
      </w:pPr>
      <w:r>
        <w:t>D — Business definitions and semantics</w:t>
      </w:r>
    </w:p>
    <w:tbl>
      <w:tblPr>
        <w:tblStyle w:val="TableGrid"/>
        <w:tblW w:type="auto" w:w="0"/>
        <w:tblLayout w:type="autofit"/>
        <w:tblLook w:firstColumn="1" w:firstRow="1" w:lastColumn="0" w:lastRow="0" w:noHBand="0" w:noVBand="1" w:val="04A0"/>
      </w:tblPr>
      <w:tblGrid>
        <w:gridCol w:w="3079"/>
        <w:gridCol w:w="3079"/>
        <w:gridCol w:w="3079"/>
        <w:gridCol w:w="3079"/>
        <w:gridCol w:w="3079"/>
      </w:tblGrid>
      <w:tr>
        <w:tc>
          <w:tcPr>
            <w:tcW w:type="dxa" w:w="3079"/>
          </w:tcPr>
          <w:p>
            <w:pPr>
              <w:spacing w:after="40"/>
            </w:pPr>
            <w:r>
              <w:rPr>
                <w:b/>
              </w:rPr>
              <w:t>#</w:t>
            </w:r>
          </w:p>
        </w:tc>
        <w:tc>
          <w:tcPr>
            <w:tcW w:type="dxa" w:w="3079"/>
          </w:tcPr>
          <w:p>
            <w:pPr>
              <w:spacing w:after="40"/>
            </w:pPr>
            <w:r>
              <w:rPr>
                <w:b/>
              </w:rPr>
              <w:t>Artifact requested</w:t>
            </w:r>
          </w:p>
        </w:tc>
        <w:tc>
          <w:tcPr>
            <w:tcW w:type="dxa" w:w="3079"/>
          </w:tcPr>
          <w:p>
            <w:pPr>
              <w:spacing w:after="40"/>
            </w:pPr>
            <w:r>
              <w:rPr>
                <w:b/>
              </w:rPr>
              <w:t>Why it is needed</w:t>
            </w:r>
          </w:p>
        </w:tc>
        <w:tc>
          <w:tcPr>
            <w:tcW w:type="dxa" w:w="3079"/>
          </w:tcPr>
          <w:p>
            <w:pPr>
              <w:spacing w:after="40"/>
            </w:pPr>
            <w:r>
              <w:rPr>
                <w:b/>
              </w:rPr>
              <w:t>Related step</w:t>
            </w:r>
          </w:p>
        </w:tc>
        <w:tc>
          <w:tcPr>
            <w:tcW w:type="dxa" w:w="3079"/>
          </w:tcPr>
          <w:p>
            <w:pPr>
              <w:spacing w:after="40"/>
            </w:pPr>
            <w:r>
              <w:rPr>
                <w:b/>
              </w:rPr>
              <w:t>Priority</w:t>
            </w:r>
          </w:p>
        </w:tc>
      </w:tr>
      <w:tr>
        <w:tc>
          <w:tcPr>
            <w:tcW w:type="dxa" w:w="3079"/>
          </w:tcPr>
          <w:p>
            <w:pPr>
              <w:spacing w:after="40"/>
            </w:pPr>
            <w:r>
              <w:t>D1</w:t>
            </w:r>
          </w:p>
        </w:tc>
        <w:tc>
          <w:tcPr>
            <w:tcW w:type="dxa" w:w="3079"/>
          </w:tcPr>
          <w:p>
            <w:pPr>
              <w:spacing w:after="40"/>
            </w:pPr>
            <w:r>
              <w:t>KPI definitions currently in use, with owners</w:t>
            </w:r>
          </w:p>
        </w:tc>
        <w:tc>
          <w:tcPr>
            <w:tcW w:type="dxa" w:w="3079"/>
          </w:tcPr>
          <w:p>
            <w:pPr>
              <w:spacing w:after="40"/>
            </w:pPr>
            <w:r>
              <w:t>These become the measure library and the glossary</w:t>
            </w:r>
          </w:p>
        </w:tc>
        <w:tc>
          <w:tcPr>
            <w:tcW w:type="dxa" w:w="3079"/>
          </w:tcPr>
          <w:p>
            <w:pPr>
              <w:spacing w:after="40"/>
            </w:pPr>
            <w:r>
              <w:t>32, 78</w:t>
            </w:r>
          </w:p>
        </w:tc>
        <w:tc>
          <w:tcPr>
            <w:tcW w:type="dxa" w:w="3079"/>
          </w:tcPr>
          <w:p>
            <w:pPr>
              <w:spacing w:after="40"/>
            </w:pPr>
            <w:r>
              <w:t>Essential</w:t>
            </w:r>
          </w:p>
        </w:tc>
      </w:tr>
      <w:tr>
        <w:tc>
          <w:tcPr>
            <w:tcW w:type="dxa" w:w="3079"/>
          </w:tcPr>
          <w:p>
            <w:pPr>
              <w:spacing w:after="40"/>
            </w:pPr>
            <w:r>
              <w:t>D2</w:t>
            </w:r>
          </w:p>
        </w:tc>
        <w:tc>
          <w:tcPr>
            <w:tcW w:type="dxa" w:w="3079"/>
          </w:tcPr>
          <w:p>
            <w:pPr>
              <w:spacing w:after="40"/>
            </w:pPr>
            <w:r>
              <w:t>Existing business glossary or data dictionary</w:t>
            </w:r>
          </w:p>
        </w:tc>
        <w:tc>
          <w:tcPr>
            <w:tcW w:type="dxa" w:w="3079"/>
          </w:tcPr>
          <w:p>
            <w:pPr>
              <w:spacing w:after="40"/>
            </w:pPr>
            <w:r>
              <w:t>Avoids re-litigating terms your business has already settled</w:t>
            </w:r>
          </w:p>
        </w:tc>
        <w:tc>
          <w:tcPr>
            <w:tcW w:type="dxa" w:w="3079"/>
          </w:tcPr>
          <w:p>
            <w:pPr>
              <w:spacing w:after="40"/>
            </w:pPr>
            <w:r>
              <w:t>78</w:t>
            </w:r>
          </w:p>
        </w:tc>
        <w:tc>
          <w:tcPr>
            <w:tcW w:type="dxa" w:w="3079"/>
          </w:tcPr>
          <w:p>
            <w:pPr>
              <w:spacing w:after="40"/>
            </w:pPr>
            <w:r>
              <w:t>Essential</w:t>
            </w:r>
          </w:p>
        </w:tc>
      </w:tr>
      <w:tr>
        <w:tc>
          <w:tcPr>
            <w:tcW w:type="dxa" w:w="3079"/>
          </w:tcPr>
          <w:p>
            <w:pPr>
              <w:spacing w:after="40"/>
            </w:pPr>
            <w:r>
              <w:t>D3</w:t>
            </w:r>
          </w:p>
        </w:tc>
        <w:tc>
          <w:tcPr>
            <w:tcW w:type="dxa" w:w="3079"/>
          </w:tcPr>
          <w:p>
            <w:pPr>
              <w:spacing w:after="40"/>
            </w:pPr>
            <w:r>
              <w:t>Definitions of contested terms — for example active learner, revenue, completion, pipeline</w:t>
            </w:r>
          </w:p>
        </w:tc>
        <w:tc>
          <w:tcPr>
            <w:tcW w:type="dxa" w:w="3079"/>
          </w:tcPr>
          <w:p>
            <w:pPr>
              <w:spacing w:after="40"/>
            </w:pPr>
            <w:r>
              <w:t>These are the terms most likely to produce a disputed AI answer</w:t>
            </w:r>
          </w:p>
        </w:tc>
        <w:tc>
          <w:tcPr>
            <w:tcW w:type="dxa" w:w="3079"/>
          </w:tcPr>
          <w:p>
            <w:pPr>
              <w:spacing w:after="40"/>
            </w:pPr>
            <w:r>
              <w:t>38</w:t>
            </w:r>
          </w:p>
        </w:tc>
        <w:tc>
          <w:tcPr>
            <w:tcW w:type="dxa" w:w="3079"/>
          </w:tcPr>
          <w:p>
            <w:pPr>
              <w:spacing w:after="40"/>
            </w:pPr>
            <w:r>
              <w:t>Essential</w:t>
            </w:r>
          </w:p>
        </w:tc>
      </w:tr>
      <w:tr>
        <w:tc>
          <w:tcPr>
            <w:tcW w:type="dxa" w:w="3079"/>
          </w:tcPr>
          <w:p>
            <w:pPr>
              <w:spacing w:after="40"/>
            </w:pPr>
            <w:r>
              <w:t>D4</w:t>
            </w:r>
          </w:p>
        </w:tc>
        <w:tc>
          <w:tcPr>
            <w:tcW w:type="dxa" w:w="3079"/>
          </w:tcPr>
          <w:p>
            <w:pPr>
              <w:spacing w:after="40"/>
            </w:pPr>
            <w:r>
              <w:t>Master lists for core entities: Customer, Learner, Product, Course, Employee, Department</w:t>
            </w:r>
          </w:p>
        </w:tc>
        <w:tc>
          <w:tcPr>
            <w:tcW w:type="dxa" w:w="3079"/>
          </w:tcPr>
          <w:p>
            <w:pPr>
              <w:spacing w:after="40"/>
            </w:pPr>
            <w:r>
              <w:t>Establishes the canonical entity shapes</w:t>
            </w:r>
          </w:p>
        </w:tc>
        <w:tc>
          <w:tcPr>
            <w:tcW w:type="dxa" w:w="3079"/>
          </w:tcPr>
          <w:p>
            <w:pPr>
              <w:spacing w:after="40"/>
            </w:pPr>
            <w:r>
              <w:t>21</w:t>
            </w:r>
          </w:p>
        </w:tc>
        <w:tc>
          <w:tcPr>
            <w:tcW w:type="dxa" w:w="3079"/>
          </w:tcPr>
          <w:p>
            <w:pPr>
              <w:spacing w:after="40"/>
            </w:pPr>
            <w:r>
              <w:t>Essential</w:t>
            </w:r>
          </w:p>
        </w:tc>
      </w:tr>
      <w:tr>
        <w:tc>
          <w:tcPr>
            <w:tcW w:type="dxa" w:w="3079"/>
          </w:tcPr>
          <w:p>
            <w:pPr>
              <w:spacing w:after="40"/>
            </w:pPr>
            <w:r>
              <w:t>D5</w:t>
            </w:r>
          </w:p>
        </w:tc>
        <w:tc>
          <w:tcPr>
            <w:tcW w:type="dxa" w:w="3079"/>
          </w:tcPr>
          <w:p>
            <w:pPr>
              <w:spacing w:after="40"/>
            </w:pPr>
            <w:r>
              <w:t>Existing management reports or board packs, redacted as needed</w:t>
            </w:r>
          </w:p>
        </w:tc>
        <w:tc>
          <w:tcPr>
            <w:tcW w:type="dxa" w:w="3079"/>
          </w:tcPr>
          <w:p>
            <w:pPr>
              <w:spacing w:after="40"/>
            </w:pPr>
            <w:r>
              <w:t>The most reliable source of the questions the assistant must answer</w:t>
            </w:r>
          </w:p>
        </w:tc>
        <w:tc>
          <w:tcPr>
            <w:tcW w:type="dxa" w:w="3079"/>
          </w:tcPr>
          <w:p>
            <w:pPr>
              <w:spacing w:after="40"/>
            </w:pPr>
            <w:r>
              <w:t>39, 49</w:t>
            </w:r>
          </w:p>
        </w:tc>
        <w:tc>
          <w:tcPr>
            <w:tcW w:type="dxa" w:w="3079"/>
          </w:tcPr>
          <w:p>
            <w:pPr>
              <w:spacing w:after="40"/>
            </w:pPr>
            <w:r>
              <w:t>Essential</w:t>
            </w:r>
          </w:p>
        </w:tc>
      </w:tr>
      <w:tr>
        <w:tc>
          <w:tcPr>
            <w:tcW w:type="dxa" w:w="3079"/>
          </w:tcPr>
          <w:p>
            <w:pPr>
              <w:spacing w:after="40"/>
            </w:pPr>
            <w:r>
              <w:t>D6</w:t>
            </w:r>
          </w:p>
        </w:tc>
        <w:tc>
          <w:tcPr>
            <w:tcW w:type="dxa" w:w="3079"/>
          </w:tcPr>
          <w:p>
            <w:pPr>
              <w:spacing w:after="40"/>
            </w:pPr>
            <w:r>
              <w:t>The vocabulary and abbreviations your business users actually use</w:t>
            </w:r>
          </w:p>
        </w:tc>
        <w:tc>
          <w:tcPr>
            <w:tcW w:type="dxa" w:w="3079"/>
          </w:tcPr>
          <w:p>
            <w:pPr>
              <w:spacing w:after="40"/>
            </w:pPr>
            <w:r>
              <w:t>Becomes the synonym set, which is the strongest driver of answer quality</w:t>
            </w:r>
          </w:p>
        </w:tc>
        <w:tc>
          <w:tcPr>
            <w:tcW w:type="dxa" w:w="3079"/>
          </w:tcPr>
          <w:p>
            <w:pPr>
              <w:spacing w:after="40"/>
            </w:pPr>
            <w:r>
              <w:t>34</w:t>
            </w:r>
          </w:p>
        </w:tc>
        <w:tc>
          <w:tcPr>
            <w:tcW w:type="dxa" w:w="3079"/>
          </w:tcPr>
          <w:p>
            <w:pPr>
              <w:spacing w:after="40"/>
            </w:pPr>
            <w:r>
              <w:t>Important</w:t>
            </w:r>
          </w:p>
        </w:tc>
      </w:tr>
      <w:tr>
        <w:tc>
          <w:tcPr>
            <w:tcW w:type="dxa" w:w="3079"/>
          </w:tcPr>
          <w:p>
            <w:pPr>
              <w:spacing w:after="40"/>
            </w:pPr>
            <w:r>
              <w:t>D7</w:t>
            </w:r>
          </w:p>
        </w:tc>
        <w:tc>
          <w:tcPr>
            <w:tcW w:type="dxa" w:w="3079"/>
          </w:tcPr>
          <w:p>
            <w:pPr>
              <w:spacing w:after="40"/>
            </w:pPr>
            <w:r>
              <w:t>Financial calendar and period definitions</w:t>
            </w:r>
          </w:p>
        </w:tc>
        <w:tc>
          <w:tcPr>
            <w:tcW w:type="dxa" w:w="3079"/>
          </w:tcPr>
          <w:p>
            <w:pPr>
              <w:spacing w:after="40"/>
            </w:pPr>
            <w:r>
              <w:t>Date logic is the most common cause of a wrong answer</w:t>
            </w:r>
          </w:p>
        </w:tc>
        <w:tc>
          <w:tcPr>
            <w:tcW w:type="dxa" w:w="3079"/>
          </w:tcPr>
          <w:p>
            <w:pPr>
              <w:spacing w:after="40"/>
            </w:pPr>
            <w:r>
              <w:t>28</w:t>
            </w:r>
          </w:p>
        </w:tc>
        <w:tc>
          <w:tcPr>
            <w:tcW w:type="dxa" w:w="3079"/>
          </w:tcPr>
          <w:p>
            <w:pPr>
              <w:spacing w:after="40"/>
            </w:pPr>
            <w:r>
              <w:t>Important</w:t>
            </w:r>
          </w:p>
        </w:tc>
      </w:tr>
    </w:tbl>
    <w:p/>
    <w:p>
      <w:pPr>
        <w:pStyle w:val="Heading2"/>
      </w:pPr>
      <w:r>
        <w:t>E — Security and governance</w:t>
      </w:r>
    </w:p>
    <w:tbl>
      <w:tblPr>
        <w:tblStyle w:val="TableGrid"/>
        <w:tblW w:type="auto" w:w="0"/>
        <w:tblLayout w:type="autofit"/>
        <w:tblLook w:firstColumn="1" w:firstRow="1" w:lastColumn="0" w:lastRow="0" w:noHBand="0" w:noVBand="1" w:val="04A0"/>
      </w:tblPr>
      <w:tblGrid>
        <w:gridCol w:w="3079"/>
        <w:gridCol w:w="3079"/>
        <w:gridCol w:w="3079"/>
        <w:gridCol w:w="3079"/>
        <w:gridCol w:w="3079"/>
      </w:tblGrid>
      <w:tr>
        <w:tc>
          <w:tcPr>
            <w:tcW w:type="dxa" w:w="3079"/>
          </w:tcPr>
          <w:p>
            <w:pPr>
              <w:spacing w:after="40"/>
            </w:pPr>
            <w:r>
              <w:rPr>
                <w:b/>
              </w:rPr>
              <w:t>#</w:t>
            </w:r>
          </w:p>
        </w:tc>
        <w:tc>
          <w:tcPr>
            <w:tcW w:type="dxa" w:w="3079"/>
          </w:tcPr>
          <w:p>
            <w:pPr>
              <w:spacing w:after="40"/>
            </w:pPr>
            <w:r>
              <w:rPr>
                <w:b/>
              </w:rPr>
              <w:t>Artifact requested</w:t>
            </w:r>
          </w:p>
        </w:tc>
        <w:tc>
          <w:tcPr>
            <w:tcW w:type="dxa" w:w="3079"/>
          </w:tcPr>
          <w:p>
            <w:pPr>
              <w:spacing w:after="40"/>
            </w:pPr>
            <w:r>
              <w:rPr>
                <w:b/>
              </w:rPr>
              <w:t>Why it is needed</w:t>
            </w:r>
          </w:p>
        </w:tc>
        <w:tc>
          <w:tcPr>
            <w:tcW w:type="dxa" w:w="3079"/>
          </w:tcPr>
          <w:p>
            <w:pPr>
              <w:spacing w:after="40"/>
            </w:pPr>
            <w:r>
              <w:rPr>
                <w:b/>
              </w:rPr>
              <w:t>Related step</w:t>
            </w:r>
          </w:p>
        </w:tc>
        <w:tc>
          <w:tcPr>
            <w:tcW w:type="dxa" w:w="3079"/>
          </w:tcPr>
          <w:p>
            <w:pPr>
              <w:spacing w:after="40"/>
            </w:pPr>
            <w:r>
              <w:rPr>
                <w:b/>
              </w:rPr>
              <w:t>Priority</w:t>
            </w:r>
          </w:p>
        </w:tc>
      </w:tr>
      <w:tr>
        <w:tc>
          <w:tcPr>
            <w:tcW w:type="dxa" w:w="3079"/>
          </w:tcPr>
          <w:p>
            <w:pPr>
              <w:spacing w:after="40"/>
            </w:pPr>
            <w:r>
              <w:t>E1</w:t>
            </w:r>
          </w:p>
        </w:tc>
        <w:tc>
          <w:tcPr>
            <w:tcW w:type="dxa" w:w="3079"/>
          </w:tcPr>
          <w:p>
            <w:pPr>
              <w:spacing w:after="40"/>
            </w:pPr>
            <w:r>
              <w:t>Current data-access policy: who may see which companies, departments, regions, learners or customers</w:t>
            </w:r>
          </w:p>
        </w:tc>
        <w:tc>
          <w:tcPr>
            <w:tcW w:type="dxa" w:w="3079"/>
          </w:tcPr>
          <w:p>
            <w:pPr>
              <w:spacing w:after="40"/>
            </w:pPr>
            <w:r>
              <w:t>Becomes the row-level security design</w:t>
            </w:r>
          </w:p>
        </w:tc>
        <w:tc>
          <w:tcPr>
            <w:tcW w:type="dxa" w:w="3079"/>
          </w:tcPr>
          <w:p>
            <w:pPr>
              <w:spacing w:after="40"/>
            </w:pPr>
            <w:r>
              <w:t>35</w:t>
            </w:r>
          </w:p>
        </w:tc>
        <w:tc>
          <w:tcPr>
            <w:tcW w:type="dxa" w:w="3079"/>
          </w:tcPr>
          <w:p>
            <w:pPr>
              <w:spacing w:after="40"/>
            </w:pPr>
            <w:r>
              <w:t>Essential</w:t>
            </w:r>
          </w:p>
        </w:tc>
      </w:tr>
      <w:tr>
        <w:tc>
          <w:tcPr>
            <w:tcW w:type="dxa" w:w="3079"/>
          </w:tcPr>
          <w:p>
            <w:pPr>
              <w:spacing w:after="40"/>
            </w:pPr>
            <w:r>
              <w:t>E2</w:t>
            </w:r>
          </w:p>
        </w:tc>
        <w:tc>
          <w:tcPr>
            <w:tcW w:type="dxa" w:w="3079"/>
          </w:tcPr>
          <w:p>
            <w:pPr>
              <w:spacing w:after="40"/>
            </w:pPr>
            <w:r>
              <w:t>List of sensitive or restricted columns and fields</w:t>
            </w:r>
          </w:p>
        </w:tc>
        <w:tc>
          <w:tcPr>
            <w:tcW w:type="dxa" w:w="3079"/>
          </w:tcPr>
          <w:p>
            <w:pPr>
              <w:spacing w:after="40"/>
            </w:pPr>
            <w:r>
              <w:t>Becomes the column-level security design</w:t>
            </w:r>
          </w:p>
        </w:tc>
        <w:tc>
          <w:tcPr>
            <w:tcW w:type="dxa" w:w="3079"/>
          </w:tcPr>
          <w:p>
            <w:pPr>
              <w:spacing w:after="40"/>
            </w:pPr>
            <w:r>
              <w:t>36</w:t>
            </w:r>
          </w:p>
        </w:tc>
        <w:tc>
          <w:tcPr>
            <w:tcW w:type="dxa" w:w="3079"/>
          </w:tcPr>
          <w:p>
            <w:pPr>
              <w:spacing w:after="40"/>
            </w:pPr>
            <w:r>
              <w:t>Essential</w:t>
            </w:r>
          </w:p>
        </w:tc>
      </w:tr>
      <w:tr>
        <w:tc>
          <w:tcPr>
            <w:tcW w:type="dxa" w:w="3079"/>
          </w:tcPr>
          <w:p>
            <w:pPr>
              <w:spacing w:after="40"/>
            </w:pPr>
            <w:r>
              <w:t>E3</w:t>
            </w:r>
          </w:p>
        </w:tc>
        <w:tc>
          <w:tcPr>
            <w:tcW w:type="dxa" w:w="3079"/>
          </w:tcPr>
          <w:p>
            <w:pPr>
              <w:spacing w:after="40"/>
            </w:pPr>
            <w:r>
              <w:t>Entra ID security groups intended for data access</w:t>
            </w:r>
          </w:p>
        </w:tc>
        <w:tc>
          <w:tcPr>
            <w:tcW w:type="dxa" w:w="3079"/>
          </w:tcPr>
          <w:p>
            <w:pPr>
              <w:spacing w:after="40"/>
            </w:pPr>
            <w:r>
              <w:t>Grants are made to groups, not individuals, wherever possible</w:t>
            </w:r>
          </w:p>
        </w:tc>
        <w:tc>
          <w:tcPr>
            <w:tcW w:type="dxa" w:w="3079"/>
          </w:tcPr>
          <w:p>
            <w:pPr>
              <w:spacing w:after="40"/>
            </w:pPr>
            <w:r>
              <w:t>53, 71</w:t>
            </w:r>
          </w:p>
        </w:tc>
        <w:tc>
          <w:tcPr>
            <w:tcW w:type="dxa" w:w="3079"/>
          </w:tcPr>
          <w:p>
            <w:pPr>
              <w:spacing w:after="40"/>
            </w:pPr>
            <w:r>
              <w:t>Essential</w:t>
            </w:r>
          </w:p>
        </w:tc>
      </w:tr>
      <w:tr>
        <w:tc>
          <w:tcPr>
            <w:tcW w:type="dxa" w:w="3079"/>
          </w:tcPr>
          <w:p>
            <w:pPr>
              <w:spacing w:after="40"/>
            </w:pPr>
            <w:r>
              <w:t>E4</w:t>
            </w:r>
          </w:p>
        </w:tc>
        <w:tc>
          <w:tcPr>
            <w:tcW w:type="dxa" w:w="3079"/>
          </w:tcPr>
          <w:p>
            <w:pPr>
              <w:spacing w:after="40"/>
            </w:pPr>
            <w:r>
              <w:t>Sensitivity-label taxonomy, if one is in use</w:t>
            </w:r>
          </w:p>
        </w:tc>
        <w:tc>
          <w:tcPr>
            <w:tcW w:type="dxa" w:w="3079"/>
          </w:tcPr>
          <w:p>
            <w:pPr>
              <w:spacing w:after="40"/>
            </w:pPr>
            <w:r>
              <w:t>Applied during governance configuration</w:t>
            </w:r>
          </w:p>
        </w:tc>
        <w:tc>
          <w:tcPr>
            <w:tcW w:type="dxa" w:w="3079"/>
          </w:tcPr>
          <w:p>
            <w:pPr>
              <w:spacing w:after="40"/>
            </w:pPr>
            <w:r>
              <w:t>77</w:t>
            </w:r>
          </w:p>
        </w:tc>
        <w:tc>
          <w:tcPr>
            <w:tcW w:type="dxa" w:w="3079"/>
          </w:tcPr>
          <w:p>
            <w:pPr>
              <w:spacing w:after="40"/>
            </w:pPr>
            <w:r>
              <w:t>Important</w:t>
            </w:r>
          </w:p>
        </w:tc>
      </w:tr>
      <w:tr>
        <w:tc>
          <w:tcPr>
            <w:tcW w:type="dxa" w:w="3079"/>
          </w:tcPr>
          <w:p>
            <w:pPr>
              <w:spacing w:after="40"/>
            </w:pPr>
            <w:r>
              <w:t>E5</w:t>
            </w:r>
          </w:p>
        </w:tc>
        <w:tc>
          <w:tcPr>
            <w:tcW w:type="dxa" w:w="3079"/>
          </w:tcPr>
          <w:p>
            <w:pPr>
              <w:spacing w:after="40"/>
            </w:pPr>
            <w:r>
              <w:t>Applicable regulatory or internal compliance obligations</w:t>
            </w:r>
          </w:p>
        </w:tc>
        <w:tc>
          <w:tcPr>
            <w:tcW w:type="dxa" w:w="3079"/>
          </w:tcPr>
          <w:p>
            <w:pPr>
              <w:spacing w:after="40"/>
            </w:pPr>
            <w:r>
              <w:t>Shapes governance, residency and audit requirements</w:t>
            </w:r>
          </w:p>
        </w:tc>
        <w:tc>
          <w:tcPr>
            <w:tcW w:type="dxa" w:w="3079"/>
          </w:tcPr>
          <w:p>
            <w:pPr>
              <w:spacing w:after="40"/>
            </w:pPr>
            <w:r>
              <w:t>77</w:t>
            </w:r>
          </w:p>
        </w:tc>
        <w:tc>
          <w:tcPr>
            <w:tcW w:type="dxa" w:w="3079"/>
          </w:tcPr>
          <w:p>
            <w:pPr>
              <w:spacing w:after="40"/>
            </w:pPr>
            <w:r>
              <w:t>Important</w:t>
            </w:r>
          </w:p>
        </w:tc>
      </w:tr>
      <w:tr>
        <w:tc>
          <w:tcPr>
            <w:tcW w:type="dxa" w:w="3079"/>
          </w:tcPr>
          <w:p>
            <w:pPr>
              <w:spacing w:after="40"/>
            </w:pPr>
            <w:r>
              <w:t>E6</w:t>
            </w:r>
          </w:p>
        </w:tc>
        <w:tc>
          <w:tcPr>
            <w:tcW w:type="dxa" w:w="3079"/>
          </w:tcPr>
          <w:p>
            <w:pPr>
              <w:spacing w:after="40"/>
            </w:pPr>
            <w:r>
              <w:t>Existing change-management or approval process for data and reporting</w:t>
            </w:r>
          </w:p>
        </w:tc>
        <w:tc>
          <w:tcPr>
            <w:tcW w:type="dxa" w:w="3079"/>
          </w:tcPr>
          <w:p>
            <w:pPr>
              <w:spacing w:after="40"/>
            </w:pPr>
            <w:r>
              <w:t>The AI change process should extend this, not compete with it</w:t>
            </w:r>
          </w:p>
        </w:tc>
        <w:tc>
          <w:tcPr>
            <w:tcW w:type="dxa" w:w="3079"/>
          </w:tcPr>
          <w:p>
            <w:pPr>
              <w:spacing w:after="40"/>
            </w:pPr>
            <w:r>
              <w:t>79</w:t>
            </w:r>
          </w:p>
        </w:tc>
        <w:tc>
          <w:tcPr>
            <w:tcW w:type="dxa" w:w="3079"/>
          </w:tcPr>
          <w:p>
            <w:pPr>
              <w:spacing w:after="40"/>
            </w:pPr>
            <w:r>
              <w:t>Important</w:t>
            </w:r>
          </w:p>
        </w:tc>
      </w:tr>
      <w:tr>
        <w:tc>
          <w:tcPr>
            <w:tcW w:type="dxa" w:w="3079"/>
          </w:tcPr>
          <w:p>
            <w:pPr>
              <w:spacing w:after="40"/>
            </w:pPr>
            <w:r>
              <w:t>E7</w:t>
            </w:r>
          </w:p>
        </w:tc>
        <w:tc>
          <w:tcPr>
            <w:tcW w:type="dxa" w:w="3079"/>
          </w:tcPr>
          <w:p>
            <w:pPr>
              <w:spacing w:after="40"/>
            </w:pPr>
            <w:r>
              <w:t>Named approvers for go-live sign-off across data, security and business</w:t>
            </w:r>
          </w:p>
        </w:tc>
        <w:tc>
          <w:tcPr>
            <w:tcW w:type="dxa" w:w="3079"/>
          </w:tcPr>
          <w:p>
            <w:pPr>
              <w:spacing w:after="40"/>
            </w:pPr>
            <w:r>
              <w:t>Step 80 cannot complete without named approvers</w:t>
            </w:r>
          </w:p>
        </w:tc>
        <w:tc>
          <w:tcPr>
            <w:tcW w:type="dxa" w:w="3079"/>
          </w:tcPr>
          <w:p>
            <w:pPr>
              <w:spacing w:after="40"/>
            </w:pPr>
            <w:r>
              <w:t>80</w:t>
            </w:r>
          </w:p>
        </w:tc>
        <w:tc>
          <w:tcPr>
            <w:tcW w:type="dxa" w:w="3079"/>
          </w:tcPr>
          <w:p>
            <w:pPr>
              <w:spacing w:after="40"/>
            </w:pPr>
            <w:r>
              <w:t>Important</w:t>
            </w:r>
          </w:p>
        </w:tc>
      </w:tr>
    </w:tbl>
    <w:p/>
    <w:p>
      <w:pPr>
        <w:pStyle w:val="Heading2"/>
      </w:pPr>
      <w:r>
        <w:t>F — Users and consumption</w:t>
      </w:r>
    </w:p>
    <w:tbl>
      <w:tblPr>
        <w:tblStyle w:val="TableGrid"/>
        <w:tblW w:type="auto" w:w="0"/>
        <w:tblLayout w:type="autofit"/>
        <w:tblLook w:firstColumn="1" w:firstRow="1" w:lastColumn="0" w:lastRow="0" w:noHBand="0" w:noVBand="1" w:val="04A0"/>
      </w:tblPr>
      <w:tblGrid>
        <w:gridCol w:w="3079"/>
        <w:gridCol w:w="3079"/>
        <w:gridCol w:w="3079"/>
        <w:gridCol w:w="3079"/>
        <w:gridCol w:w="3079"/>
      </w:tblGrid>
      <w:tr>
        <w:tc>
          <w:tcPr>
            <w:tcW w:type="dxa" w:w="3079"/>
          </w:tcPr>
          <w:p>
            <w:pPr>
              <w:spacing w:after="40"/>
            </w:pPr>
            <w:r>
              <w:rPr>
                <w:b/>
              </w:rPr>
              <w:t>#</w:t>
            </w:r>
          </w:p>
        </w:tc>
        <w:tc>
          <w:tcPr>
            <w:tcW w:type="dxa" w:w="3079"/>
          </w:tcPr>
          <w:p>
            <w:pPr>
              <w:spacing w:after="40"/>
            </w:pPr>
            <w:r>
              <w:rPr>
                <w:b/>
              </w:rPr>
              <w:t>Artifact requested</w:t>
            </w:r>
          </w:p>
        </w:tc>
        <w:tc>
          <w:tcPr>
            <w:tcW w:type="dxa" w:w="3079"/>
          </w:tcPr>
          <w:p>
            <w:pPr>
              <w:spacing w:after="40"/>
            </w:pPr>
            <w:r>
              <w:rPr>
                <w:b/>
              </w:rPr>
              <w:t>Why it is needed</w:t>
            </w:r>
          </w:p>
        </w:tc>
        <w:tc>
          <w:tcPr>
            <w:tcW w:type="dxa" w:w="3079"/>
          </w:tcPr>
          <w:p>
            <w:pPr>
              <w:spacing w:after="40"/>
            </w:pPr>
            <w:r>
              <w:rPr>
                <w:b/>
              </w:rPr>
              <w:t>Related step</w:t>
            </w:r>
          </w:p>
        </w:tc>
        <w:tc>
          <w:tcPr>
            <w:tcW w:type="dxa" w:w="3079"/>
          </w:tcPr>
          <w:p>
            <w:pPr>
              <w:spacing w:after="40"/>
            </w:pPr>
            <w:r>
              <w:rPr>
                <w:b/>
              </w:rPr>
              <w:t>Priority</w:t>
            </w:r>
          </w:p>
        </w:tc>
      </w:tr>
      <w:tr>
        <w:tc>
          <w:tcPr>
            <w:tcW w:type="dxa" w:w="3079"/>
          </w:tcPr>
          <w:p>
            <w:pPr>
              <w:spacing w:after="40"/>
            </w:pPr>
            <w:r>
              <w:t>F1</w:t>
            </w:r>
          </w:p>
        </w:tc>
        <w:tc>
          <w:tcPr>
            <w:tcW w:type="dxa" w:w="3079"/>
          </w:tcPr>
          <w:p>
            <w:pPr>
              <w:spacing w:after="40"/>
            </w:pPr>
            <w:r>
              <w:t>Intended user population with role and approximate count</w:t>
            </w:r>
          </w:p>
        </w:tc>
        <w:tc>
          <w:tcPr>
            <w:tcW w:type="dxa" w:w="3079"/>
          </w:tcPr>
          <w:p>
            <w:pPr>
              <w:spacing w:after="40"/>
            </w:pPr>
            <w:r>
              <w:t>Sizes the access model and the capacity requirement</w:t>
            </w:r>
          </w:p>
        </w:tc>
        <w:tc>
          <w:tcPr>
            <w:tcW w:type="dxa" w:w="3079"/>
          </w:tcPr>
          <w:p>
            <w:pPr>
              <w:spacing w:after="40"/>
            </w:pPr>
            <w:r>
              <w:t>53, 71</w:t>
            </w:r>
          </w:p>
        </w:tc>
        <w:tc>
          <w:tcPr>
            <w:tcW w:type="dxa" w:w="3079"/>
          </w:tcPr>
          <w:p>
            <w:pPr>
              <w:spacing w:after="40"/>
            </w:pPr>
            <w:r>
              <w:t>Essential</w:t>
            </w:r>
          </w:p>
        </w:tc>
      </w:tr>
      <w:tr>
        <w:tc>
          <w:tcPr>
            <w:tcW w:type="dxa" w:w="3079"/>
          </w:tcPr>
          <w:p>
            <w:pPr>
              <w:spacing w:after="40"/>
            </w:pPr>
            <w:r>
              <w:t>F2</w:t>
            </w:r>
          </w:p>
        </w:tc>
        <w:tc>
          <w:tcPr>
            <w:tcW w:type="dxa" w:w="3079"/>
          </w:tcPr>
          <w:p>
            <w:pPr>
              <w:spacing w:after="40"/>
            </w:pPr>
            <w:r>
              <w:t>Intended consumption channels: Teams, web portal, other</w:t>
            </w:r>
          </w:p>
        </w:tc>
        <w:tc>
          <w:tcPr>
            <w:tcW w:type="dxa" w:w="3079"/>
          </w:tcPr>
          <w:p>
            <w:pPr>
              <w:spacing w:after="40"/>
            </w:pPr>
            <w:r>
              <w:t>Determines channel configuration</w:t>
            </w:r>
          </w:p>
        </w:tc>
        <w:tc>
          <w:tcPr>
            <w:tcW w:type="dxa" w:w="3079"/>
          </w:tcPr>
          <w:p>
            <w:pPr>
              <w:spacing w:after="40"/>
            </w:pPr>
            <w:r>
              <w:t>69, 70</w:t>
            </w:r>
          </w:p>
        </w:tc>
        <w:tc>
          <w:tcPr>
            <w:tcW w:type="dxa" w:w="3079"/>
          </w:tcPr>
          <w:p>
            <w:pPr>
              <w:spacing w:after="40"/>
            </w:pPr>
            <w:r>
              <w:t>Essential</w:t>
            </w:r>
          </w:p>
        </w:tc>
      </w:tr>
      <w:tr>
        <w:tc>
          <w:tcPr>
            <w:tcW w:type="dxa" w:w="3079"/>
          </w:tcPr>
          <w:p>
            <w:pPr>
              <w:spacing w:after="40"/>
            </w:pPr>
            <w:r>
              <w:t>F3</w:t>
            </w:r>
          </w:p>
        </w:tc>
        <w:tc>
          <w:tcPr>
            <w:tcW w:type="dxa" w:w="3079"/>
          </w:tcPr>
          <w:p>
            <w:pPr>
              <w:spacing w:after="40"/>
            </w:pPr>
            <w:r>
              <w:t>20 to 30 real questions the business wants to ask, in the users' own words</w:t>
            </w:r>
          </w:p>
        </w:tc>
        <w:tc>
          <w:tcPr>
            <w:tcW w:type="dxa" w:w="3079"/>
          </w:tcPr>
          <w:p>
            <w:pPr>
              <w:spacing w:after="40"/>
            </w:pPr>
            <w:r>
              <w:t>The single most valuable artifact in this request — it becomes the ground-truth bank</w:t>
            </w:r>
          </w:p>
        </w:tc>
        <w:tc>
          <w:tcPr>
            <w:tcW w:type="dxa" w:w="3079"/>
          </w:tcPr>
          <w:p>
            <w:pPr>
              <w:spacing w:after="40"/>
            </w:pPr>
            <w:r>
              <w:t>46, 49</w:t>
            </w:r>
          </w:p>
        </w:tc>
        <w:tc>
          <w:tcPr>
            <w:tcW w:type="dxa" w:w="3079"/>
          </w:tcPr>
          <w:p>
            <w:pPr>
              <w:spacing w:after="40"/>
            </w:pPr>
            <w:r>
              <w:t>Essential</w:t>
            </w:r>
          </w:p>
        </w:tc>
      </w:tr>
      <w:tr>
        <w:tc>
          <w:tcPr>
            <w:tcW w:type="dxa" w:w="3079"/>
          </w:tcPr>
          <w:p>
            <w:pPr>
              <w:spacing w:after="40"/>
            </w:pPr>
            <w:r>
              <w:t>F4</w:t>
            </w:r>
          </w:p>
        </w:tc>
        <w:tc>
          <w:tcPr>
            <w:tcW w:type="dxa" w:w="3079"/>
          </w:tcPr>
          <w:p>
            <w:pPr>
              <w:spacing w:after="40"/>
            </w:pPr>
            <w:r>
              <w:t>Named test users, one per security role, available for validation</w:t>
            </w:r>
          </w:p>
        </w:tc>
        <w:tc>
          <w:tcPr>
            <w:tcW w:type="dxa" w:w="3079"/>
          </w:tcPr>
          <w:p>
            <w:pPr>
              <w:spacing w:after="40"/>
            </w:pPr>
            <w:r>
              <w:t>Steps 51 and 67 require testing as real users, not administrators</w:t>
            </w:r>
          </w:p>
        </w:tc>
        <w:tc>
          <w:tcPr>
            <w:tcW w:type="dxa" w:w="3079"/>
          </w:tcPr>
          <w:p>
            <w:pPr>
              <w:spacing w:after="40"/>
            </w:pPr>
            <w:r>
              <w:t>51, 67</w:t>
            </w:r>
          </w:p>
        </w:tc>
        <w:tc>
          <w:tcPr>
            <w:tcW w:type="dxa" w:w="3079"/>
          </w:tcPr>
          <w:p>
            <w:pPr>
              <w:spacing w:after="40"/>
            </w:pPr>
            <w:r>
              <w:t>Essential</w:t>
            </w:r>
          </w:p>
        </w:tc>
      </w:tr>
      <w:tr>
        <w:tc>
          <w:tcPr>
            <w:tcW w:type="dxa" w:w="3079"/>
          </w:tcPr>
          <w:p>
            <w:pPr>
              <w:spacing w:after="40"/>
            </w:pPr>
            <w:r>
              <w:t>F5</w:t>
            </w:r>
          </w:p>
        </w:tc>
        <w:tc>
          <w:tcPr>
            <w:tcW w:type="dxa" w:w="3079"/>
          </w:tcPr>
          <w:p>
            <w:pPr>
              <w:spacing w:after="40"/>
            </w:pPr>
            <w:r>
              <w:t>Any existing chatbot or assistant already in use</w:t>
            </w:r>
          </w:p>
        </w:tc>
        <w:tc>
          <w:tcPr>
            <w:tcW w:type="dxa" w:w="3079"/>
          </w:tcPr>
          <w:p>
            <w:pPr>
              <w:spacing w:after="40"/>
            </w:pPr>
            <w:r>
              <w:t>Avoids overlap and clarifies routing boundaries</w:t>
            </w:r>
          </w:p>
        </w:tc>
        <w:tc>
          <w:tcPr>
            <w:tcW w:type="dxa" w:w="3079"/>
          </w:tcPr>
          <w:p>
            <w:pPr>
              <w:spacing w:after="40"/>
            </w:pPr>
            <w:r>
              <w:t>60, 62</w:t>
            </w:r>
          </w:p>
        </w:tc>
        <w:tc>
          <w:tcPr>
            <w:tcW w:type="dxa" w:w="3079"/>
          </w:tcPr>
          <w:p>
            <w:pPr>
              <w:spacing w:after="40"/>
            </w:pPr>
            <w:r>
              <w:t>Useful</w:t>
            </w:r>
          </w:p>
        </w:tc>
      </w:tr>
    </w:tbl>
    <w:p/>
    <w:p>
      <w:pPr>
        <w:pStyle w:val="Heading2"/>
      </w:pPr>
      <w:r>
        <w:t>G — Operations</w:t>
      </w:r>
    </w:p>
    <w:tbl>
      <w:tblPr>
        <w:tblStyle w:val="TableGrid"/>
        <w:tblW w:type="auto" w:w="0"/>
        <w:tblLayout w:type="autofit"/>
        <w:tblLook w:firstColumn="1" w:firstRow="1" w:lastColumn="0" w:lastRow="0" w:noHBand="0" w:noVBand="1" w:val="04A0"/>
      </w:tblPr>
      <w:tblGrid>
        <w:gridCol w:w="3079"/>
        <w:gridCol w:w="3079"/>
        <w:gridCol w:w="3079"/>
        <w:gridCol w:w="3079"/>
        <w:gridCol w:w="3079"/>
      </w:tblGrid>
      <w:tr>
        <w:tc>
          <w:tcPr>
            <w:tcW w:type="dxa" w:w="3079"/>
          </w:tcPr>
          <w:p>
            <w:pPr>
              <w:spacing w:after="40"/>
            </w:pPr>
            <w:r>
              <w:rPr>
                <w:b/>
              </w:rPr>
              <w:t>#</w:t>
            </w:r>
          </w:p>
        </w:tc>
        <w:tc>
          <w:tcPr>
            <w:tcW w:type="dxa" w:w="3079"/>
          </w:tcPr>
          <w:p>
            <w:pPr>
              <w:spacing w:after="40"/>
            </w:pPr>
            <w:r>
              <w:rPr>
                <w:b/>
              </w:rPr>
              <w:t>Artifact requested</w:t>
            </w:r>
          </w:p>
        </w:tc>
        <w:tc>
          <w:tcPr>
            <w:tcW w:type="dxa" w:w="3079"/>
          </w:tcPr>
          <w:p>
            <w:pPr>
              <w:spacing w:after="40"/>
            </w:pPr>
            <w:r>
              <w:rPr>
                <w:b/>
              </w:rPr>
              <w:t>Why it is needed</w:t>
            </w:r>
          </w:p>
        </w:tc>
        <w:tc>
          <w:tcPr>
            <w:tcW w:type="dxa" w:w="3079"/>
          </w:tcPr>
          <w:p>
            <w:pPr>
              <w:spacing w:after="40"/>
            </w:pPr>
            <w:r>
              <w:rPr>
                <w:b/>
              </w:rPr>
              <w:t>Related step</w:t>
            </w:r>
          </w:p>
        </w:tc>
        <w:tc>
          <w:tcPr>
            <w:tcW w:type="dxa" w:w="3079"/>
          </w:tcPr>
          <w:p>
            <w:pPr>
              <w:spacing w:after="40"/>
            </w:pPr>
            <w:r>
              <w:rPr>
                <w:b/>
              </w:rPr>
              <w:t>Priority</w:t>
            </w:r>
          </w:p>
        </w:tc>
      </w:tr>
      <w:tr>
        <w:tc>
          <w:tcPr>
            <w:tcW w:type="dxa" w:w="3079"/>
          </w:tcPr>
          <w:p>
            <w:pPr>
              <w:spacing w:after="40"/>
            </w:pPr>
            <w:r>
              <w:t>G1</w:t>
            </w:r>
          </w:p>
        </w:tc>
        <w:tc>
          <w:tcPr>
            <w:tcW w:type="dxa" w:w="3079"/>
          </w:tcPr>
          <w:p>
            <w:pPr>
              <w:spacing w:after="40"/>
            </w:pPr>
            <w:r>
              <w:t>Existing monitoring and alerting arrangements, and who receives alerts</w:t>
            </w:r>
          </w:p>
        </w:tc>
        <w:tc>
          <w:tcPr>
            <w:tcW w:type="dxa" w:w="3079"/>
          </w:tcPr>
          <w:p>
            <w:pPr>
              <w:spacing w:after="40"/>
            </w:pPr>
            <w:r>
              <w:t>Pipeline and capacity alerts should reach the people already on call</w:t>
            </w:r>
          </w:p>
        </w:tc>
        <w:tc>
          <w:tcPr>
            <w:tcW w:type="dxa" w:w="3079"/>
          </w:tcPr>
          <w:p>
            <w:pPr>
              <w:spacing w:after="40"/>
            </w:pPr>
            <w:r>
              <w:t>19, 72, 73</w:t>
            </w:r>
          </w:p>
        </w:tc>
        <w:tc>
          <w:tcPr>
            <w:tcW w:type="dxa" w:w="3079"/>
          </w:tcPr>
          <w:p>
            <w:pPr>
              <w:spacing w:after="40"/>
            </w:pPr>
            <w:r>
              <w:t>Important</w:t>
            </w:r>
          </w:p>
        </w:tc>
      </w:tr>
      <w:tr>
        <w:tc>
          <w:tcPr>
            <w:tcW w:type="dxa" w:w="3079"/>
          </w:tcPr>
          <w:p>
            <w:pPr>
              <w:spacing w:after="40"/>
            </w:pPr>
            <w:r>
              <w:t>G2</w:t>
            </w:r>
          </w:p>
        </w:tc>
        <w:tc>
          <w:tcPr>
            <w:tcW w:type="dxa" w:w="3079"/>
          </w:tcPr>
          <w:p>
            <w:pPr>
              <w:spacing w:after="40"/>
            </w:pPr>
            <w:r>
              <w:t>Support and escalation model for data issues</w:t>
            </w:r>
          </w:p>
        </w:tc>
        <w:tc>
          <w:tcPr>
            <w:tcW w:type="dxa" w:w="3079"/>
          </w:tcPr>
          <w:p>
            <w:pPr>
              <w:spacing w:after="40"/>
            </w:pPr>
            <w:r>
              <w:t>Determines who owns a failed load after go-live</w:t>
            </w:r>
          </w:p>
        </w:tc>
        <w:tc>
          <w:tcPr>
            <w:tcW w:type="dxa" w:w="3079"/>
          </w:tcPr>
          <w:p>
            <w:pPr>
              <w:spacing w:after="40"/>
            </w:pPr>
            <w:r>
              <w:t>19, 73</w:t>
            </w:r>
          </w:p>
        </w:tc>
        <w:tc>
          <w:tcPr>
            <w:tcW w:type="dxa" w:w="3079"/>
          </w:tcPr>
          <w:p>
            <w:pPr>
              <w:spacing w:after="40"/>
            </w:pPr>
            <w:r>
              <w:t>Important</w:t>
            </w:r>
          </w:p>
        </w:tc>
      </w:tr>
      <w:tr>
        <w:tc>
          <w:tcPr>
            <w:tcW w:type="dxa" w:w="3079"/>
          </w:tcPr>
          <w:p>
            <w:pPr>
              <w:spacing w:after="40"/>
            </w:pPr>
            <w:r>
              <w:t>G3</w:t>
            </w:r>
          </w:p>
        </w:tc>
        <w:tc>
          <w:tcPr>
            <w:tcW w:type="dxa" w:w="3079"/>
          </w:tcPr>
          <w:p>
            <w:pPr>
              <w:spacing w:after="40"/>
            </w:pPr>
            <w:r>
              <w:t>Maintenance windows and change-freeze periods</w:t>
            </w:r>
          </w:p>
        </w:tc>
        <w:tc>
          <w:tcPr>
            <w:tcW w:type="dxa" w:w="3079"/>
          </w:tcPr>
          <w:p>
            <w:pPr>
              <w:spacing w:after="40"/>
            </w:pPr>
            <w:r>
              <w:t>Constrains scheduling and promotion</w:t>
            </w:r>
          </w:p>
        </w:tc>
        <w:tc>
          <w:tcPr>
            <w:tcW w:type="dxa" w:w="3079"/>
          </w:tcPr>
          <w:p>
            <w:pPr>
              <w:spacing w:after="40"/>
            </w:pPr>
            <w:r>
              <w:t>18, 76</w:t>
            </w:r>
          </w:p>
        </w:tc>
        <w:tc>
          <w:tcPr>
            <w:tcW w:type="dxa" w:w="3079"/>
          </w:tcPr>
          <w:p>
            <w:pPr>
              <w:spacing w:after="40"/>
            </w:pPr>
            <w:r>
              <w:t>Useful</w:t>
            </w:r>
          </w:p>
        </w:tc>
      </w:tr>
    </w:tbl>
    <w:p/>
    <w:p>
      <w:pPr>
        <w:pStyle w:val="Heading2"/>
      </w:pPr>
      <w:r>
        <w:t>How to return this</w:t>
      </w:r>
    </w:p>
    <w:p>
      <w:pPr>
        <w:pStyle w:val="ListNumber"/>
      </w:pPr>
      <w:r>
        <w:t>Reply with the artifacts you can supply now, referenced by the item number above.</w:t>
      </w:r>
    </w:p>
    <w:p>
      <w:pPr>
        <w:pStyle w:val="ListNumber"/>
      </w:pPr>
      <w:r>
        <w:t>For anything unavailable, mark it "not available" or "does not exist" — this is a</w:t>
      </w:r>
    </w:p>
    <w:p>
      <w:r>
        <w:t xml:space="preserve">valid and useful answer, and we will plan the work to establish it. 3. Flag anything that requires an internal approval before release, and we will schedule it rather than block on it. 4. </w:t>
      </w:r>
      <w:r>
        <w:rPr>
          <w:b/>
        </w:rPr>
        <w:t>Send no credentials, secrets, connection strings or API keys.</w:t>
      </w:r>
      <w:r>
        <w:t xml:space="preserve"> Access is arranged through Microsoft Entra ID during technical onboarding.</w:t>
      </w:r>
    </w:p>
    <w:p>
      <w:pPr>
        <w:pStyle w:val="Heading2"/>
      </w:pPr>
      <w:r>
        <w:t>What happens next</w:t>
      </w:r>
    </w:p>
    <w:tbl>
      <w:tblPr>
        <w:tblStyle w:val="TableGrid"/>
        <w:tblW w:type="auto" w:w="0"/>
        <w:tblLayout w:type="autofit"/>
        <w:tblLook w:firstColumn="1" w:firstRow="1" w:lastColumn="0" w:lastRow="0" w:noHBand="0" w:noVBand="1" w:val="04A0"/>
      </w:tblPr>
      <w:tblGrid>
        <w:gridCol w:w="5131"/>
        <w:gridCol w:w="5131"/>
        <w:gridCol w:w="5131"/>
      </w:tblGrid>
      <w:tr>
        <w:tc>
          <w:tcPr>
            <w:tcW w:type="dxa" w:w="5131"/>
          </w:tcPr>
          <w:p>
            <w:pPr>
              <w:spacing w:after="40"/>
            </w:pPr>
            <w:r>
              <w:rPr>
                <w:b/>
              </w:rPr>
              <w:t>Sequence</w:t>
            </w:r>
          </w:p>
        </w:tc>
        <w:tc>
          <w:tcPr>
            <w:tcW w:type="dxa" w:w="5131"/>
          </w:tcPr>
          <w:p>
            <w:pPr>
              <w:spacing w:after="40"/>
            </w:pPr>
            <w:r>
              <w:rPr>
                <w:b/>
              </w:rPr>
              <w:t>Activity</w:t>
            </w:r>
          </w:p>
        </w:tc>
        <w:tc>
          <w:tcPr>
            <w:tcW w:type="dxa" w:w="5131"/>
          </w:tcPr>
          <w:p>
            <w:pPr>
              <w:spacing w:after="40"/>
            </w:pPr>
            <w:r>
              <w:rPr>
                <w:b/>
              </w:rPr>
              <w:t>Depends on</w:t>
            </w:r>
          </w:p>
        </w:tc>
      </w:tr>
      <w:tr>
        <w:tc>
          <w:tcPr>
            <w:tcW w:type="dxa" w:w="5131"/>
          </w:tcPr>
          <w:p>
            <w:pPr>
              <w:spacing w:after="40"/>
            </w:pPr>
            <w:r>
              <w:t>1</w:t>
            </w:r>
          </w:p>
        </w:tc>
        <w:tc>
          <w:tcPr>
            <w:tcW w:type="dxa" w:w="5131"/>
          </w:tcPr>
          <w:p>
            <w:pPr>
              <w:spacing w:after="40"/>
            </w:pPr>
            <w:r>
              <w:t>Readiness assessment against the tenant and capacity</w:t>
            </w:r>
          </w:p>
        </w:tc>
        <w:tc>
          <w:tcPr>
            <w:tcW w:type="dxa" w:w="5131"/>
          </w:tcPr>
          <w:p>
            <w:pPr>
              <w:spacing w:after="40"/>
            </w:pPr>
            <w:r>
              <w:t>A1–A6, B1</w:t>
            </w:r>
          </w:p>
        </w:tc>
      </w:tr>
      <w:tr>
        <w:tc>
          <w:tcPr>
            <w:tcW w:type="dxa" w:w="5131"/>
          </w:tcPr>
          <w:p>
            <w:pPr>
              <w:spacing w:after="40"/>
            </w:pPr>
            <w:r>
              <w:t>2</w:t>
            </w:r>
          </w:p>
        </w:tc>
        <w:tc>
          <w:tcPr>
            <w:tcW w:type="dxa" w:w="5131"/>
          </w:tcPr>
          <w:p>
            <w:pPr>
              <w:spacing w:after="40"/>
            </w:pPr>
            <w:r>
              <w:t>Source and connectivity plan</w:t>
            </w:r>
          </w:p>
        </w:tc>
        <w:tc>
          <w:tcPr>
            <w:tcW w:type="dxa" w:w="5131"/>
          </w:tcPr>
          <w:p>
            <w:pPr>
              <w:spacing w:after="40"/>
            </w:pPr>
            <w:r>
              <w:t>C1–C9</w:t>
            </w:r>
          </w:p>
        </w:tc>
      </w:tr>
      <w:tr>
        <w:tc>
          <w:tcPr>
            <w:tcW w:type="dxa" w:w="5131"/>
          </w:tcPr>
          <w:p>
            <w:pPr>
              <w:spacing w:after="40"/>
            </w:pPr>
            <w:r>
              <w:t>3</w:t>
            </w:r>
          </w:p>
        </w:tc>
        <w:tc>
          <w:tcPr>
            <w:tcW w:type="dxa" w:w="5131"/>
          </w:tcPr>
          <w:p>
            <w:pPr>
              <w:spacing w:after="40"/>
            </w:pPr>
            <w:r>
              <w:t>Semantic and definition workshop</w:t>
            </w:r>
          </w:p>
        </w:tc>
        <w:tc>
          <w:tcPr>
            <w:tcW w:type="dxa" w:w="5131"/>
          </w:tcPr>
          <w:p>
            <w:pPr>
              <w:spacing w:after="40"/>
            </w:pPr>
            <w:r>
              <w:t>D1–D7</w:t>
            </w:r>
          </w:p>
        </w:tc>
      </w:tr>
      <w:tr>
        <w:tc>
          <w:tcPr>
            <w:tcW w:type="dxa" w:w="5131"/>
          </w:tcPr>
          <w:p>
            <w:pPr>
              <w:spacing w:after="40"/>
            </w:pPr>
            <w:r>
              <w:t>4</w:t>
            </w:r>
          </w:p>
        </w:tc>
        <w:tc>
          <w:tcPr>
            <w:tcW w:type="dxa" w:w="5131"/>
          </w:tcPr>
          <w:p>
            <w:pPr>
              <w:spacing w:after="40"/>
            </w:pPr>
            <w:r>
              <w:t>Security model design</w:t>
            </w:r>
          </w:p>
        </w:tc>
        <w:tc>
          <w:tcPr>
            <w:tcW w:type="dxa" w:w="5131"/>
          </w:tcPr>
          <w:p>
            <w:pPr>
              <w:spacing w:after="40"/>
            </w:pPr>
            <w:r>
              <w:t>E1–E3</w:t>
            </w:r>
          </w:p>
        </w:tc>
      </w:tr>
      <w:tr>
        <w:tc>
          <w:tcPr>
            <w:tcW w:type="dxa" w:w="5131"/>
          </w:tcPr>
          <w:p>
            <w:pPr>
              <w:spacing w:after="40"/>
            </w:pPr>
            <w:r>
              <w:t>5</w:t>
            </w:r>
          </w:p>
        </w:tc>
        <w:tc>
          <w:tcPr>
            <w:tcW w:type="dxa" w:w="5131"/>
          </w:tcPr>
          <w:p>
            <w:pPr>
              <w:spacing w:after="40"/>
            </w:pPr>
            <w:r>
              <w:t>Ground-truth question bank baseline</w:t>
            </w:r>
          </w:p>
        </w:tc>
        <w:tc>
          <w:tcPr>
            <w:tcW w:type="dxa" w:w="5131"/>
          </w:tcPr>
          <w:p>
            <w:pPr>
              <w:spacing w:after="40"/>
            </w:pPr>
            <w:r>
              <w:t>F3, F4</w:t>
            </w:r>
          </w:p>
        </w:tc>
      </w:tr>
      <w:tr>
        <w:tc>
          <w:tcPr>
            <w:tcW w:type="dxa" w:w="5131"/>
          </w:tcPr>
          <w:p>
            <w:pPr>
              <w:spacing w:after="40"/>
            </w:pPr>
            <w:r>
              <w:t>6</w:t>
            </w:r>
          </w:p>
        </w:tc>
        <w:tc>
          <w:tcPr>
            <w:tcW w:type="dxa" w:w="5131"/>
          </w:tcPr>
          <w:p>
            <w:pPr>
              <w:spacing w:after="40"/>
            </w:pPr>
            <w:r>
              <w:t>Configuration begins in the DEV workspace</w:t>
            </w:r>
          </w:p>
        </w:tc>
        <w:tc>
          <w:tcPr>
            <w:tcW w:type="dxa" w:w="5131"/>
          </w:tcPr>
          <w:p>
            <w:pPr>
              <w:spacing w:after="40"/>
            </w:pPr>
            <w:r>
              <w:t>All Essential items</w:t>
            </w:r>
          </w:p>
        </w:tc>
      </w:tr>
    </w:tbl>
    <w:p/>
    <w:p>
      <w:r>
        <w:rPr>
          <w:b/>
        </w:rPr>
        <w:t>Essential items are genuinely blocking.</w:t>
      </w:r>
      <w:r>
        <w:t xml:space="preserve"> We can begin readiness and provisioning work with section A and B1 alone, and we would rather start there than wait for a complete return.</w:t>
      </w:r>
    </w:p>
    <w:p>
      <w:r>
        <w:t>*01-Requirement-Scoping*</w:t>
      </w:r>
    </w:p>
    <w:sectPr w:rsidR="00FC693F" w:rsidRPr="0006063C" w:rsidSect="00034616">
      <w:footerReference w:type="default" r:id="rId9"/>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color w:val="4D5E75"/>
        <w:sz w:val="16"/>
      </w:rPr>
      <w:t>01-Requirement-Scoping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