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320"/>
      </w:pPr>
      <w:r>
        <w:rPr>
          <w:rFonts w:ascii="Microsoft YaHei" w:hAnsi="Microsoft YaHei" w:eastAsia="Microsoft YaHei"/>
          <w:b/>
          <w:i w:val="0"/>
          <w:color w:val="2563EB"/>
          <w:sz w:val="22"/>
        </w:rPr>
        <w:t>网站产品与技术方案</w:t>
      </w:r>
    </w:p>
    <w:p>
      <w:pPr>
        <w:pStyle w:val="Title"/>
        <w:spacing w:after="100"/>
      </w:pPr>
      <w:r>
        <w:rPr>
          <w:rFonts w:ascii="Microsoft YaHei" w:hAnsi="Microsoft YaHei" w:eastAsia="Microsoft YaHei"/>
          <w:b/>
          <w:color w:val="0F172A"/>
          <w:sz w:val="52"/>
        </w:rPr>
        <w:t>AI 基础教育公益网站搭建方案</w:t>
      </w:r>
    </w:p>
    <w:p>
      <w:pPr>
        <w:pStyle w:val="Subtitle"/>
      </w:pPr>
      <w:r>
        <w:rPr>
          <w:rFonts w:ascii="Microsoft YaHei" w:hAnsi="Microsoft YaHei" w:eastAsia="Microsoft YaHei"/>
          <w:color w:val="64748B"/>
          <w:sz w:val="27"/>
        </w:rPr>
        <w:t>V0.2：课程体系、双 Demo、页面架构、成本边界与两人实施计划</w:t>
      </w:r>
    </w:p>
    <w:p>
      <w:pPr>
        <w:spacing w:before="40" w:after="360"/>
        <w:pBdr>
          <w:bottom w:val="single" w:sz="24" w:space="3" w:color="2563EB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项目</w:t>
            </w:r>
          </w:p>
        </w:tc>
        <w:tc>
          <w:tcPr>
            <w:tcW w:type="dxa" w:w="75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当前定义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V0.2 产品结构修订稿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待两位协作者确认后进入网站原型搭建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目标用户</w:t>
            </w:r>
          </w:p>
        </w:tc>
        <w:tc>
          <w:tcPr>
            <w:tcW w:type="dxa" w:w="75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小学高年级至初中学生，以及其家长与教师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产品形态</w:t>
            </w:r>
          </w:p>
        </w:tc>
        <w:tc>
          <w:tcPr>
            <w:tcW w:type="dxa" w:w="75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公益、内容优先、可持续学习的青少年 AI 学习网站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核心成果</w:t>
            </w:r>
          </w:p>
        </w:tc>
        <w:tc>
          <w:tcPr>
            <w:tcW w:type="dxa" w:w="75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完整路线：一项 Agent 创作作品 + 一份个人学习资料包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协作方式</w:t>
            </w:r>
          </w:p>
        </w:tc>
        <w:tc>
          <w:tcPr>
            <w:tcW w:type="dxa" w:w="75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两人共同开发；模块单一负责人；短周期集成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2026 年 7 月 26 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FF6FF" w:val="clear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本版核心变化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从“课程、实验、创作等栏目集合”收敛为一条明确主线：系统课程负责看懂，两个完整 Demo 负责操作、修改与产出；首版先把网站结构和内容闭环做扎实，不以开放式 AI API 为前置条件。</w:t>
            </w:r>
          </w:p>
        </w:tc>
      </w:tr>
    </w:tbl>
    <w:p>
      <w:pPr>
        <w:spacing w:after="0"/>
      </w:pPr>
    </w:p>
    <w:p>
      <w:pPr>
        <w:keepLines w:val="0"/>
        <w:spacing w:after="0"/>
      </w:pPr>
      <w:r>
        <w:rPr>
          <w:rFonts w:ascii="Microsoft YaHei" w:hAnsi="Microsoft YaHei" w:eastAsia="Microsoft YaHei"/>
          <w:b w:val="0"/>
          <w:i/>
          <w:color w:val="64748B"/>
          <w:sz w:val="18"/>
        </w:rPr>
        <w:t>原文件保留为 V0.1。本文件为独立修订稿，不覆盖原件。</w:t>
      </w:r>
    </w:p>
    <w:p>
      <w:r>
        <w:br w:type="page"/>
      </w:r>
    </w:p>
    <w:p>
      <w:pPr>
        <w:pStyle w:val="Heading1"/>
        <w:keepNext/>
      </w:pPr>
      <w:r>
        <w:t>文档目录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1. 方案结论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2. 产品定位与学习闭环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3. 首版边界与分阶段策略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4. 网站学习路线主线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5. 全站信息架构与导航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6. 参考 labuladong 的布局原则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7. 逐页框架与内容要求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8. Demo 1（学生端：AI 创作实验室）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9. Demo 2（学生端：AI 学习实验室）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10. API 成本控制与接入闸门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11. 内容、互动与进度系统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12. 视觉与交互规范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13. 技术架构与部署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14. 两人分工与协作规则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15. 实施计划与验收标准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16. 风险、合规与待确认事项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17. 附录：路由、目录结构与参考来源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8FAFC" w:val="clear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  <w:insideH w:val="single" w:sz="8" w:space="0" w:color="64748B"/>
              <w:insideV w:val="single" w:sz="8" w:space="0" w:color="64748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64748B"/>
                <w:sz w:val="21"/>
              </w:rPr>
              <w:t xml:space="preserve">建议阅读顺序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先确认第 1–6 节的产品与页面结构，再确认两个 Demo 的首版形态和 API 成本闸门；技术栈与服务器选择应服从已冻结的页面和内容边界。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方案结论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FF6FF" w:val="clear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一句话定位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一个让青少年系统理解 AI、反复练习 Agent 使用方法，并最终产出真实作品与个人学习资料包的公益学习网站。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i w:val="0"/>
        </w:rPr>
        <w:t>学校一两个小时的讲座通常只能完成“知道 AI 和 Agent 是什么”。本网站要补上讲座之后缺失的学习过程：学生能沿着清晰课程持续学习，在页面内完成小互动，再进入两个完整项目，把理解转化为操作、修改、验证和成果。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内容优先：课程与项目流程是产品地基，AI 聊天不是首页和首版的中心。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主线收敛：8 阶段学习路线由 5 章基础课程、2 个完整实践项目和 1 个成果展示与复盘阶段组成。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两个 Demo 项目化：它们拥有独立入口、完整步骤、过程记录和最终成果，不是文章中的短例子。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学生端统一称“实践项目”：Demo 1 命名为“AI 创作实验室”，Demo 2 命名为“AI 学习实验室”；Demo 仅作为方案内部称呼。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布局文档化：采用吸顶顶栏、左侧课程树、克制正文宽度、页内目录和连续阅读导航。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成本分层：公益首版可在零模型 API 条件下成立；真实模型调用必须经过预算、额度、安全和效果验证。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两人可维护：内容采用 MDX，互动采用标准组件，路由、设计变量和内容字段先冻结。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680"/>
        <w:gridCol w:w="2808"/>
      </w:tblGrid>
      <w:tr>
        <w:trPr>
          <w:tblHeader w:val="true"/>
        </w:trPr>
        <w:tc>
          <w:tcPr>
            <w:tcW w:type="dxa" w:w="187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阶段</w:t>
            </w:r>
          </w:p>
        </w:tc>
        <w:tc>
          <w:tcPr>
            <w:tcW w:type="dxa" w:w="468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网站必须证明什么</w:t>
            </w:r>
          </w:p>
        </w:tc>
        <w:tc>
          <w:tcPr>
            <w:tcW w:type="dxa" w:w="280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可见成果</w:t>
            </w:r>
          </w:p>
        </w:tc>
      </w:tr>
      <w:tr>
        <w:trPr>
          <w:trHeight w:hRule="atLeast"/>
        </w:trPr>
        <w:tc>
          <w:tcPr>
            <w:tcW w:type="dxa" w:w="18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基础课程</w:t>
            </w:r>
          </w:p>
        </w:tc>
        <w:tc>
          <w:tcPr>
            <w:tcW w:type="dxa" w:w="46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学生能用自己的话解释 AI、LLM、Agent 及其局限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章节进度、小互动结果</w:t>
            </w:r>
          </w:p>
        </w:tc>
      </w:tr>
      <w:tr>
        <w:trPr>
          <w:trHeight w:hRule="atLeast"/>
        </w:trPr>
        <w:tc>
          <w:tcPr>
            <w:tcW w:type="dxa" w:w="18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Demo 1</w:t>
            </w:r>
          </w:p>
        </w:tc>
        <w:tc>
          <w:tcPr>
            <w:tcW w:type="dxa" w:w="46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学生会描述需求、测试结果并迭代作品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可运行网页/小游戏、修改记录、成果页（公开分享后置）</w:t>
            </w:r>
          </w:p>
        </w:tc>
      </w:tr>
      <w:tr>
        <w:trPr>
          <w:trHeight w:hRule="atLeast"/>
        </w:trPr>
        <w:tc>
          <w:tcPr>
            <w:tcW w:type="dxa" w:w="18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Demo 2</w:t>
            </w:r>
          </w:p>
        </w:tc>
        <w:tc>
          <w:tcPr>
            <w:tcW w:type="dxa" w:w="46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学生会定位卡点、核验解释并整理学习材料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笔记、导图、知识卡、自测和薄弱点</w:t>
            </w:r>
          </w:p>
        </w:tc>
      </w:tr>
      <w:tr>
        <w:trPr>
          <w:trHeight w:hRule="atLeast"/>
        </w:trPr>
        <w:tc>
          <w:tcPr>
            <w:tcW w:type="dxa" w:w="18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成果展示</w:t>
            </w:r>
          </w:p>
        </w:tc>
        <w:tc>
          <w:tcPr>
            <w:tcW w:type="dxa" w:w="46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过程比“一句话生成”更重要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作品故事、版本变化、学习反思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产品定位与学习闭环</w:t>
      </w:r>
    </w:p>
    <w:p>
      <w:pPr>
        <w:pStyle w:val="Heading2"/>
        <w:keepNext/>
      </w:pPr>
      <w:r>
        <w:t>2.1 要解决的问题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通用 AI 工具可以给出答案，却不会自动形成适龄、连续、可复习的学习路径。单次讲座能激发兴趣，却难以支撑学生回到家继续操作。我们的价值不是再做一个聊天框，而是把“课程、实践、成果和复盘”组织成稳定的学习环境。</w:t>
      </w:r>
    </w:p>
    <w:p>
      <w:pPr>
        <w:pStyle w:val="Heading2"/>
        <w:keepNext/>
      </w:pPr>
      <w:r>
        <w:t>2.2 核心学习闭环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CFDF5" w:val="clea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 xml:space="preserve">学习闭环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看懂 → 操作 → 完成任务 → 发现问题 → 反复修改 → 形成作品 → 复盘方法。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每个环节都要在界面中留下证据：课程完成状态、互动结果、项目计划、修改前后对比、最终作品和学生自己的反思。网站不是“展示 AI 很厉害”，而是让学生知道自己做了什么、为什么修改、如何判断结果。</w:t>
      </w:r>
    </w:p>
    <w:p>
      <w:pPr>
        <w:pStyle w:val="Heading2"/>
        <w:keepNext/>
      </w:pPr>
      <w:r>
        <w:t>2.3 用户与价值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960"/>
        <w:gridCol w:w="3744"/>
      </w:tblGrid>
      <w:tr>
        <w:trPr>
          <w:tblHeader w:val="true"/>
        </w:trPr>
        <w:tc>
          <w:tcPr>
            <w:tcW w:type="dxa" w:w="165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对象</w:t>
            </w:r>
          </w:p>
        </w:tc>
        <w:tc>
          <w:tcPr>
            <w:tcW w:type="dxa" w:w="39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最关心的问题</w:t>
            </w:r>
          </w:p>
        </w:tc>
        <w:tc>
          <w:tcPr>
            <w:tcW w:type="dxa" w:w="374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网站给予的价值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学生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从哪里开始？怎样把想法变成作品？哪里不懂怎么办？</w:t>
            </w:r>
          </w:p>
        </w:tc>
        <w:tc>
          <w:tcPr>
            <w:tcW w:type="dxa" w:w="37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清晰路径、短课、小互动、完整项目和成果出口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家长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是否安全？是不是代写？孩子真正学到了什么？</w:t>
            </w:r>
          </w:p>
        </w:tc>
        <w:tc>
          <w:tcPr>
            <w:tcW w:type="dxa" w:w="37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过程记录、成果样例、安全边界和家庭陪伴建议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教师/学校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讲座之后如何延伸？是否便于组织活动？</w:t>
            </w:r>
          </w:p>
        </w:tc>
        <w:tc>
          <w:tcPr>
            <w:tcW w:type="dxa" w:w="37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可复用课程、项目任务单、课堂体验码和成果展示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公益项目方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如何低成本持续维护并证明社会价值？</w:t>
            </w:r>
          </w:p>
        </w:tc>
        <w:tc>
          <w:tcPr>
            <w:tcW w:type="dxa" w:w="37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公开内容、可量化完成率、低 API 依赖和可迭代架构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成功标准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学生首次进入网站，两次点击内开始第一课。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学生完成前五章后，能区分 LLM、Agent、工具调用、记忆和核验。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学生完成任意一个实践项目并保留过程，记为“项目入门完成”；完成两个项目并产生两类成果，才记为“完整学习路线完成”。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家长在 3 分钟内理解平台价值、安全边界和孩子的可见成果。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网站在不接开放式 AI API 的情况下仍具有完整学习价值。</w:t>
      </w:r>
    </w:p>
    <w:p>
      <w:pPr>
        <w:pStyle w:val="Heading1"/>
        <w:keepNext/>
      </w:pPr>
      <w:r>
        <w:t>3. 首版边界与分阶段策略</w:t>
      </w:r>
    </w:p>
    <w:p>
      <w:pPr>
        <w:pStyle w:val="Heading2"/>
        <w:keepNext/>
      </w:pPr>
      <w:r>
        <w:t>3.1 首版必须包含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统一首页、学习路线、课程目录和稳定的课程阅读模板。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8 阶段学习路线；其中前五阶段为 10–15 分钟基础课程，第六、七阶段为完整实践项目，第八阶段为成果展示与复盘。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至少 2 个无需真实模型 API 的概念互动，例如“猜下一个词”和“Agent 任务排序”。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Demo 1 和 Demo 2 各自有项目首页、步骤页、示例过程、结果样例和复盘页。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作品展示、家长专区、关于项目、隐私、未成年人保护、使用条款和反馈入口。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本地阅读进度、收藏或项目检查项；无需注册即可体验主要内容。</w:t>
      </w:r>
    </w:p>
    <w:p>
      <w:pPr>
        <w:pStyle w:val="Heading2"/>
        <w:keepNext/>
      </w:pPr>
      <w:r>
        <w:t>3.2 首版明确不做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4608"/>
        <w:gridCol w:w="2664"/>
      </w:tblGrid>
      <w:tr>
        <w:trPr>
          <w:tblHeader w:val="true"/>
        </w:trPr>
        <w:tc>
          <w:tcPr>
            <w:tcW w:type="dxa" w:w="208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暂不做</w:t>
            </w:r>
          </w:p>
        </w:tc>
        <w:tc>
          <w:tcPr>
            <w:tcW w:type="dxa" w:w="460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原因</w:t>
            </w:r>
          </w:p>
        </w:tc>
        <w:tc>
          <w:tcPr>
            <w:tcW w:type="dxa" w:w="266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进入条件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无限制 AI 对话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API 成本、幻觉、内容安全和未成年人保护要求高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受限流程通过真实用户测试并建立预算与审核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支付与会员</w:t>
            </w:r>
          </w:p>
        </w:tc>
        <w:tc>
          <w:tcPr>
            <w:tcW w:type="dxa" w:w="46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公益验证期不需要，账户和退款逻辑会分散精力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出现持续使用与明确服务成本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开放上传、评论和社区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涉及审核、隐私、版权和社区治理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有人工审核和发布机制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完整学生账户</w:t>
            </w:r>
          </w:p>
        </w:tc>
        <w:tc>
          <w:tcPr>
            <w:tcW w:type="dxa" w:w="46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首版无需收集未成年人身份信息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需要跨设备进度、班级或作品保存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原生 App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网站更适合快速迭代、分享和课堂使用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高频需求已经被网页验证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自研模型或微调</w:t>
            </w:r>
          </w:p>
        </w:tc>
        <w:tc>
          <w:tcPr>
            <w:tcW w:type="dxa" w:w="46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投入与首版目标不匹配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课程和评测数据足够且确有必要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三阶段策略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240"/>
        <w:gridCol w:w="2736"/>
        <w:gridCol w:w="1440"/>
      </w:tblGrid>
      <w:tr>
        <w:trPr>
          <w:tblHeader w:val="true"/>
        </w:trPr>
        <w:tc>
          <w:tcPr>
            <w:tcW w:type="dxa" w:w="194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阶段</w:t>
            </w:r>
          </w:p>
        </w:tc>
        <w:tc>
          <w:tcPr>
            <w:tcW w:type="dxa" w:w="324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核心能力</w:t>
            </w:r>
          </w:p>
        </w:tc>
        <w:tc>
          <w:tcPr>
            <w:tcW w:type="dxa" w:w="273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模型 API 策略</w:t>
            </w:r>
          </w:p>
        </w:tc>
        <w:tc>
          <w:tcPr>
            <w:tcW w:type="dxa" w:w="144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上线目标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A：公益静态首版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课程、互动、预置体验和外部 Agent 任务单</w:t>
            </w:r>
          </w:p>
        </w:tc>
        <w:tc>
          <w:tcPr>
            <w:tcW w:type="dxa" w:w="273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站内零 API；预置案例使用静态数据与本地逻辑</w:t>
            </w:r>
          </w:p>
        </w:tc>
        <w:tc>
          <w:tcPr>
            <w:tcW w:type="dxa" w:w="14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验证结构、内容和项目完成率</w:t>
            </w:r>
          </w:p>
        </w:tc>
      </w:tr>
      <w:tr>
        <w:trPr>
          <w:trHeight w:hRule="atLeast"/>
        </w:trPr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B：小范围课堂试点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受限 Agent 流程、体验码、结果保存</w:t>
            </w:r>
          </w:p>
        </w:tc>
        <w:tc>
          <w:tcPr>
            <w:tcW w:type="dxa" w:w="273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管理员额度；每日/每人上限；只开放固定任务</w:t>
            </w:r>
          </w:p>
        </w:tc>
        <w:tc>
          <w:tcPr>
            <w:tcW w:type="dxa" w:w="14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验证学习效果、成本和安全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C：公开增强版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个性化问答、笔记和自测</w:t>
            </w:r>
          </w:p>
        </w:tc>
        <w:tc>
          <w:tcPr>
            <w:tcW w:type="dxa" w:w="273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模型网关、缓存、审核、预算告警和降级</w:t>
            </w:r>
          </w:p>
        </w:tc>
        <w:tc>
          <w:tcPr>
            <w:tcW w:type="dxa" w:w="14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在可控成本下扩大服务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三种项目体验模式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2059"/>
        <w:gridCol w:w="3182"/>
        <w:gridCol w:w="2559"/>
      </w:tblGrid>
      <w:tr>
        <w:trPr>
          <w:tblHeader w:val="true"/>
        </w:trPr>
        <w:tc>
          <w:tcPr>
            <w:tcW w:type="dxa" w:w="15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模式</w:t>
            </w:r>
          </w:p>
        </w:tc>
        <w:tc>
          <w:tcPr>
            <w:tcW w:type="dxa" w:w="2059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前提</w:t>
            </w:r>
          </w:p>
        </w:tc>
        <w:tc>
          <w:tcPr>
            <w:tcW w:type="dxa" w:w="318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学生可以完成什么</w:t>
            </w:r>
          </w:p>
        </w:tc>
        <w:tc>
          <w:tcPr>
            <w:tcW w:type="dxa" w:w="2559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边界</w:t>
            </w:r>
          </w:p>
        </w:tc>
      </w:tr>
      <w:tr>
        <w:trPr>
          <w:trHeight w:hRule="atLeast"/>
        </w:trPr>
        <w:tc>
          <w:tcPr>
            <w:tcW w:type="dxa" w:w="15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预置体验模式</w:t>
            </w:r>
          </w:p>
        </w:tc>
        <w:tc>
          <w:tcPr>
            <w:tcW w:type="dxa" w:w="205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无需任何 Agent 账号</w:t>
            </w:r>
          </w:p>
        </w:tc>
        <w:tc>
          <w:tcPr>
            <w:tcW w:type="dxa" w:w="318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按受控案例走完方法流程，生成模板化作品或资料包</w:t>
            </w:r>
          </w:p>
        </w:tc>
        <w:tc>
          <w:tcPr>
            <w:tcW w:type="dxa" w:w="255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结果来自预置内容与规则，不宣称是真实自由 Agent</w:t>
            </w:r>
          </w:p>
        </w:tc>
      </w:tr>
      <w:tr>
        <w:trPr>
          <w:trHeight w:hRule="atLeast"/>
        </w:trPr>
        <w:tc>
          <w:tcPr>
            <w:tcW w:type="dxa" w:w="15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自主实践模式</w:t>
            </w:r>
          </w:p>
        </w:tc>
        <w:tc>
          <w:tcPr>
            <w:tcW w:type="dxa" w:w="2059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使用经家长/学校允许的外部 Agent</w:t>
            </w:r>
          </w:p>
        </w:tc>
        <w:tc>
          <w:tcPr>
            <w:tcW w:type="dxa" w:w="318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围绕自己的主题生成代码或学习材料，再回本站检查、修改和整理</w:t>
            </w:r>
          </w:p>
        </w:tc>
        <w:tc>
          <w:tcPr>
            <w:tcW w:type="dxa" w:w="2559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本站不承担模型费用；需提示将离开本站</w:t>
            </w:r>
          </w:p>
        </w:tc>
      </w:tr>
      <w:tr>
        <w:trPr>
          <w:trHeight w:hRule="atLeast"/>
        </w:trPr>
        <w:tc>
          <w:tcPr>
            <w:tcW w:type="dxa" w:w="15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站内增强模式</w:t>
            </w:r>
          </w:p>
        </w:tc>
        <w:tc>
          <w:tcPr>
            <w:tcW w:type="dxa" w:w="205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后续受限 API 试点</w:t>
            </w:r>
          </w:p>
        </w:tc>
        <w:tc>
          <w:tcPr>
            <w:tcW w:type="dxa" w:w="318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在固定步骤内获得追问、提示、整理和自测增强</w:t>
            </w:r>
          </w:p>
        </w:tc>
        <w:tc>
          <w:tcPr>
            <w:tcW w:type="dxa" w:w="255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有体验码、字段白名单、预算上限、安全拦截和降级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网站学习路线主线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网站正式收敛为 8 阶段学习路线：5 章基础课程 + 2 个完整实践项目 + 1 个成果展示与复盘阶段。AI 课程树只承载前五章，学习路线页负责串联课程、项目和成果；短课采用“简短讲解 → 小互动 → 一个问题 → 进度记录”，实践项目采用完整任务流程。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2"/>
        <w:gridCol w:w="2741"/>
        <w:gridCol w:w="1337"/>
        <w:gridCol w:w="2808"/>
        <w:gridCol w:w="1872"/>
      </w:tblGrid>
      <w:tr>
        <w:trPr>
          <w:tblHeader w:val="true"/>
        </w:trPr>
        <w:tc>
          <w:tcPr>
            <w:tcW w:type="dxa" w:w="602"/>
            <w:shd w:fill="EFF6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阶段</w:t>
            </w:r>
          </w:p>
        </w:tc>
        <w:tc>
          <w:tcPr>
            <w:tcW w:type="dxa" w:w="2741"/>
            <w:shd w:fill="EFF6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主题</w:t>
            </w:r>
          </w:p>
        </w:tc>
        <w:tc>
          <w:tcPr>
            <w:tcW w:type="dxa" w:w="1337"/>
            <w:shd w:fill="EFF6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建议时长</w:t>
            </w:r>
          </w:p>
        </w:tc>
        <w:tc>
          <w:tcPr>
            <w:tcW w:type="dxa" w:w="2808"/>
            <w:shd w:fill="EFF6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学习结果</w:t>
            </w:r>
          </w:p>
        </w:tc>
        <w:tc>
          <w:tcPr>
            <w:tcW w:type="dxa" w:w="1872"/>
            <w:shd w:fill="EFF6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主要成果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</w:t>
            </w:r>
          </w:p>
        </w:tc>
        <w:tc>
          <w:tcPr>
            <w:tcW w:type="dxa" w:w="27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认识人工智能</w:t>
            </w:r>
          </w:p>
        </w:tc>
        <w:tc>
          <w:tcPr>
            <w:tcW w:type="dxa" w:w="133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10–15 分钟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能区分 AI、自动化和普通程序</w:t>
            </w:r>
          </w:p>
        </w:tc>
        <w:tc>
          <w:tcPr>
            <w:tcW w:type="dxa" w:w="18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生活中的 AI 分类卡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2</w:t>
            </w:r>
          </w:p>
        </w:tc>
        <w:tc>
          <w:tcPr>
            <w:tcW w:type="dxa" w:w="2741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机器学习与深度学习</w:t>
            </w:r>
          </w:p>
        </w:tc>
        <w:tc>
          <w:tcPr>
            <w:tcW w:type="dxa" w:w="1337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10–15 分钟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理解数据、训练、模式和误差</w:t>
            </w:r>
          </w:p>
        </w:tc>
        <w:tc>
          <w:tcPr>
            <w:tcW w:type="dxa" w:w="18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分类器小实验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3</w:t>
            </w:r>
          </w:p>
        </w:tc>
        <w:tc>
          <w:tcPr>
            <w:tcW w:type="dxa" w:w="27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大语言模型如何工作</w:t>
            </w:r>
          </w:p>
        </w:tc>
        <w:tc>
          <w:tcPr>
            <w:tcW w:type="dxa" w:w="133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10–15 分钟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理解 Token、预测和幻觉</w:t>
            </w:r>
          </w:p>
        </w:tc>
        <w:tc>
          <w:tcPr>
            <w:tcW w:type="dxa" w:w="18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猜下一个词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4</w:t>
            </w:r>
          </w:p>
        </w:tc>
        <w:tc>
          <w:tcPr>
            <w:tcW w:type="dxa" w:w="2741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什么是 Agent</w:t>
            </w:r>
          </w:p>
        </w:tc>
        <w:tc>
          <w:tcPr>
            <w:tcW w:type="dxa" w:w="1337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10–15 分钟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理解目标、计划、工具、记忆与检查</w:t>
            </w:r>
          </w:p>
        </w:tc>
        <w:tc>
          <w:tcPr>
            <w:tcW w:type="dxa" w:w="18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任务分解排序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</w:t>
            </w:r>
          </w:p>
        </w:tc>
        <w:tc>
          <w:tcPr>
            <w:tcW w:type="dxa" w:w="27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如何正确、安全地使用 Agent</w:t>
            </w:r>
          </w:p>
        </w:tc>
        <w:tc>
          <w:tcPr>
            <w:tcW w:type="dxa" w:w="133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10–15 分钟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会核验、保护隐私并避免代写依赖</w:t>
            </w:r>
          </w:p>
        </w:tc>
        <w:tc>
          <w:tcPr>
            <w:tcW w:type="dxa" w:w="18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风险判断清单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6</w:t>
            </w:r>
          </w:p>
        </w:tc>
        <w:tc>
          <w:tcPr>
            <w:tcW w:type="dxa" w:w="2741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实践项目 1：AI 创作实验室</w:t>
            </w:r>
          </w:p>
        </w:tc>
        <w:tc>
          <w:tcPr>
            <w:tcW w:type="dxa" w:w="1337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45–120 分钟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把想法变成可运行作品并迭代</w:t>
            </w:r>
          </w:p>
        </w:tc>
        <w:tc>
          <w:tcPr>
            <w:tcW w:type="dxa" w:w="18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小游戏/小工具/网站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7</w:t>
            </w:r>
          </w:p>
        </w:tc>
        <w:tc>
          <w:tcPr>
            <w:tcW w:type="dxa" w:w="27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实践项目 2：AI 学习实验室</w:t>
            </w:r>
          </w:p>
        </w:tc>
        <w:tc>
          <w:tcPr>
            <w:tcW w:type="dxa" w:w="133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45–90 分钟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完成提问、整理、导图、自测和复盘</w:t>
            </w:r>
          </w:p>
        </w:tc>
        <w:tc>
          <w:tcPr>
            <w:tcW w:type="dxa" w:w="18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个人学习资料包</w:t>
            </w:r>
          </w:p>
        </w:tc>
      </w:tr>
      <w:tr>
        <w:trPr>
          <w:trHeight w:hRule="atLeast"/>
        </w:trPr>
        <w:tc>
          <w:tcPr>
            <w:tcW w:type="dxa" w:w="602"/>
            <w:shd w:fill="F8FAFC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8</w:t>
            </w:r>
          </w:p>
        </w:tc>
        <w:tc>
          <w:tcPr>
            <w:tcW w:type="dxa" w:w="2741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学生成果展示与复盘</w:t>
            </w:r>
          </w:p>
        </w:tc>
        <w:tc>
          <w:tcPr>
            <w:tcW w:type="dxa" w:w="1337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持续更新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表达过程、反思修改并展示成果</w:t>
            </w:r>
          </w:p>
        </w:tc>
        <w:tc>
          <w:tcPr>
            <w:tcW w:type="dxa" w:w="18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成果页；审核后可分享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每节短课的固定模板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本课能做什么：一句话成果、预计时间和先修要求。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从生活场景开始：先让学生观察或选择，再给出术语。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核心概念：一次只解释一个关键点，使用图解或对比。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动手试一试：一个无需登录即可完成的小互动。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容易误解的地方：突出 AI 会犯错、需要核验。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检查理解：一个选择题、排序题或一句话解释。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本课小结：三个要点，并连接下一课。</w:t>
      </w:r>
    </w:p>
    <w:p>
      <w:pPr>
        <w:keepLines/>
        <w:numPr>
          <w:ilvl w:val="0"/>
          <w:numId w:val="17"/>
        </w:numPr>
        <w:spacing w:after="100" w:line="283" w:lineRule="auto"/>
      </w:pPr>
      <w:r>
        <w:rPr>
          <w:rFonts w:ascii="Microsoft YaHei" w:hAnsi="Microsoft YaHei" w:eastAsia="Microsoft YaHei"/>
        </w:rPr>
        <w:t>给家长看的成果：说明孩子做了什么，而不是只报告“看完”。</w:t>
      </w:r>
    </w:p>
    <w:p>
      <w:pPr>
        <w:pStyle w:val="Heading1"/>
        <w:keepNext/>
      </w:pPr>
      <w:r>
        <w:t>5. 全站信息架构与导航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04456"/>
            <wp:docPr id="1" name="Picture 1" descr="AI 基础教育公益网站 V0.2 信息架构图，显示课程主线、两个 Agent 项目和成果出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architecture-v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0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i/>
          <w:color w:val="64748B"/>
          <w:sz w:val="18"/>
        </w:rPr>
        <w:t>图 1  V0.2 网站信息架构</w:t>
      </w:r>
    </w:p>
    <w:p>
      <w:pPr>
        <w:pStyle w:val="Heading2"/>
        <w:keepNext/>
      </w:pPr>
      <w:r>
        <w:t>5.1 一级导航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桌面端一级导航建议控制在 6 个主入口；“关于、隐私、条款、反馈、更新日志”等统一放入页脚。首页 Logo 作为返回首页入口，不重复增加“首页”文字项。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816"/>
        <w:gridCol w:w="3816"/>
      </w:tblGrid>
      <w:tr>
        <w:trPr>
          <w:tblHeader w:val="true"/>
        </w:trPr>
        <w:tc>
          <w:tcPr>
            <w:tcW w:type="dxa" w:w="172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导航项</w:t>
            </w:r>
          </w:p>
        </w:tc>
        <w:tc>
          <w:tcPr>
            <w:tcW w:type="dxa" w:w="381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主要用户问题</w:t>
            </w:r>
          </w:p>
        </w:tc>
        <w:tc>
          <w:tcPr>
            <w:tcW w:type="dxa" w:w="381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落点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学习路线</w:t>
            </w:r>
          </w:p>
        </w:tc>
        <w:tc>
          <w:tcPr>
            <w:tcW w:type="dxa" w:w="381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我应该从哪里开始？</w:t>
            </w:r>
          </w:p>
        </w:tc>
        <w:tc>
          <w:tcPr>
            <w:tcW w:type="dxa" w:w="381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8 阶段路线、时长、先修、成果与当前进度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AI 课程</w:t>
            </w:r>
          </w:p>
        </w:tc>
        <w:tc>
          <w:tcPr>
            <w:tcW w:type="dxa" w:w="381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有哪些系统知识？</w:t>
            </w:r>
          </w:p>
        </w:tc>
        <w:tc>
          <w:tcPr>
            <w:tcW w:type="dxa" w:w="381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章节树、课程文章、互动和连续阅读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AI 创作实验室</w:t>
            </w:r>
          </w:p>
        </w:tc>
        <w:tc>
          <w:tcPr>
            <w:tcW w:type="dxa" w:w="381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怎样用 Agent 做出东西？</w:t>
            </w:r>
          </w:p>
        </w:tc>
        <w:tc>
          <w:tcPr>
            <w:tcW w:type="dxa" w:w="381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实践项目 1 的流程、模板、预览和成果导出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AI 学习实验室</w:t>
            </w:r>
          </w:p>
        </w:tc>
        <w:tc>
          <w:tcPr>
            <w:tcW w:type="dxa" w:w="381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怎样用 Agent 帮助学习？</w:t>
            </w:r>
          </w:p>
        </w:tc>
        <w:tc>
          <w:tcPr>
            <w:tcW w:type="dxa" w:w="381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实践项目 2 的主题、讲解、笔记、导图和自测流程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学生成果</w:t>
            </w:r>
          </w:p>
        </w:tc>
        <w:tc>
          <w:tcPr>
            <w:tcW w:type="dxa" w:w="381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别人做出了什么？</w:t>
            </w:r>
          </w:p>
        </w:tc>
        <w:tc>
          <w:tcPr>
            <w:tcW w:type="dxa" w:w="381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审核作品、修改过程和反思；公开后可分享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家长专区</w:t>
            </w:r>
          </w:p>
        </w:tc>
        <w:tc>
          <w:tcPr>
            <w:tcW w:type="dxa" w:w="381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是否安全、有价值？</w:t>
            </w:r>
          </w:p>
        </w:tc>
        <w:tc>
          <w:tcPr>
            <w:tcW w:type="dxa" w:w="381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价值、边界、陪伴建议、FAQ 与政策入口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三条主路径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学生首次学习：首页 → 学习路线 → 第一课 → 小互动 → 下一课。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学生想做作品：首页/学习路线 → AI 创作实验室 → 选择项目 → 完成步骤 → 预览 → 导出成果。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学生想提高学习效率：首页/学习路线 → AI 学习实验室 → 选择主题 → 定位卡点 → 生成资料包 → 自测。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家长了解项目：首页 → 家长专区 → 课程路线/成果样例 → 安全说明。</w:t>
      </w:r>
    </w:p>
    <w:p>
      <w:pPr>
        <w:pStyle w:val="Heading2"/>
        <w:keepNext/>
      </w:pPr>
      <w:r>
        <w:t>5.3 跳转规则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全站始终保留一级导航；课程正文不弹出营销内容。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课程跳到实验或项目时保留来源；完成后提供“回到本课”和“继续下一步”。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课程页底部只突出一个主动作：下一篇；返回路线和上一页作为次要动作。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所有深层页面显示面包屑；移动端只保留最近两级。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外部工具链接明确提示将离开本站；不直接把未成年人引导到不受控社区。</w:t>
      </w:r>
    </w:p>
    <w:p>
      <w:pPr>
        <w:pStyle w:val="Heading1"/>
        <w:keepNext/>
      </w:pPr>
      <w:r>
        <w:t>6. 参考 labuladong 的布局原则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参考对象的价值不在于某种配色或组件，而在于它把大体量知识组织成了稳定、可连续阅读的文档系统：吸顶导航承担全站定位；左侧树状目录承担课程结构；中间正文保持克制行宽；页内目录、上一篇/下一篇和阅读状态减少迷路。V0.2 将借鉴这些结构原则，并形成独立品牌与少儿课程组件。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493971"/>
            <wp:docPr id="2" name="Picture 2" descr="课程文章页桌面端和移动端布局线框图，包括顶部导航、左侧课程树、正文区、页内目录和移动端抽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layout-v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93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Microsoft YaHei" w:hAnsi="Microsoft YaHei" w:eastAsia="Microsoft YaHei"/>
          <w:i/>
          <w:color w:val="64748B"/>
          <w:sz w:val="18"/>
        </w:rPr>
        <w:t>图 2  课程页桌面与移动端布局骨架</w:t>
      </w:r>
    </w:p>
    <w:p>
      <w:pPr>
        <w:pStyle w:val="Heading2"/>
        <w:keepNext/>
      </w:pPr>
      <w:r>
        <w:t>6.1 建议尺寸与行为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096"/>
        <w:gridCol w:w="4608"/>
      </w:tblGrid>
      <w:tr>
        <w:trPr>
          <w:tblHeader w:val="true"/>
        </w:trPr>
        <w:tc>
          <w:tcPr>
            <w:tcW w:type="dxa" w:w="165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区域</w:t>
            </w:r>
          </w:p>
        </w:tc>
        <w:tc>
          <w:tcPr>
            <w:tcW w:type="dxa" w:w="309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桌面端建议</w:t>
            </w:r>
          </w:p>
        </w:tc>
        <w:tc>
          <w:tcPr>
            <w:tcW w:type="dxa" w:w="460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交互规则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顶栏</w:t>
            </w:r>
          </w:p>
        </w:tc>
        <w:tc>
          <w:tcPr>
            <w:tcW w:type="dxa" w:w="309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约 56px，高度稳定，白色/半透明浅底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吸顶；滚动时不变成大横幅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左侧课程树</w:t>
            </w:r>
          </w:p>
        </w:tc>
        <w:tc>
          <w:tcPr>
            <w:tcW w:type="dxa" w:w="309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约 288–320px，独立滚动</w:t>
            </w:r>
          </w:p>
        </w:tc>
        <w:tc>
          <w:tcPr>
            <w:tcW w:type="dxa" w:w="46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章节折叠；当前课程高亮；显示完成状态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正文</w:t>
            </w:r>
          </w:p>
        </w:tc>
        <w:tc>
          <w:tcPr>
            <w:tcW w:type="dxa" w:w="309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可用区约 760–840px；正文文字行宽更窄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内容优先；标题、目标、互动、小结节奏固定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页内目录</w:t>
            </w:r>
          </w:p>
        </w:tc>
        <w:tc>
          <w:tcPr>
            <w:tcW w:type="dxa" w:w="309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宽屏约 200–240px；中等屏改为顶部下拉</w:t>
            </w:r>
          </w:p>
        </w:tc>
        <w:tc>
          <w:tcPr>
            <w:tcW w:type="dxa" w:w="46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随滚动高亮 H2/H3；不抢占正文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移动端</w:t>
            </w:r>
          </w:p>
        </w:tc>
        <w:tc>
          <w:tcPr>
            <w:tcW w:type="dxa" w:w="309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单列正文</w:t>
            </w:r>
          </w:p>
        </w:tc>
        <w:tc>
          <w:tcPr>
            <w:tcW w:type="dxa" w:w="46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课程目录与页内目录进入抽屉；操作按钮不遮挡内容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借鉴与不复制的边界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可以借鉴</w:t>
            </w:r>
          </w:p>
        </w:tc>
        <w:tc>
          <w:tcPr>
            <w:tcW w:type="dxa" w:w="468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必须重新设计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信息层级、目录折叠、正文宽度、连续阅读、阅读状态</w:t>
            </w:r>
          </w:p>
        </w:tc>
        <w:tc>
          <w:tcPr>
            <w:tcW w:type="dxa" w:w="46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品牌名称、Logo、配色组合、图标、文案和插图</w:t>
            </w:r>
          </w:p>
        </w:tc>
      </w:tr>
      <w:tr>
        <w:trPr>
          <w:trHeight w:hRule="atLeast"/>
        </w:trPr>
        <w:tc>
          <w:tcPr>
            <w:tcW w:type="dxa" w:w="46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课程树 + 正文 + 页内目录的布局逻辑</w:t>
            </w:r>
          </w:p>
        </w:tc>
        <w:tc>
          <w:tcPr>
            <w:tcW w:type="dxa" w:w="46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卡片细节、按钮样式、动画和视觉语言</w:t>
            </w:r>
          </w:p>
        </w:tc>
      </w:tr>
      <w:tr>
        <w:trPr>
          <w:trHeight w:hRule="atLeast"/>
        </w:trPr>
        <w:tc>
          <w:tcPr>
            <w:tcW w:type="dxa" w:w="46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选中内容后进入相关操作的思路</w:t>
            </w:r>
          </w:p>
        </w:tc>
        <w:tc>
          <w:tcPr>
            <w:tcW w:type="dxa" w:w="46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具体 AI 助教交互、付费积分机制和受版权保护内容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逐页框架与内容要求</w:t>
      </w:r>
    </w:p>
    <w:p>
      <w:pPr>
        <w:pStyle w:val="Heading2"/>
        <w:keepNext/>
      </w:pPr>
      <w:r>
        <w:t>7.1 公共首页 /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首屏：一句定位；主按钮“开始学习”；次按钮“看看能做出什么”。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两种核心能力：看懂 AI 与 Agent；用 Agent 创作和学习。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8 阶段路线预览：清楚区分 5 章课程、2 个实践项目和成果阶段，显示时长与成果，不使用无限卡片瀑布流。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两个 Demo：以完成后的作品和资料包为主视觉，再展示过程。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精选成果：展示需求、修改前后和反思，而不只展示截图。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家长信任区：公益、数据最小化、不是代写、使用时长建议。</w:t>
      </w:r>
    </w:p>
    <w:p>
      <w:pPr>
        <w:keepLines/>
        <w:numPr>
          <w:ilvl w:val="0"/>
          <w:numId w:val="18"/>
        </w:numPr>
        <w:spacing w:after="100" w:line="283" w:lineRule="auto"/>
      </w:pPr>
      <w:r>
        <w:rPr>
          <w:rFonts w:ascii="Microsoft YaHei" w:hAnsi="Microsoft YaHei" w:eastAsia="Microsoft YaHei"/>
        </w:rPr>
        <w:t>页脚：关于、隐私、未成年人保护、条款、反馈、更新日志和备案。</w:t>
      </w:r>
    </w:p>
    <w:p>
      <w:pPr>
        <w:pStyle w:val="Heading2"/>
        <w:keepNext/>
      </w:pPr>
      <w:r>
        <w:t>7.2 学习路线 /learn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页面开头说明适合年龄、预计总时长、是否需要编程基础和最终成果。路线不是装饰性时间轴，而是可以直接进入章节、显示状态并理解先后关系的学习地图。</w:t>
      </w:r>
    </w:p>
    <w:p>
      <w:pPr>
        <w:pStyle w:val="Heading2"/>
        <w:keepNext/>
      </w:pPr>
      <w:r>
        <w:t>7.3 课程目录 /courses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采用阶段与章节列表，默认显示推荐顺序。每个条目必须展示标题、学习目标、适合年龄、预计时间、互动标记、成果和状态。避免使用只有封面和标题的大卡片墙。</w:t>
      </w:r>
    </w:p>
    <w:p>
      <w:pPr>
        <w:pStyle w:val="Heading2"/>
        <w:keepNext/>
      </w:pPr>
      <w:r>
        <w:t>7.4 课程阅读页 /courses/[chapter]/[lesson]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正文顶部：面包屑、标题、预计时间、适合年龄、学习成果。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正文中部：生活场景、核心概念、内嵌互动、误区、检查理解。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正文侧边：课程树和页内目录；移动端收进抽屉。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正文底部：小结、成果记录、反馈、更新时间、上一篇/下一篇。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可选操作：收藏、标记不懂、添加笔记；首版可使用本地存储。</w:t>
      </w:r>
    </w:p>
    <w:p>
      <w:pPr>
        <w:pStyle w:val="Heading2"/>
        <w:keepNext/>
      </w:pPr>
      <w:r>
        <w:t>7.5 项目、成果与家长页面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4968"/>
        <w:gridCol w:w="2664"/>
      </w:tblGrid>
      <w:tr>
        <w:trPr>
          <w:tblHeader w:val="true"/>
        </w:trPr>
        <w:tc>
          <w:tcPr>
            <w:tcW w:type="dxa" w:w="172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页面</w:t>
            </w:r>
          </w:p>
        </w:tc>
        <w:tc>
          <w:tcPr>
            <w:tcW w:type="dxa" w:w="496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必须呈现的内容</w:t>
            </w:r>
          </w:p>
        </w:tc>
        <w:tc>
          <w:tcPr>
            <w:tcW w:type="dxa" w:w="266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首版边界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AI 创作实验室</w:t>
            </w:r>
          </w:p>
        </w:tc>
        <w:tc>
          <w:tcPr>
            <w:tcW w:type="dxa" w:w="496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项目选择、最终效果、步骤、预览、修改记录和成果导出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模板化项目；真实模型调用可选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AI 学习实验室</w:t>
            </w:r>
          </w:p>
        </w:tc>
        <w:tc>
          <w:tcPr>
            <w:tcW w:type="dxa" w:w="496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主题、卡点、分步讲解、笔记、导图、自测和总结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先提供完整示例和引导式流程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学生成果</w:t>
            </w:r>
          </w:p>
        </w:tc>
        <w:tc>
          <w:tcPr>
            <w:tcW w:type="dxa" w:w="496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想法、版本变化、最终成果、学到的能力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仅团队或授权作品；不开放匿名上传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家长专区</w:t>
            </w:r>
          </w:p>
        </w:tc>
        <w:tc>
          <w:tcPr>
            <w:tcW w:type="dxa" w:w="496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价值、安全、家庭用法、成果样例和 FAQ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不承诺提分，不宣传代写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政策页面</w:t>
            </w:r>
          </w:p>
        </w:tc>
        <w:tc>
          <w:tcPr>
            <w:tcW w:type="dxa" w:w="496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隐私、未成年人保护、条款、纠错和联系方式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公开可访问，语言清楚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Demo 1（学生端：AI 创作实验室）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FF6FF" w:val="clear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核心任务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学生用自然语言把一个想法变成可运行的浏览器作品，并通过试玩、发现问题和多轮修改理解 Agent 创作流程。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首批项目模板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英语单词闯关游戏。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古诗词填空游戏。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数学口算挑战。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番茄钟或学习计划工具。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个人兴趣介绍网站。</w:t>
      </w:r>
    </w:p>
    <w:p>
      <w:pPr>
        <w:pStyle w:val="Heading2"/>
        <w:keepNext/>
      </w:pPr>
      <w:r>
        <w:t>8.2 完整流程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描述想法：学生用一句话说清楚对象、玩法和希望的结果。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补全需求：通过固定问题确认页面、规则、反馈和难度。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形成计划：把任务拆成页面、数据、交互和检查项。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生成初版：使用外部 Agent 或未来站内受限 Agent 生成 HTML/CSS/JS。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试玩检查：在网站沙盒预览，记录看不懂、不能用或不符合预期之处。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指挥修改：学生明确提出修改理由并比较版本。</w:t>
      </w:r>
    </w:p>
    <w:p>
      <w:pPr>
        <w:keepLines/>
        <w:numPr>
          <w:ilvl w:val="0"/>
          <w:numId w:val="19"/>
        </w:numPr>
        <w:spacing w:after="100" w:line="283" w:lineRule="auto"/>
      </w:pPr>
      <w:r>
        <w:rPr>
          <w:rFonts w:ascii="Microsoft YaHei" w:hAnsi="Microsoft YaHei" w:eastAsia="Microsoft YaHei"/>
        </w:rPr>
        <w:t>整理成果：首版生成本地成果页或单文件导出并填写反思；公开阶段经审核后才提供可失效的分享链接与二维码。</w:t>
      </w:r>
    </w:p>
    <w:p>
      <w:pPr>
        <w:pStyle w:val="Heading2"/>
        <w:keepNext/>
      </w:pPr>
      <w:r>
        <w:t>8.3 页面结构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896"/>
        <w:gridCol w:w="2664"/>
      </w:tblGrid>
      <w:tr>
        <w:trPr>
          <w:tblHeader w:val="true"/>
        </w:trPr>
        <w:tc>
          <w:tcPr>
            <w:tcW w:type="dxa" w:w="180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区域</w:t>
            </w:r>
          </w:p>
        </w:tc>
        <w:tc>
          <w:tcPr>
            <w:tcW w:type="dxa" w:w="489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内容</w:t>
            </w:r>
          </w:p>
        </w:tc>
        <w:tc>
          <w:tcPr>
            <w:tcW w:type="dxa" w:w="266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目的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项目说明</w:t>
            </w:r>
          </w:p>
        </w:tc>
        <w:tc>
          <w:tcPr>
            <w:tcW w:type="dxa" w:w="489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最终效果、适合年级、预计时间、所需工具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先看成果，再决定是否开始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需求画布</w:t>
            </w:r>
          </w:p>
        </w:tc>
        <w:tc>
          <w:tcPr>
            <w:tcW w:type="dxa" w:w="489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受众、功能、规则、界面、完成标准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把模糊想法变成可执行需求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步骤轨道</w:t>
            </w:r>
          </w:p>
        </w:tc>
        <w:tc>
          <w:tcPr>
            <w:tcW w:type="dxa" w:w="489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当前步骤、检查项、已完成记录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保留过程，避免“一句话生成”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预览沙盒</w:t>
            </w:r>
          </w:p>
        </w:tc>
        <w:tc>
          <w:tcPr>
            <w:tcW w:type="dxa" w:w="489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粘贴或加载 HTML/CSS/JS，受限 iframe 运行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立即试玩，不要求复杂本地环境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版本记录</w:t>
            </w:r>
          </w:p>
        </w:tc>
        <w:tc>
          <w:tcPr>
            <w:tcW w:type="dxa" w:w="489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修改原因、前后对比、问题是否解决</w:t>
            </w:r>
          </w:p>
        </w:tc>
        <w:tc>
          <w:tcPr>
            <w:tcW w:type="dxa" w:w="266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训练调试和核验能力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成果页</w:t>
            </w:r>
          </w:p>
        </w:tc>
        <w:tc>
          <w:tcPr>
            <w:tcW w:type="dxa" w:w="489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截图、能力标签和反思；公开阶段审核后再增加链接与二维码</w:t>
            </w:r>
          </w:p>
        </w:tc>
        <w:tc>
          <w:tcPr>
            <w:tcW w:type="dxa" w:w="266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形成可展示证据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8.4 不依赖站内 API 的首版实现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公益首版提供两条低成本路径：没有外部 Agent 账号的学生可使用预置模板走完需求、测试和修改方法；具备经允许外部 Agent 的学生，可在外部工具生成代码后粘贴回本站预览和修改。网站负责教学流程、需求模板、检查清单、版本记录与成果整理，不承担每次模型调用费用。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首版技术边界</w:t>
            </w:r>
          </w:p>
        </w:tc>
        <w:tc>
          <w:tcPr>
            <w:tcW w:type="dxa" w:w="727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具体规则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允许的作品</w:t>
            </w:r>
          </w:p>
        </w:tc>
        <w:tc>
          <w:tcPr>
            <w:tcW w:type="dxa" w:w="72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仅接收自包含的 HTML、CSS 和原生 JavaScript；不支持服务端程序、npm 依赖或数据库。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禁止的能力</w:t>
            </w:r>
          </w:p>
        </w:tc>
        <w:tc>
          <w:tcPr>
            <w:tcW w:type="dxa" w:w="72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禁止外部网络请求、文件系统访问、API Key、持久化凭据、未经允许的浏览器存储、顶层跳转和弹窗。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运行隔离</w:t>
            </w:r>
          </w:p>
        </w:tc>
        <w:tc>
          <w:tcPr>
            <w:tcW w:type="dxa" w:w="727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“纯前端”不等于天然安全；需使用独立来源的 sandboxed iframe 或 Worker，配合严格 CSP、代码/输出体积上限、超时/强制重置和错误捕获。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成果导出</w:t>
            </w:r>
          </w:p>
        </w:tc>
        <w:tc>
          <w:tcPr>
            <w:tcW w:type="dxa" w:w="727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首版优先导出单文件静态 HTML；公开托管、分享链接和二维码需在安全审核与资源预算明确后开放。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BEB" w:val="clear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  <w:insideH w:val="single" w:sz="8" w:space="0" w:color="B45309"/>
              <w:insideV w:val="single" w:sz="8" w:space="0" w:color="B45309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教学底线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页面必须要求学生解释“我想改什么、为什么改、怎样判断成功”。如果只保留一个输入框和最终成品，学生仍是观看者。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8.5 完成标准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作品能在现代浏览器中运行，无明显报错。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至少完成两次有明确理由的修改。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学生能用自己的话说明核心功能和一项限制。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作品页不暴露真实姓名、学校、班级和联系方式。</w:t>
      </w:r>
    </w:p>
    <w:p>
      <w:pPr>
        <w:pStyle w:val="Heading1"/>
        <w:keepNext/>
      </w:pPr>
      <w:r>
        <w:t>9. Demo 2（学生端：AI 学习实验室）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CFDF5" w:val="clear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0F766E"/>
                <w:sz w:val="21"/>
              </w:rPr>
              <w:t xml:space="preserve">核心任务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学生选择一个真实学习主题，借助受约束的 Agent 方法定位卡点、分步理解，并整理出可复习、可自测的个人学习资料包。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示例主题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首个完整示例建议采用“初中物理：浮力”。它包含概念、公式、生活现象、图示和计算，能展示追问、分步讲解、误区判断、笔记、思维导图和自测的完整价值。</w:t>
      </w:r>
    </w:p>
    <w:p>
      <w:pPr>
        <w:pStyle w:val="Heading2"/>
        <w:keepNext/>
      </w:pPr>
      <w:r>
        <w:t>9.2 完整流程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选择主题：输入课程、章节、年级和自己的困惑。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定位卡点：通过 2–4 个问题判断是概念、条件、公式还是计算困难。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分步讲解：每次只推进一步，先让学生回答，再决定下一步。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检查理解：通过一个相似情境或小题验证是否真的理解。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整理资料：生成一页精简笔记、知识卡片和思维导图。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针对薄弱点自测：生成少量题目并解释错因。</w:t>
      </w:r>
    </w:p>
    <w:p>
      <w:pPr>
        <w:keepLines/>
        <w:numPr>
          <w:ilvl w:val="0"/>
          <w:numId w:val="20"/>
        </w:numPr>
        <w:spacing w:after="100" w:line="283" w:lineRule="auto"/>
      </w:pPr>
      <w:r>
        <w:rPr>
          <w:rFonts w:ascii="Microsoft YaHei" w:hAnsi="Microsoft YaHei" w:eastAsia="Microsoft YaHei"/>
        </w:rPr>
        <w:t>形成总结：记录掌握内容、仍需复习的知识点和下一步建议。</w:t>
      </w:r>
    </w:p>
    <w:p>
      <w:pPr>
        <w:pStyle w:val="Heading2"/>
        <w:keepNext/>
      </w:pPr>
      <w:r>
        <w:t>9.3 最终资料包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824"/>
        <w:gridCol w:w="2736"/>
      </w:tblGrid>
      <w:tr>
        <w:trPr>
          <w:tblHeader w:val="true"/>
        </w:trPr>
        <w:tc>
          <w:tcPr>
            <w:tcW w:type="dxa" w:w="180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输出</w:t>
            </w:r>
          </w:p>
        </w:tc>
        <w:tc>
          <w:tcPr>
            <w:tcW w:type="dxa" w:w="482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内容要求</w:t>
            </w:r>
          </w:p>
        </w:tc>
        <w:tc>
          <w:tcPr>
            <w:tcW w:type="dxa" w:w="273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使用方式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一页精简笔记</w:t>
            </w:r>
          </w:p>
        </w:tc>
        <w:tc>
          <w:tcPr>
            <w:tcW w:type="dxa" w:w="48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定义、条件、公式、典型思路、易错点</w:t>
            </w:r>
          </w:p>
        </w:tc>
        <w:tc>
          <w:tcPr>
            <w:tcW w:type="dxa" w:w="273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打印或课前快速复习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思维导图</w:t>
            </w:r>
          </w:p>
        </w:tc>
        <w:tc>
          <w:tcPr>
            <w:tcW w:type="dxa" w:w="48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章节层级和知识联系，不堆叠长句</w:t>
            </w:r>
          </w:p>
        </w:tc>
        <w:tc>
          <w:tcPr>
            <w:tcW w:type="dxa" w:w="273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理解整体结构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知识卡片</w:t>
            </w:r>
          </w:p>
        </w:tc>
        <w:tc>
          <w:tcPr>
            <w:tcW w:type="dxa" w:w="48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一个问题对应一个简短答案</w:t>
            </w:r>
          </w:p>
        </w:tc>
        <w:tc>
          <w:tcPr>
            <w:tcW w:type="dxa" w:w="273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主动回忆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自测题</w:t>
            </w:r>
          </w:p>
        </w:tc>
        <w:tc>
          <w:tcPr>
            <w:tcW w:type="dxa" w:w="48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覆盖薄弱点，难度适龄，附步骤而非只给答案</w:t>
            </w:r>
          </w:p>
        </w:tc>
        <w:tc>
          <w:tcPr>
            <w:tcW w:type="dxa" w:w="273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检验理解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错因与薄弱点</w:t>
            </w:r>
          </w:p>
        </w:tc>
        <w:tc>
          <w:tcPr>
            <w:tcW w:type="dxa" w:w="48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区分概念错误、条件遗漏、计算和表达问题</w:t>
            </w:r>
          </w:p>
        </w:tc>
        <w:tc>
          <w:tcPr>
            <w:tcW w:type="dxa" w:w="273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制定复习重点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学习总结</w:t>
            </w:r>
          </w:p>
        </w:tc>
        <w:tc>
          <w:tcPr>
            <w:tcW w:type="dxa" w:w="48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学习前后变化、仍不确定处、下一步</w:t>
            </w:r>
          </w:p>
        </w:tc>
        <w:tc>
          <w:tcPr>
            <w:tcW w:type="dxa" w:w="273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学生和家长共同查看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9.4 首版低成本形态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首版提供两种入口：第一种是无需任何 Agent 账号的“浮力”预置体验，以规则化诊断和静态数据模拟每一步，帮助学生完整学习方法，但不宣称是真正自由 Agent；第二种是“自主实践任务单”，引导学生在经允许的外部 Agent 中完成对话，再把关键信息带回本站整理。待试点证明使用价值后，再把固定流程接入站内 API。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FF6FF" w:val="clear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API 接入形态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零 API 预置体验与未来 API 版共用同一份 JSON 数据结构。接入模型后仍采用固定学习工作流，而非通用聊天；模型只提交卡点判断、逐步提示、笔记、导图节点、自测与复习建议等字段。服务端必须执行 schema 校验、字段白名单、长度限制与转义，失败时有限重试并降级到预置内容；前端只用受控组件渲染，拒绝任意 HTML。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9.5 教学约束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默认先提问和提示，不直接给最终作业答案。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讲解必须匹配年级和已学知识，必要时让学生确认教材版本。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数学、物理计算需进行第二次检查；不确定时明确说明。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生成材料必须允许学生编辑，不能把模型输出视为权威答案。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笔记、导图和自测记录必须支持修改、删除与导出；学生始终拥有最终决定权。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自测结果只用于学习反馈，不用于医学、心理或能力诊断。</w:t>
      </w:r>
    </w:p>
    <w:p>
      <w:pPr>
        <w:pStyle w:val="Heading1"/>
        <w:keepNext/>
      </w:pPr>
      <w:r>
        <w:t>10. API 成本控制与接入闸门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模型 API 不应成为网站第一天就必须承担的固定成本。V0.2 将课程内容、项目流程和模型调用解耦：没有 API 时网站仍能学习；接入 API 后只增强少量高价值步骤，而不是让每个页面访问都产生调用。</w:t>
      </w:r>
    </w:p>
    <w:p>
      <w:pPr>
        <w:pStyle w:val="Heading2"/>
        <w:keepNext/>
      </w:pPr>
      <w:r>
        <w:t>10.1 零 API 也能完成的功能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课程阅读、路线图、全文搜索和阅读进度。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预置语料的“猜下一个词”、分类器和 Agent 任务排序。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项目需求画布、提示词模板、检查清单和版本记录。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浏览器端代码预览、静态思维导图和示例资料包。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作品展示、家长专区、反馈和政策页面。</w:t>
      </w:r>
    </w:p>
    <w:p>
      <w:pPr>
        <w:pStyle w:val="Heading2"/>
        <w:keepNext/>
      </w:pPr>
      <w:r>
        <w:t>10.2 真实 API 的开放顺序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2"/>
        <w:gridCol w:w="2541"/>
        <w:gridCol w:w="3009"/>
        <w:gridCol w:w="3008"/>
      </w:tblGrid>
      <w:tr>
        <w:trPr>
          <w:tblHeader w:val="true"/>
        </w:trPr>
        <w:tc>
          <w:tcPr>
            <w:tcW w:type="dxa" w:w="80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优先级</w:t>
            </w:r>
          </w:p>
        </w:tc>
        <w:tc>
          <w:tcPr>
            <w:tcW w:type="dxa" w:w="2541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功能</w:t>
            </w:r>
          </w:p>
        </w:tc>
        <w:tc>
          <w:tcPr>
            <w:tcW w:type="dxa" w:w="3009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原因</w:t>
            </w:r>
          </w:p>
        </w:tc>
        <w:tc>
          <w:tcPr>
            <w:tcW w:type="dxa" w:w="300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控制方式</w:t>
            </w:r>
          </w:p>
        </w:tc>
      </w:tr>
      <w:tr>
        <w:trPr>
          <w:trHeight w:hRule="atLeast"/>
        </w:trPr>
        <w:tc>
          <w:tcPr>
            <w:tcW w:type="dxa" w:w="80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P1</w:t>
            </w:r>
          </w:p>
        </w:tc>
        <w:tc>
          <w:tcPr>
            <w:tcW w:type="dxa" w:w="25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选中课程段落后解释</w:t>
            </w:r>
          </w:p>
        </w:tc>
        <w:tc>
          <w:tcPr>
            <w:tcW w:type="dxa" w:w="300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上下文短、价值明确、容易评测</w:t>
            </w:r>
          </w:p>
        </w:tc>
        <w:tc>
          <w:tcPr>
            <w:tcW w:type="dxa" w:w="30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限制字数、每日次数、固定系统提示</w:t>
            </w:r>
          </w:p>
        </w:tc>
      </w:tr>
      <w:tr>
        <w:trPr>
          <w:trHeight w:hRule="atLeast"/>
        </w:trPr>
        <w:tc>
          <w:tcPr>
            <w:tcW w:type="dxa" w:w="80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P1</w:t>
            </w:r>
          </w:p>
        </w:tc>
        <w:tc>
          <w:tcPr>
            <w:tcW w:type="dxa" w:w="2541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将已完成对话整理为笔记</w:t>
            </w:r>
          </w:p>
        </w:tc>
        <w:tc>
          <w:tcPr>
            <w:tcW w:type="dxa" w:w="3009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单次调用即可形成可见成果</w:t>
            </w:r>
          </w:p>
        </w:tc>
        <w:tc>
          <w:tcPr>
            <w:tcW w:type="dxa" w:w="30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结构化 JSON、缓存、允许编辑</w:t>
            </w:r>
          </w:p>
        </w:tc>
      </w:tr>
      <w:tr>
        <w:trPr>
          <w:trHeight w:hRule="atLeast"/>
        </w:trPr>
        <w:tc>
          <w:tcPr>
            <w:tcW w:type="dxa" w:w="80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P2</w:t>
            </w:r>
          </w:p>
        </w:tc>
        <w:tc>
          <w:tcPr>
            <w:tcW w:type="dxa" w:w="25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针对薄弱点生成 3–5 题</w:t>
            </w:r>
          </w:p>
        </w:tc>
        <w:tc>
          <w:tcPr>
            <w:tcW w:type="dxa" w:w="300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能闭环学习，但需质量评测</w:t>
            </w:r>
          </w:p>
        </w:tc>
        <w:tc>
          <w:tcPr>
            <w:tcW w:type="dxa" w:w="30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题型模板、答案校验、教师样本</w:t>
            </w:r>
          </w:p>
        </w:tc>
      </w:tr>
      <w:tr>
        <w:trPr>
          <w:trHeight w:hRule="atLeast"/>
        </w:trPr>
        <w:tc>
          <w:tcPr>
            <w:tcW w:type="dxa" w:w="80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P2</w:t>
            </w:r>
          </w:p>
        </w:tc>
        <w:tc>
          <w:tcPr>
            <w:tcW w:type="dxa" w:w="2541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项目需求补全和修改建议</w:t>
            </w:r>
          </w:p>
        </w:tc>
        <w:tc>
          <w:tcPr>
            <w:tcW w:type="dxa" w:w="3009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能提升创作过程</w:t>
            </w:r>
          </w:p>
        </w:tc>
        <w:tc>
          <w:tcPr>
            <w:tcW w:type="dxa" w:w="30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固定步骤、禁止任意工具调用</w:t>
            </w:r>
          </w:p>
        </w:tc>
      </w:tr>
      <w:tr>
        <w:trPr>
          <w:trHeight w:hRule="atLeast"/>
        </w:trPr>
        <w:tc>
          <w:tcPr>
            <w:tcW w:type="dxa" w:w="80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P3</w:t>
            </w:r>
          </w:p>
        </w:tc>
        <w:tc>
          <w:tcPr>
            <w:tcW w:type="dxa" w:w="2541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开放式长期聊天</w:t>
            </w:r>
          </w:p>
        </w:tc>
        <w:tc>
          <w:tcPr>
            <w:tcW w:type="dxa" w:w="3009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成本与安全不确定性最高</w:t>
            </w:r>
          </w:p>
        </w:tc>
        <w:tc>
          <w:tcPr>
            <w:tcW w:type="dxa" w:w="30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不作为早期功能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成本与安全控制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统一模型网关：前端永远不保存服务商密钥。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按功能设额度：区分解释、整理、生成题目和代码任务的上限。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上下文最小化：只发送当前课程片段、学生问题和必要历史。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缓存与去重：相同课程概念的公共解释可以复用。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模型分层：普通整理使用低成本模型，复杂核验才使用高能力模型。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会话摘要：长对话只保留结构化摘要，不反复传输全部内容。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预算告警和自动降级：达到日/月阈值后切回预置内容或排队。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先评测再开放：每个 AI 功能必须有题库、失败样例和人工复核流程。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8FAFC" w:val="clear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  <w:insideH w:val="single" w:sz="8" w:space="0" w:color="64748B"/>
              <w:insideV w:val="single" w:sz="8" w:space="0" w:color="64748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64748B"/>
                <w:sz w:val="21"/>
              </w:rPr>
              <w:t xml:space="preserve">预算公式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月模型成本 = 月活学生 × AI 功能启用比例 × 人均月会话数 × 单次平均成本。正式接入前必须用真实日志估算后三项，而不是只比较模型单价。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内容、互动与进度系统</w:t>
      </w:r>
    </w:p>
    <w:p>
      <w:pPr>
        <w:pStyle w:val="Heading2"/>
        <w:keepNext/>
      </w:pPr>
      <w:r>
        <w:t>11.1 内容作为独立资产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课程正文使用 MDX/Markdown 管理；互动实验、提示框、测验、项目步骤和成果预览以标准组件插入。内容负责人可以在不修改页面布局的情况下编写课程，技术负责人可以在不改文章正文的情况下升级组件。</w:t>
      </w:r>
    </w:p>
    <w:p>
      <w:pPr>
        <w:pStyle w:val="Heading2"/>
        <w:keepNext/>
      </w:pPr>
      <w:r>
        <w:t>11.2 首批标准组件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320"/>
        <w:gridCol w:w="2808"/>
      </w:tblGrid>
      <w:tr>
        <w:trPr>
          <w:tblHeader w:val="true"/>
        </w:trPr>
        <w:tc>
          <w:tcPr>
            <w:tcW w:type="dxa" w:w="223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组件</w:t>
            </w:r>
          </w:p>
        </w:tc>
        <w:tc>
          <w:tcPr>
            <w:tcW w:type="dxa" w:w="432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用途</w:t>
            </w:r>
          </w:p>
        </w:tc>
        <w:tc>
          <w:tcPr>
            <w:tcW w:type="dxa" w:w="280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首版实现</w:t>
            </w:r>
          </w:p>
        </w:tc>
      </w:tr>
      <w:tr>
        <w:trPr>
          <w:trHeight w:hRule="atLeast"/>
        </w:trPr>
        <w:tc>
          <w:tcPr>
            <w:tcW w:type="dxa" w:w="22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LessonGoal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学习目标、时长、先修和成果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静态组件</w:t>
            </w:r>
          </w:p>
        </w:tc>
      </w:tr>
      <w:tr>
        <w:trPr>
          <w:trHeight w:hRule="atLeast"/>
        </w:trPr>
        <w:tc>
          <w:tcPr>
            <w:tcW w:type="dxa" w:w="22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ConceptCard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一个核心概念和生活化例子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静态组件</w:t>
            </w:r>
          </w:p>
        </w:tc>
      </w:tr>
      <w:tr>
        <w:trPr>
          <w:trHeight w:hRule="atLeast"/>
        </w:trPr>
        <w:tc>
          <w:tcPr>
            <w:tcW w:type="dxa" w:w="22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MiniLab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轻量互动或预置模拟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React + 本地状态</w:t>
            </w:r>
          </w:p>
        </w:tc>
      </w:tr>
      <w:tr>
        <w:trPr>
          <w:trHeight w:hRule="atLeast"/>
        </w:trPr>
        <w:tc>
          <w:tcPr>
            <w:tcW w:type="dxa" w:w="22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CheckUnderstanding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选择、排序、简答自检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本地判定或预置反馈</w:t>
            </w:r>
          </w:p>
        </w:tc>
      </w:tr>
      <w:tr>
        <w:trPr>
          <w:trHeight w:hRule="atLeast"/>
        </w:trPr>
        <w:tc>
          <w:tcPr>
            <w:tcW w:type="dxa" w:w="22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Misconception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易错点和核验提醒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固定样式提示框</w:t>
            </w:r>
          </w:p>
        </w:tc>
      </w:tr>
      <w:tr>
        <w:trPr>
          <w:trHeight w:hRule="atLeast"/>
        </w:trPr>
        <w:tc>
          <w:tcPr>
            <w:tcW w:type="dxa" w:w="22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ProjectStep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项目步骤、检查项和过程记录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localStorage；未来同步账户</w:t>
            </w:r>
          </w:p>
        </w:tc>
      </w:tr>
      <w:tr>
        <w:trPr>
          <w:trHeight w:hRule="atLeast"/>
        </w:trPr>
        <w:tc>
          <w:tcPr>
            <w:tcW w:type="dxa" w:w="22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OutputPack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笔记、导图、卡片和自测输出</w:t>
            </w:r>
          </w:p>
        </w:tc>
        <w:tc>
          <w:tcPr>
            <w:tcW w:type="dxa" w:w="280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静态示例；未来结构化生成</w:t>
            </w:r>
          </w:p>
        </w:tc>
      </w:tr>
      <w:tr>
        <w:trPr>
          <w:trHeight w:hRule="atLeast"/>
        </w:trPr>
        <w:tc>
          <w:tcPr>
            <w:tcW w:type="dxa" w:w="22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ParentNote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家长可见成果与陪伴建议</w:t>
            </w:r>
          </w:p>
        </w:tc>
        <w:tc>
          <w:tcPr>
            <w:tcW w:type="dxa" w:w="280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静态组件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课程元数据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3240"/>
        <w:gridCol w:w="3960"/>
      </w:tblGrid>
      <w:tr>
        <w:trPr>
          <w:tblHeader w:val="true"/>
        </w:trPr>
        <w:tc>
          <w:tcPr>
            <w:tcW w:type="dxa" w:w="21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字段</w:t>
            </w:r>
          </w:p>
        </w:tc>
        <w:tc>
          <w:tcPr>
            <w:tcW w:type="dxa" w:w="324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示例</w:t>
            </w:r>
          </w:p>
        </w:tc>
        <w:tc>
          <w:tcPr>
            <w:tcW w:type="dxa" w:w="39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作用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slug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llm-next-token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稳定 URL 与搜索标识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title / order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大语言模型如何工作 / 3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生成课程树和上一篇/下一篇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age / duration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10–14 / 12 min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显示适龄与时间预期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outcome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完成词语预测实验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成果导向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prerequisites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[ai-basics]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控制推荐顺序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labs / projects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[next-token-demo]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关联互动与项目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status / updatedAt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published / 2026-07-26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发布与维护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reviewer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team-member-b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内容复核责任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进度设计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首版可用浏览器 localStorage 记录“未开始、学习中、已完成”和项目检查项，不要求注册。界面必须说明这些记录只保存在当前浏览器。未来需要跨设备、班级或作品保存时，再引入账户与数据库。</w:t>
      </w:r>
    </w:p>
    <w:p>
      <w:pPr>
        <w:pStyle w:val="Heading1"/>
        <w:keepNext/>
      </w:pPr>
      <w:r>
        <w:t>12. 视觉与交互规范</w:t>
      </w:r>
    </w:p>
    <w:p>
      <w:pPr>
        <w:pStyle w:val="Heading2"/>
        <w:keepNext/>
      </w:pPr>
      <w:r>
        <w:t>12.1 视觉基调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FF6FF" w:val="clear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视觉方向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像一本清晰、现代、可以动手操作的学习手册：明亮、克制、有科技感但不幼稚。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376"/>
        <w:gridCol w:w="5184"/>
      </w:tblGrid>
      <w:tr>
        <w:trPr>
          <w:tblHeader w:val="true"/>
        </w:trPr>
        <w:tc>
          <w:tcPr>
            <w:tcW w:type="dxa" w:w="180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设计变量</w:t>
            </w:r>
          </w:p>
        </w:tc>
        <w:tc>
          <w:tcPr>
            <w:tcW w:type="dxa" w:w="237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建议值</w:t>
            </w:r>
          </w:p>
        </w:tc>
        <w:tc>
          <w:tcPr>
            <w:tcW w:type="dxa" w:w="518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页面背景</w:t>
            </w:r>
          </w:p>
        </w:tc>
        <w:tc>
          <w:tcPr>
            <w:tcW w:type="dxa" w:w="237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#FFFFFF / #F8FAFC</w:t>
            </w:r>
          </w:p>
        </w:tc>
        <w:tc>
          <w:tcPr>
            <w:tcW w:type="dxa" w:w="518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正文纯净，侧栏和辅助区用极浅灰区分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主色</w:t>
            </w:r>
          </w:p>
        </w:tc>
        <w:tc>
          <w:tcPr>
            <w:tcW w:type="dxa" w:w="237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#2563EB</w:t>
            </w:r>
          </w:p>
        </w:tc>
        <w:tc>
          <w:tcPr>
            <w:tcW w:type="dxa" w:w="518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用于当前位置、主按钮和关键链接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辅助色</w:t>
            </w:r>
          </w:p>
        </w:tc>
        <w:tc>
          <w:tcPr>
            <w:tcW w:type="dxa" w:w="237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#0F766E</w:t>
            </w:r>
          </w:p>
        </w:tc>
        <w:tc>
          <w:tcPr>
            <w:tcW w:type="dxa" w:w="518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用于完成状态与 AI 学习实验室模块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提醒色</w:t>
            </w:r>
          </w:p>
        </w:tc>
        <w:tc>
          <w:tcPr>
            <w:tcW w:type="dxa" w:w="237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#B45309</w:t>
            </w:r>
          </w:p>
        </w:tc>
        <w:tc>
          <w:tcPr>
            <w:tcW w:type="dxa" w:w="518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用于注意和核验，不大面积铺色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正文色</w:t>
            </w:r>
          </w:p>
        </w:tc>
        <w:tc>
          <w:tcPr>
            <w:tcW w:type="dxa" w:w="237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#1F2937</w:t>
            </w:r>
          </w:p>
        </w:tc>
        <w:tc>
          <w:tcPr>
            <w:tcW w:type="dxa" w:w="518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比纯黑柔和，保证对比度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中文字体</w:t>
            </w:r>
          </w:p>
        </w:tc>
        <w:tc>
          <w:tcPr>
            <w:tcW w:type="dxa" w:w="237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系统无衬线 / 思源黑体 / 微软雅黑</w:t>
            </w:r>
          </w:p>
        </w:tc>
        <w:tc>
          <w:tcPr>
            <w:tcW w:type="dxa" w:w="518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正文桌面 16–18px，行高约 1.7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圆角</w:t>
            </w:r>
          </w:p>
        </w:tc>
        <w:tc>
          <w:tcPr>
            <w:tcW w:type="dxa" w:w="237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8–12px</w:t>
            </w:r>
          </w:p>
        </w:tc>
        <w:tc>
          <w:tcPr>
            <w:tcW w:type="dxa" w:w="518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只用于卡片、输入和互动，不给所有元素套卡片</w:t>
            </w:r>
          </w:p>
        </w:tc>
      </w:tr>
      <w:tr>
        <w:trPr>
          <w:trHeight w:hRule="atLeast"/>
        </w:trPr>
        <w:tc>
          <w:tcPr>
            <w:tcW w:type="dxa" w:w="18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阴影</w:t>
            </w:r>
          </w:p>
        </w:tc>
        <w:tc>
          <w:tcPr>
            <w:tcW w:type="dxa" w:w="237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极弱或不用</w:t>
            </w:r>
          </w:p>
        </w:tc>
        <w:tc>
          <w:tcPr>
            <w:tcW w:type="dxa" w:w="518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主要依靠边框、间距和层级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阅读与交互原则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一个页面只有一个主要任务；首屏只保留一个主按钮和一个次按钮。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每段尽量控制在 3–5 行；术语第一次出现时用生活化解释。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提示框只保留“注意、试一试、给家长看”三类，颜色固定。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代码先展示运行结果，再解释关键部分，不默认展开大段源码。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互动控件有文字标签、键盘焦点和明确反馈，不能只靠颜色表达。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减少弹窗、悬浮装饰、卡片堆叠、渐变和大面积动画。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移动端所有主要动作可单手触达，但浮动按钮不得遮挡正文。</w:t>
      </w:r>
    </w:p>
    <w:p>
      <w:pPr>
        <w:pStyle w:val="Heading2"/>
        <w:keepNext/>
      </w:pPr>
      <w:r>
        <w:t>12.3 品牌独立性</w:t>
      </w: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可参考 labuladong 的信息架构和阅读节奏，但应重新设计 Logo、名称、配色、图标、插画、课程卡片和互动反馈。上线前进行一次“相似性检查”，避免品牌和页面细节形成一一对应。</w:t>
      </w:r>
    </w:p>
    <w:p>
      <w:pPr>
        <w:pStyle w:val="Heading1"/>
        <w:keepNext/>
      </w:pPr>
      <w:r>
        <w:t>13. 技术架构与部署</w:t>
      </w:r>
    </w:p>
    <w:p>
      <w:pPr>
        <w:pStyle w:val="Heading2"/>
        <w:keepNext/>
      </w:pPr>
      <w:r>
        <w:t>13.1 首版技术栈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240"/>
        <w:gridCol w:w="4392"/>
      </w:tblGrid>
      <w:tr>
        <w:trPr>
          <w:tblHeader w:val="true"/>
        </w:trPr>
        <w:tc>
          <w:tcPr>
            <w:tcW w:type="dxa" w:w="172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层级</w:t>
            </w:r>
          </w:p>
        </w:tc>
        <w:tc>
          <w:tcPr>
            <w:tcW w:type="dxa" w:w="324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建议</w:t>
            </w:r>
          </w:p>
        </w:tc>
        <w:tc>
          <w:tcPr>
            <w:tcW w:type="dxa" w:w="439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理由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框架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Next.js + TypeScript</w:t>
            </w:r>
          </w:p>
        </w:tc>
        <w:tc>
          <w:tcPr>
            <w:tcW w:type="dxa" w:w="439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适合内容页、SEO、组件化和未来服务端能力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样式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Tailwind CSS + tokens.css</w:t>
            </w:r>
          </w:p>
        </w:tc>
        <w:tc>
          <w:tcPr>
            <w:tcW w:type="dxa" w:w="439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减少零散样式，便于两人协作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内容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MDX/Markdown + schema 校验</w:t>
            </w:r>
          </w:p>
        </w:tc>
        <w:tc>
          <w:tcPr>
            <w:tcW w:type="dxa" w:w="439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课程可版本管理并插入互动组件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互动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React + SVG/Canvas</w:t>
            </w:r>
          </w:p>
        </w:tc>
        <w:tc>
          <w:tcPr>
            <w:tcW w:type="dxa" w:w="439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轻量、可复用、首版无需模型服务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搜索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静态全文索引</w:t>
            </w:r>
          </w:p>
        </w:tc>
        <w:tc>
          <w:tcPr>
            <w:tcW w:type="dxa" w:w="439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不依赖数据库即可搜索课程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测试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Vitest + Playwright</w:t>
            </w:r>
          </w:p>
        </w:tc>
        <w:tc>
          <w:tcPr>
            <w:tcW w:type="dxa" w:w="439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覆盖组件逻辑、跳转和响应式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统计</w:t>
            </w:r>
          </w:p>
        </w:tc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隐私友好的自托管统计</w:t>
            </w:r>
          </w:p>
        </w:tc>
        <w:tc>
          <w:tcPr>
            <w:tcW w:type="dxa" w:w="439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了解访问和完成率，减少第三方数据暴露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部署</w:t>
            </w:r>
          </w:p>
        </w:tc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Docker + Nginx + HTTPS</w:t>
            </w:r>
          </w:p>
        </w:tc>
        <w:tc>
          <w:tcPr>
            <w:tcW w:type="dxa" w:w="439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阿里云、腾讯云及其他环境均可迁移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架构分层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8FAFC" w:val="clear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  <w:insideH w:val="single" w:sz="8" w:space="0" w:color="64748B"/>
              <w:insideV w:val="single" w:sz="8" w:space="0" w:color="64748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64748B"/>
                <w:sz w:val="21"/>
              </w:rPr>
              <w:t xml:space="preserve">首版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浏览器 → Next.js 静态/服务端渲染 → MDX 内容与本地互动。没有账户数据库，也没有模型网关。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FF6FF" w:val="clear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  <w:insideH w:val="single" w:sz="8" w:space="0" w:color="2563EB"/>
              <w:insideV w:val="single" w:sz="8" w:space="0" w:color="2563EB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2563EB"/>
                <w:sz w:val="21"/>
              </w:rPr>
              <w:t xml:space="preserve">增强版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浏览器 → 应用 API → 鉴权/额度/审核 → 模型网关 → Kimi、DeepSeek 或其他合规服务；数据写入 PostgreSQL，对象存储保存授权作品。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部署路径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开发阶段使用本地与预览环境；先确定域名、品牌配置和环境变量约定。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若使用中国大陆节点，预留 ICP 备案时间和材料；正式要求以届时官方信息为准。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云服务器使用 Ubuntu LTS；安全组仅开放 80/443 和受控管理端口。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Docker Compose 运行应用，Nginx 负责反向代理、压缩、缓存和 HTTPS。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图片和成果封面后续迁移到 OSS/COS；流量增长后再启用 CDN。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main 分支发布；先部署测试环境，通过验收后再发布生产。</w:t>
      </w:r>
    </w:p>
    <w:p>
      <w:pPr>
        <w:keepLines/>
        <w:numPr>
          <w:ilvl w:val="0"/>
          <w:numId w:val="21"/>
        </w:numPr>
        <w:spacing w:after="100" w:line="283" w:lineRule="auto"/>
      </w:pPr>
      <w:r>
        <w:rPr>
          <w:rFonts w:ascii="Microsoft YaHei" w:hAnsi="Microsoft YaHei" w:eastAsia="Microsoft YaHei"/>
        </w:rPr>
        <w:t>备份配置与未来数据库；记录版本、发布时间和可执行回滚步骤。</w:t>
      </w:r>
    </w:p>
    <w:p>
      <w:pPr>
        <w:pStyle w:val="Heading2"/>
        <w:keepNext/>
      </w:pPr>
      <w:r>
        <w:t>13.4 安全底线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模型和第三方服务密钥只在服务端，不进入前端、日志或公开仓库。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代码预览使用 sandboxed iframe，限制网络、存储和高风险浏览器能力。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首版不收集真实姓名、学校、班级、公开头像和精确位置。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个人成果默认私密且不可索引；未来公开发布需学生/监护人确认与人工审核，并支持删除、失效、举报和管理员下架。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错误监控不得记录完整学生输入、密钥或敏感个人信息。</w:t>
      </w:r>
    </w:p>
    <w:p>
      <w:pPr>
        <w:pStyle w:val="Heading1"/>
        <w:keepNext/>
      </w:pPr>
      <w:r>
        <w:t>14. 两人分工与协作规则</w:t>
      </w:r>
    </w:p>
    <w:p>
      <w:pPr>
        <w:pStyle w:val="Heading2"/>
        <w:keepNext/>
      </w:pPr>
      <w:r>
        <w:t>14.1 推荐职责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960"/>
        <w:gridCol w:w="3744"/>
      </w:tblGrid>
      <w:tr>
        <w:trPr>
          <w:tblHeader w:val="true"/>
        </w:trPr>
        <w:tc>
          <w:tcPr>
            <w:tcW w:type="dxa" w:w="165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工作包</w:t>
            </w:r>
          </w:p>
        </w:tc>
        <w:tc>
          <w:tcPr>
            <w:tcW w:type="dxa" w:w="39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成员 A：产品/内容/公共页面</w:t>
            </w:r>
          </w:p>
        </w:tc>
        <w:tc>
          <w:tcPr>
            <w:tcW w:type="dxa" w:w="374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成员 B：技术/互动/部署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共同冻结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定位、站点地图、课程模板、视觉变量</w:t>
            </w:r>
          </w:p>
        </w:tc>
        <w:tc>
          <w:tcPr>
            <w:tcW w:type="dxa" w:w="37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路由、内容字段、组件接口、验收方式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主要负责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首页、家长专区、课程文案、项目任务单、成果故事</w:t>
            </w:r>
          </w:p>
        </w:tc>
        <w:tc>
          <w:tcPr>
            <w:tcW w:type="dxa" w:w="37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脚手架、课程壳层、互动、搜索、预览沙盒、部署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质量复核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适龄、教学逻辑、成果是否清楚、图片授权</w:t>
            </w:r>
          </w:p>
        </w:tc>
        <w:tc>
          <w:tcPr>
            <w:tcW w:type="dxa" w:w="37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响应式、性能、可访问性、安全和测试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交叉评审</w:t>
            </w:r>
          </w:p>
        </w:tc>
        <w:tc>
          <w:tcPr>
            <w:tcW w:type="dxa" w:w="39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审核技术页面的用户路径与提示文案</w:t>
            </w:r>
          </w:p>
        </w:tc>
        <w:tc>
          <w:tcPr>
            <w:tcW w:type="dxa" w:w="37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审核内容字段、链接和组件使用方式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上线责任</w:t>
            </w:r>
          </w:p>
        </w:tc>
        <w:tc>
          <w:tcPr>
            <w:tcW w:type="dxa" w:w="39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确认内容、政策页面和示例作品</w:t>
            </w:r>
          </w:p>
        </w:tc>
        <w:tc>
          <w:tcPr>
            <w:tcW w:type="dxa" w:w="37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构建、备份、发布、监控和回滚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  <w:b w:val="0"/>
          <w:i w:val="0"/>
        </w:rPr>
        <w:t>如果两个人能力结构不同，可以交换 A/B；但每个模块仍只设一个最终负责人。全局路由、设计变量和内容字段由一人维护，另一人通过评审提出修改。</w:t>
      </w:r>
    </w:p>
    <w:p>
      <w:pPr>
        <w:pStyle w:val="Heading2"/>
        <w:keepNext/>
      </w:pPr>
      <w:r>
        <w:t>14.2 开工前冻结四个接口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routes.ts：一级导航、路由命名、面包屑和上一篇/下一篇规则。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tokens.css：颜色、字号、间距、圆角、正文宽度和响应式断点。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content.schema.ts：课程、实验、项目、作品和家长内容字段。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components/README.md：内容作者允许使用的 MDX 组件与参数。</w:t>
      </w:r>
    </w:p>
    <w:p>
      <w:pPr>
        <w:pStyle w:val="Heading2"/>
        <w:keepNext/>
      </w:pPr>
      <w:r>
        <w:t>14.3 Git 与集成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main 为稳定分支；每项功能从短生命周期 feature 分支开发，经 Pull Request 合并。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单个任务控制在 0.5–2 天；一个 PR 只解决一个主题。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PR 包含改动说明、验证方式、截图、移动端影响和内容字段变化。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每周至少两次短同步：一次冻结接口与排除阻塞，一次集成验收。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内容和组件并行时先用占位内容验证结构，不等待全部文章完成。</w:t>
      </w:r>
    </w:p>
    <w:p>
      <w:pPr>
        <w:pStyle w:val="Heading1"/>
        <w:keepNext/>
      </w:pPr>
      <w:r>
        <w:t>15. 实施计划与验收标准</w:t>
      </w:r>
    </w:p>
    <w:p>
      <w:pPr>
        <w:pStyle w:val="Heading2"/>
        <w:keepNext/>
      </w:pPr>
      <w:r>
        <w:t>15.1 建议里程碑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1440"/>
        <w:gridCol w:w="4320"/>
        <w:gridCol w:w="1944"/>
      </w:tblGrid>
      <w:tr>
        <w:trPr>
          <w:tblHeader w:val="true"/>
        </w:trPr>
        <w:tc>
          <w:tcPr>
            <w:tcW w:type="dxa" w:w="1656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阶段</w:t>
            </w:r>
          </w:p>
        </w:tc>
        <w:tc>
          <w:tcPr>
            <w:tcW w:type="dxa" w:w="144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时间建议</w:t>
            </w:r>
          </w:p>
        </w:tc>
        <w:tc>
          <w:tcPr>
            <w:tcW w:type="dxa" w:w="432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共同产出</w:t>
            </w:r>
          </w:p>
        </w:tc>
        <w:tc>
          <w:tcPr>
            <w:tcW w:type="dxa" w:w="194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可并行工作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可演示版</w:t>
            </w:r>
          </w:p>
        </w:tc>
        <w:tc>
          <w:tcPr>
            <w:tcW w:type="dxa" w:w="14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1–3 周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网站壳层、2 篇标杆课、2 个概念互动、双项目可点击流程</w:t>
            </w:r>
          </w:p>
        </w:tc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 定内容和任务单；B 搭组件与页面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小范围封测</w:t>
            </w:r>
          </w:p>
        </w:tc>
        <w:tc>
          <w:tcPr>
            <w:tcW w:type="dxa" w:w="14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4–8 周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前五章课程、双项目完整样例、进度、资料包、家长与安全页面</w:t>
            </w:r>
          </w:p>
        </w:tc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内容、项目组件和学生测试并行</w:t>
            </w:r>
          </w:p>
        </w:tc>
      </w:tr>
      <w:tr>
        <w:trPr>
          <w:trHeight w:hRule="atLeast"/>
        </w:trPr>
        <w:tc>
          <w:tcPr>
            <w:tcW w:type="dxa" w:w="1656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公开公益测试</w:t>
            </w:r>
          </w:p>
        </w:tc>
        <w:tc>
          <w:tcPr>
            <w:tcW w:type="dxa" w:w="14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第 9–14 周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响应式、可访问性、性能、安全审核、私密分享治理、监控与反馈闭环</w:t>
            </w:r>
          </w:p>
        </w:tc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 内容验收；B 工程验收；共同修复</w:t>
            </w:r>
          </w:p>
        </w:tc>
      </w:tr>
      <w:tr>
        <w:trPr>
          <w:trHeight w:hRule="atLeast"/>
        </w:trPr>
        <w:tc>
          <w:tcPr>
            <w:tcW w:type="dxa" w:w="1656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受限 API 试点</w:t>
            </w:r>
          </w:p>
        </w:tc>
        <w:tc>
          <w:tcPr>
            <w:tcW w:type="dxa" w:w="14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封测后按数据决定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少量高价值调用、固定 JSON 输出、额度和熔断</w:t>
            </w:r>
          </w:p>
        </w:tc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先验证效果与单用户成本，再扩大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  <w:b/>
          <w:i w:val="0"/>
        </w:rPr>
        <w:t>以上均为累计时间，口径是两人全职、已有课程大纲与主要素材：约 3 周做出可演示原型（网站框架 + 2 篇标杆课 + 每个实践项目 1 个受控案例），6–8 周进入小范围学生封测，10–14 周达到公开公益测试条件。若课程需要从零教研与原创，另加 2–4 周内容生产；若两人均为业余开发，整体周期建议乘以 1.8–2.5。Vibe Coding 能加快页面与组件实现，但不会替代课程编写、适龄检查、安全评审、真实学生测试和上线验收。</w:t>
      </w:r>
    </w:p>
    <w:p>
      <w:r>
        <w:br w:type="page"/>
      </w:r>
    </w:p>
    <w:p>
      <w:pPr>
        <w:pStyle w:val="Heading2"/>
        <w:keepNext/>
      </w:pPr>
      <w:r>
        <w:t>15.2 首版验收清单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结构：所有一级页面可访问，无死链；从首页两次点击内进入第一课。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布局：1440px 显示课程树、正文和页内目录；960px 以下目录收起；360px 无横向溢出。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路线：8 阶段主线可见；AI 课程树只含前五章，学习路线串联 5 章课程、2 个实践项目和成果阶段。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课程：前五章至少完成 5 篇标杆课；每篇包含目标、互动、检查和小结。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Demo 1：学生能完成需求、计划、预览、至少两次修改和成果页流程。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Demo 2：学生能走完卡点、讲解、笔记、导图、自测和总结的示例流程。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完成分级：任一实践项目完成记为“项目入门完成”；两个项目和两类成果均完成才记为“完整学习路线完成”。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模式说明：预置体验无需 Agent 账号；自主实践明确依赖外部 Agent；站内增强只在受限 API 试点开放。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资料控制：学生可修改、删除和导出笔记、导图及自测记录；删除后不再在前端或缓存中出现。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成本：关闭模型 API 后，所有基础课程和引导式项目仍可使用。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API 闸门：试点环境设有单用户、单日和全站硬额度；达到上限自动关闭调用并回退到无 AI 流程。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可观测性：关键学习事件、模型错误、预算消耗和安全拦截可被追踪，但不记录不必要的未成年人身份信息。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家长：3 分钟内找到价值、安全原则、成果样例和常见问题。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性能：核心页面轻量；图片按需加载；发布前完成 Lighthouse 等检查。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可访问性：键盘可操作、焦点清楚、图像有替代文本、对比度达标。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安全：无前端密钥、无无审核上传、无不必要未成年人个人信息收集。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分享治理：个人成果默认私密且不可被搜索引擎索引；公开前需学生/监护人确认与人工审核，并支持删除、链接失效、举报和管理员下架。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部署：有测试环境、生产环境、备份方式、监控和可执行回滚步骤。</w:t>
      </w:r>
    </w:p>
    <w:p>
      <w:pPr>
        <w:pStyle w:val="Heading2"/>
        <w:keepNext/>
      </w:pPr>
      <w:r>
        <w:t>15.3 首轮数据指标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216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指标</w:t>
            </w:r>
          </w:p>
        </w:tc>
        <w:tc>
          <w:tcPr>
            <w:tcW w:type="dxa" w:w="432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建议观察值</w:t>
            </w:r>
          </w:p>
        </w:tc>
        <w:tc>
          <w:tcPr>
            <w:tcW w:type="dxa" w:w="288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目的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第一课进入率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首页访问后进入第一课的比例</w:t>
            </w:r>
          </w:p>
        </w:tc>
        <w:tc>
          <w:tcPr>
            <w:tcW w:type="dxa" w:w="28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验证首页与路线是否清楚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课程完成率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开始后完成检查理解的比例</w:t>
            </w:r>
          </w:p>
        </w:tc>
        <w:tc>
          <w:tcPr>
            <w:tcW w:type="dxa" w:w="28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验证内容节奏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项目启动率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完成前五章后进入任一实践项目的比例</w:t>
            </w:r>
          </w:p>
        </w:tc>
        <w:tc>
          <w:tcPr>
            <w:tcW w:type="dxa" w:w="28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验证主线承接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项目完成率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完成成果页或资料包的比例</w:t>
            </w:r>
          </w:p>
        </w:tc>
        <w:tc>
          <w:tcPr>
            <w:tcW w:type="dxa" w:w="28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验证项目是否过长或卡住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修改次数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Demo 1 中有理由的修改次数</w:t>
            </w:r>
          </w:p>
        </w:tc>
        <w:tc>
          <w:tcPr>
            <w:tcW w:type="dxa" w:w="28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验证学生是否真正参与</w:t>
            </w:r>
          </w:p>
        </w:tc>
      </w:tr>
      <w:tr>
        <w:trPr>
          <w:trHeight w:hRule="atLeast"/>
        </w:trPr>
        <w:tc>
          <w:tcPr>
            <w:tcW w:type="dxa" w:w="216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复习行为</w:t>
            </w:r>
          </w:p>
        </w:tc>
        <w:tc>
          <w:tcPr>
            <w:tcW w:type="dxa" w:w="43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资料包再次查看或自测次数</w:t>
            </w:r>
          </w:p>
        </w:tc>
        <w:tc>
          <w:tcPr>
            <w:tcW w:type="dxa" w:w="288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验证 Demo 2 是否有持续价值</w:t>
            </w:r>
          </w:p>
        </w:tc>
      </w:tr>
      <w:tr>
        <w:trPr>
          <w:trHeight w:hRule="atLeast"/>
        </w:trPr>
        <w:tc>
          <w:tcPr>
            <w:tcW w:type="dxa" w:w="216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单次 AI 成本</w:t>
            </w:r>
          </w:p>
        </w:tc>
        <w:tc>
          <w:tcPr>
            <w:tcW w:type="dxa" w:w="43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仅在试点阶段记录</w:t>
            </w:r>
          </w:p>
        </w:tc>
        <w:tc>
          <w:tcPr>
            <w:tcW w:type="dxa" w:w="288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决定是否扩大 API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风险、合规与待确认事项</w:t>
      </w:r>
    </w:p>
    <w:p>
      <w:pPr>
        <w:pStyle w:val="Heading2"/>
        <w:keepNext/>
      </w:pPr>
      <w:r>
        <w:t>16.1 主要风险与控制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528"/>
        <w:gridCol w:w="3888"/>
      </w:tblGrid>
      <w:tr>
        <w:trPr>
          <w:tblHeader w:val="true"/>
        </w:trPr>
        <w:tc>
          <w:tcPr>
            <w:tcW w:type="dxa" w:w="194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风险</w:t>
            </w:r>
          </w:p>
        </w:tc>
        <w:tc>
          <w:tcPr>
            <w:tcW w:type="dxa" w:w="352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早期信号</w:t>
            </w:r>
          </w:p>
        </w:tc>
        <w:tc>
          <w:tcPr>
            <w:tcW w:type="dxa" w:w="388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控制措施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范围失控</w:t>
            </w:r>
          </w:p>
        </w:tc>
        <w:tc>
          <w:tcPr>
            <w:tcW w:type="dxa" w:w="35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不断增加聊天、账户、社区和 App</w:t>
            </w:r>
          </w:p>
        </w:tc>
        <w:tc>
          <w:tcPr>
            <w:tcW w:type="dxa" w:w="38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冻结首版清单；新需求进入后续列表</w:t>
            </w:r>
          </w:p>
        </w:tc>
      </w:tr>
      <w:tr>
        <w:trPr>
          <w:trHeight w:hRule="atLeast"/>
        </w:trPr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课程质量不稳</w:t>
            </w:r>
          </w:p>
        </w:tc>
        <w:tc>
          <w:tcPr>
            <w:tcW w:type="dxa" w:w="35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数量增长但模板、语言和互动不一致</w:t>
            </w:r>
          </w:p>
        </w:tc>
        <w:tc>
          <w:tcPr>
            <w:tcW w:type="dxa" w:w="38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先做 5 篇标杆课；双人复核后复制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两个 Demo 变成展示</w:t>
            </w:r>
          </w:p>
        </w:tc>
        <w:tc>
          <w:tcPr>
            <w:tcW w:type="dxa" w:w="35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只有输入框和成品，没有过程</w:t>
            </w:r>
          </w:p>
        </w:tc>
        <w:tc>
          <w:tcPr>
            <w:tcW w:type="dxa" w:w="38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强制需求、测试、修改和反思步骤</w:t>
            </w:r>
          </w:p>
        </w:tc>
      </w:tr>
      <w:tr>
        <w:trPr>
          <w:trHeight w:hRule="atLeast"/>
        </w:trPr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API 成本失控</w:t>
            </w:r>
          </w:p>
        </w:tc>
        <w:tc>
          <w:tcPr>
            <w:tcW w:type="dxa" w:w="35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每次访问都调用模型，长上下文重复发送</w:t>
            </w:r>
          </w:p>
        </w:tc>
        <w:tc>
          <w:tcPr>
            <w:tcW w:type="dxa" w:w="38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零 API 基线、额度、缓存、摘要、告警和降级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模型错误影响学习</w:t>
            </w:r>
          </w:p>
        </w:tc>
        <w:tc>
          <w:tcPr>
            <w:tcW w:type="dxa" w:w="35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答案超纲、错误却表达自信</w:t>
            </w:r>
          </w:p>
        </w:tc>
        <w:tc>
          <w:tcPr>
            <w:tcW w:type="dxa" w:w="38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适龄提示、检验题、第二次检查和反馈入口</w:t>
            </w:r>
          </w:p>
        </w:tc>
      </w:tr>
      <w:tr>
        <w:trPr>
          <w:trHeight w:hRule="atLeast"/>
        </w:trPr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参考站过度相似</w:t>
            </w:r>
          </w:p>
        </w:tc>
        <w:tc>
          <w:tcPr>
            <w:tcW w:type="dxa" w:w="35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布局、配色、文案和细节一一对应</w:t>
            </w:r>
          </w:p>
        </w:tc>
        <w:tc>
          <w:tcPr>
            <w:tcW w:type="dxa" w:w="38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只保留信息架构，建立独立品牌和组件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未成年人数据风险</w:t>
            </w:r>
          </w:p>
        </w:tc>
        <w:tc>
          <w:tcPr>
            <w:tcW w:type="dxa" w:w="35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要求真实姓名、学校、头像或公开联系方式</w:t>
            </w:r>
          </w:p>
        </w:tc>
        <w:tc>
          <w:tcPr>
            <w:tcW w:type="dxa" w:w="38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数据最小化；首版不强制注册、不开放上传</w:t>
            </w:r>
          </w:p>
        </w:tc>
      </w:tr>
      <w:tr>
        <w:trPr>
          <w:trHeight w:hRule="atLeast"/>
        </w:trPr>
        <w:tc>
          <w:tcPr>
            <w:tcW w:type="dxa" w:w="194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公开分享被滥用</w:t>
            </w:r>
          </w:p>
        </w:tc>
        <w:tc>
          <w:tcPr>
            <w:tcW w:type="dxa" w:w="35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作品可索引、无法删除、无举报与下架</w:t>
            </w:r>
          </w:p>
        </w:tc>
        <w:tc>
          <w:tcPr>
            <w:tcW w:type="dxa" w:w="38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默认私密；审核后发布；可失效、举报和管理员下架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两人合并冲突</w:t>
            </w:r>
          </w:p>
        </w:tc>
        <w:tc>
          <w:tcPr>
            <w:tcW w:type="dxa" w:w="35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同时大改路由、全局样式或 schema</w:t>
            </w:r>
          </w:p>
        </w:tc>
        <w:tc>
          <w:tcPr>
            <w:tcW w:type="dxa" w:w="38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单一负责人、短分支、接口先冻结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16.2 合规基线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若使用中国大陆服务器，应按实际业务办理网站备案；以正式上线时的官方要求为准。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处理不满 14 周岁未成年人个人信息，需要取得其父母或其他监护人的同意。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面向未成年人提供网络产品与服务时，应落实个人信息保护、内容安全和沉迷防治等要求。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未来面向公众提供生成式 AI 功能时，应进一步评估生成式 AI 服务、算法备案、生成内容标识和模型服务合规要求。</w:t>
      </w:r>
    </w:p>
    <w:p>
      <w:pPr>
        <w:keepLines/>
        <w:numPr>
          <w:ilvl w:val="0"/>
          <w:numId w:val="15"/>
        </w:numPr>
        <w:spacing w:after="100" w:line="283" w:lineRule="auto"/>
      </w:pPr>
      <w:r>
        <w:rPr>
          <w:rFonts w:ascii="Microsoft YaHei" w:hAnsi="Microsoft YaHei" w:eastAsia="Microsoft YaHei"/>
        </w:rPr>
        <w:t>首版通过公开阅读、最少数据、无开放上传和无开放式聊天降低风险；学校或规模化上线前仍建议进行专业合规审查。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EF2F2" w:val="clear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vAlign w:val="center"/>
          </w:tcPr>
          <w:p>
            <w:pPr>
              <w:spacing w:before="40" w:after="40" w:line="283" w:lineRule="auto"/>
            </w:pPr>
            <w:r>
              <w:rPr>
                <w:rFonts w:ascii="Microsoft YaHei" w:hAnsi="Microsoft YaHei" w:eastAsia="Microsoft YaHei"/>
                <w:b/>
                <w:color w:val="B91C1C"/>
                <w:sz w:val="21"/>
              </w:rPr>
              <w:t xml:space="preserve">说明  </w:t>
            </w:r>
            <w:r>
              <w:rPr>
                <w:rFonts w:ascii="Microsoft YaHei" w:hAnsi="Microsoft YaHei" w:eastAsia="Microsoft YaHei"/>
                <w:color w:val="0F172A"/>
                <w:sz w:val="21"/>
              </w:rPr>
              <w:t>本文件用于产品和工程规划，不构成法律意见。法规、备案流程和平台规则可能变化，正式上线前必须按届时官方要求复核。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开工前需要确认的 9 项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正式名称、Logo 方向与域名。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首轮重点年龄：小学高年级、初一/初二，还是统一 10–14 岁。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前五章每章是一篇标杆课，还是拆成 2–3 节短课。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Demo 1 首个明星项目：知识闯关游戏、口算挑战或个人网站。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Demo 2 首个完整主题是否采用“初中物理浮力”。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首版采用“预置案例 + 外部 Agent 任务单”，还是增加小范围体验码。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学生成果首批由团队制作，还是邀请学校提供授权案例。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服务器区域与备案节奏。</w:t>
      </w:r>
    </w:p>
    <w:p>
      <w:pPr>
        <w:keepLines/>
        <w:numPr>
          <w:ilvl w:val="0"/>
          <w:numId w:val="22"/>
        </w:numPr>
        <w:spacing w:after="100" w:line="283" w:lineRule="auto"/>
      </w:pPr>
      <w:r>
        <w:rPr>
          <w:rFonts w:ascii="Microsoft YaHei" w:hAnsi="Microsoft YaHei" w:eastAsia="Microsoft YaHei"/>
        </w:rPr>
        <w:t>两人的具体职责、每周投入时间和 V0.2 冻结日期。</w:t>
      </w:r>
    </w:p>
    <w:p>
      <w:pPr>
        <w:pStyle w:val="Heading1"/>
        <w:keepNext/>
      </w:pPr>
      <w:r>
        <w:t>17. 附录：路由、目录结构与参考来源</w:t>
      </w:r>
    </w:p>
    <w:p>
      <w:pPr>
        <w:pStyle w:val="Heading2"/>
        <w:keepNext/>
      </w:pPr>
      <w:r>
        <w:t>17.1 建议路由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3024"/>
        <w:gridCol w:w="4248"/>
      </w:tblGrid>
      <w:tr>
        <w:trPr>
          <w:tblHeader w:val="true"/>
        </w:trPr>
        <w:tc>
          <w:tcPr>
            <w:tcW w:type="dxa" w:w="208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页面</w:t>
            </w:r>
          </w:p>
        </w:tc>
        <w:tc>
          <w:tcPr>
            <w:tcW w:type="dxa" w:w="3024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推荐路由</w:t>
            </w:r>
          </w:p>
        </w:tc>
        <w:tc>
          <w:tcPr>
            <w:tcW w:type="dxa" w:w="424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备注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首页</w:t>
            </w:r>
          </w:p>
        </w:tc>
        <w:tc>
          <w:tcPr>
            <w:tcW w:type="dxa" w:w="30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</w:t>
            </w:r>
          </w:p>
        </w:tc>
        <w:tc>
          <w:tcPr>
            <w:tcW w:type="dxa" w:w="424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唯一品牌入口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学习路线</w:t>
            </w:r>
          </w:p>
        </w:tc>
        <w:tc>
          <w:tcPr>
            <w:tcW w:type="dxa" w:w="30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/learn</w:t>
            </w:r>
          </w:p>
        </w:tc>
        <w:tc>
          <w:tcPr>
            <w:tcW w:type="dxa" w:w="424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8 阶段总览与进度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课程目录</w:t>
            </w:r>
          </w:p>
        </w:tc>
        <w:tc>
          <w:tcPr>
            <w:tcW w:type="dxa" w:w="30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/courses</w:t>
            </w:r>
          </w:p>
        </w:tc>
        <w:tc>
          <w:tcPr>
            <w:tcW w:type="dxa" w:w="424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阶段与章节列表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课程文章</w:t>
            </w:r>
          </w:p>
        </w:tc>
        <w:tc>
          <w:tcPr>
            <w:tcW w:type="dxa" w:w="30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/courses/{chapter}/{lesson}</w:t>
            </w:r>
          </w:p>
        </w:tc>
        <w:tc>
          <w:tcPr>
            <w:tcW w:type="dxa" w:w="424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稳定、可读、可分享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AI 创作实验室</w:t>
            </w:r>
          </w:p>
        </w:tc>
        <w:tc>
          <w:tcPr>
            <w:tcW w:type="dxa" w:w="30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/projects/create</w:t>
            </w:r>
          </w:p>
        </w:tc>
        <w:tc>
          <w:tcPr>
            <w:tcW w:type="dxa" w:w="424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实践项目 1 总入口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创作项目</w:t>
            </w:r>
          </w:p>
        </w:tc>
        <w:tc>
          <w:tcPr>
            <w:tcW w:type="dxa" w:w="30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/projects/create/{slug}</w:t>
            </w:r>
          </w:p>
        </w:tc>
        <w:tc>
          <w:tcPr>
            <w:tcW w:type="dxa" w:w="424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需求、步骤、预览和成果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AI 学习实验室</w:t>
            </w:r>
          </w:p>
        </w:tc>
        <w:tc>
          <w:tcPr>
            <w:tcW w:type="dxa" w:w="30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/projects/learn</w:t>
            </w:r>
          </w:p>
        </w:tc>
        <w:tc>
          <w:tcPr>
            <w:tcW w:type="dxa" w:w="424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实践项目 2 总入口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学习主题</w:t>
            </w:r>
          </w:p>
        </w:tc>
        <w:tc>
          <w:tcPr>
            <w:tcW w:type="dxa" w:w="30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/projects/learn/{slug}</w:t>
            </w:r>
          </w:p>
        </w:tc>
        <w:tc>
          <w:tcPr>
            <w:tcW w:type="dxa" w:w="424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卡点、讲解和资料包流程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作品列表/详情</w:t>
            </w:r>
          </w:p>
        </w:tc>
        <w:tc>
          <w:tcPr>
            <w:tcW w:type="dxa" w:w="30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/works、/works/{slug}</w:t>
            </w:r>
          </w:p>
        </w:tc>
        <w:tc>
          <w:tcPr>
            <w:tcW w:type="dxa" w:w="424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仅展示审核后的作品</w:t>
            </w:r>
          </w:p>
        </w:tc>
      </w:tr>
      <w:tr>
        <w:trPr>
          <w:trHeight w:hRule="atLeast"/>
        </w:trPr>
        <w:tc>
          <w:tcPr>
            <w:tcW w:type="dxa" w:w="208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家长专区</w:t>
            </w:r>
          </w:p>
        </w:tc>
        <w:tc>
          <w:tcPr>
            <w:tcW w:type="dxa" w:w="3024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/parents</w:t>
            </w:r>
          </w:p>
        </w:tc>
        <w:tc>
          <w:tcPr>
            <w:tcW w:type="dxa" w:w="424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价值、安全、陪伴与 FAQ</w:t>
            </w:r>
          </w:p>
        </w:tc>
      </w:tr>
      <w:tr>
        <w:trPr>
          <w:trHeight w:hRule="atLeast"/>
        </w:trPr>
        <w:tc>
          <w:tcPr>
            <w:tcW w:type="dxa" w:w="208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关于与政策</w:t>
            </w:r>
          </w:p>
        </w:tc>
        <w:tc>
          <w:tcPr>
            <w:tcW w:type="dxa" w:w="3024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/about、/privacy、/terms、/safety</w:t>
            </w:r>
          </w:p>
        </w:tc>
        <w:tc>
          <w:tcPr>
            <w:tcW w:type="dxa" w:w="424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页脚入口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17.2 建议目录结构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目录</w:t>
            </w:r>
          </w:p>
        </w:tc>
        <w:tc>
          <w:tcPr>
            <w:tcW w:type="dxa" w:w="612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职责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src/app/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页面路由与页面级数据加载</w:t>
            </w:r>
          </w:p>
        </w:tc>
      </w:tr>
      <w:tr>
        <w:trPr>
          <w:trHeight w:hRule="atLeast"/>
        </w:trPr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src/components/layout/</w:t>
            </w:r>
          </w:p>
        </w:tc>
        <w:tc>
          <w:tcPr>
            <w:tcW w:type="dxa" w:w="61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顶栏、页脚、课程侧栏、面包屑、抽屉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src/components/course/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课程壳层、目标、提示、测验和连续导航</w:t>
            </w:r>
          </w:p>
        </w:tc>
      </w:tr>
      <w:tr>
        <w:trPr>
          <w:trHeight w:hRule="atLeast"/>
        </w:trPr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src/components/labs/</w:t>
            </w:r>
          </w:p>
        </w:tc>
        <w:tc>
          <w:tcPr>
            <w:tcW w:type="dxa" w:w="61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纯前端互动实验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src/components/projects/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项目步骤、需求画布、预览和资料包</w:t>
            </w:r>
          </w:p>
        </w:tc>
      </w:tr>
      <w:tr>
        <w:trPr>
          <w:trHeight w:hRule="atLeast"/>
        </w:trPr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src/config/</w:t>
            </w:r>
          </w:p>
        </w:tc>
        <w:tc>
          <w:tcPr>
            <w:tcW w:type="dxa" w:w="61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导航、路线、设计变量和内容字段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content/courses/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基础课程与章节导读</w:t>
            </w:r>
          </w:p>
        </w:tc>
      </w:tr>
      <w:tr>
        <w:trPr>
          <w:trHeight w:hRule="atLeast"/>
        </w:trPr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content/projects/</w:t>
            </w:r>
          </w:p>
        </w:tc>
        <w:tc>
          <w:tcPr>
            <w:tcW w:type="dxa" w:w="61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两个 Demo 的任务、步骤和示例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content/parents/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家长文章、安全说明和 FAQ</w:t>
            </w:r>
          </w:p>
        </w:tc>
      </w:tr>
      <w:tr>
        <w:trPr>
          <w:trHeight w:hRule="atLeast"/>
        </w:trPr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content/works/</w:t>
            </w:r>
          </w:p>
        </w:tc>
        <w:tc>
          <w:tcPr>
            <w:tcW w:type="dxa" w:w="61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审核后的作品数据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public/images/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原创插图、截图和成果封面</w:t>
            </w:r>
          </w:p>
        </w:tc>
      </w:tr>
      <w:tr>
        <w:trPr>
          <w:trHeight w:hRule="atLeast"/>
        </w:trPr>
        <w:tc>
          <w:tcPr>
            <w:tcW w:type="dxa" w:w="324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tests/</w:t>
            </w:r>
          </w:p>
        </w:tc>
        <w:tc>
          <w:tcPr>
            <w:tcW w:type="dxa" w:w="612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组件、路由与端到端测试</w:t>
            </w:r>
          </w:p>
        </w:tc>
      </w:tr>
      <w:tr>
        <w:trPr>
          <w:trHeight w:hRule="atLeast"/>
        </w:trPr>
        <w:tc>
          <w:tcPr>
            <w:tcW w:type="dxa" w:w="324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infra/</w:t>
            </w:r>
          </w:p>
        </w:tc>
        <w:tc>
          <w:tcPr>
            <w:tcW w:type="dxa" w:w="612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Docker、Nginx、部署和备份脚本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17.3 参考来源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[R1] labuladong，AI Coding 本章导读：https://labuladong.online/zh/ai-coding/ai-guide/；用于观察课程树、正文层级、页内目录与连续阅读。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[R2] labuladong，AI 助教随时答疑：https://labuladong.online/zh/algo/intro/ai-assistant/；用于理解上下文相关提问和选中内容提问的产品思路。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[R3] 工业和信息化部，ICP/IP 地址/域名信息备案管理系统；用于正式部署时核对中国大陆网站备案要求。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[R4] 国家互联网信息办公室，《中华人民共和国个人信息保护法》；第三十一条涉及不满十四周岁未成年人个人信息处理。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[R5] 国务院，《未成年人网络保护条例》；用于未成年人网络产品与服务规划核对。</w:t>
      </w:r>
    </w:p>
    <w:p>
      <w:pPr>
        <w:keepLines w:val="0"/>
        <w:spacing w:after="80"/>
      </w:pPr>
      <w:r>
        <w:rPr>
          <w:rFonts w:ascii="Microsoft YaHei" w:hAnsi="Microsoft YaHei" w:eastAsia="Microsoft YaHei"/>
          <w:b w:val="0"/>
          <w:i w:val="0"/>
          <w:color w:val="64748B"/>
          <w:sz w:val="18"/>
        </w:rPr>
        <w:t>[R6] 国家互联网信息办公室等，《生成式人工智能服务管理暂行办法》；用于未来面向公众接入生成式 AI 功能时的合规评估。</w:t>
      </w:r>
    </w:p>
    <w:p>
      <w:pPr>
        <w:pStyle w:val="Heading2"/>
        <w:keepNext/>
      </w:pPr>
      <w:r>
        <w:t>17.4 V0.1 → V0.2 变更摘要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600"/>
        <w:gridCol w:w="4032"/>
      </w:tblGrid>
      <w:tr>
        <w:trPr>
          <w:tblHeader w:val="true"/>
        </w:trPr>
        <w:tc>
          <w:tcPr>
            <w:tcW w:type="dxa" w:w="1728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变化</w:t>
            </w:r>
          </w:p>
        </w:tc>
        <w:tc>
          <w:tcPr>
            <w:tcW w:type="dxa" w:w="3600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V0.1</w:t>
            </w:r>
          </w:p>
        </w:tc>
        <w:tc>
          <w:tcPr>
            <w:tcW w:type="dxa" w:w="4032"/>
            <w:shd w:fill="F1F5F9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V0.2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产品主线</w:t>
            </w:r>
          </w:p>
        </w:tc>
        <w:tc>
          <w:tcPr>
            <w:tcW w:type="dxa" w:w="36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课程、实验、创作、作品等并列</w:t>
            </w:r>
          </w:p>
        </w:tc>
        <w:tc>
          <w:tcPr>
            <w:tcW w:type="dxa" w:w="40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5 章课程 + 2 个实践项目 + 1 个成果阶段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Demo 定位</w:t>
            </w:r>
          </w:p>
        </w:tc>
        <w:tc>
          <w:tcPr>
            <w:tcW w:type="dxa" w:w="36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创作项目为首版示例；学习效率散落在课程中</w:t>
            </w:r>
          </w:p>
        </w:tc>
        <w:tc>
          <w:tcPr>
            <w:tcW w:type="dxa" w:w="40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Agent 创作与 Agent 学习均升级为完整核心项目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导航</w:t>
            </w:r>
          </w:p>
        </w:tc>
        <w:tc>
          <w:tcPr>
            <w:tcW w:type="dxa" w:w="36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学习路线、课程、实验室、创作工坊、作品、家长</w:t>
            </w:r>
          </w:p>
        </w:tc>
        <w:tc>
          <w:tcPr>
            <w:tcW w:type="dxa" w:w="40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学习路线、AI课程、AI创作实验室、AI学习实验室、成果、家长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AI 成本</w:t>
            </w:r>
          </w:p>
        </w:tc>
        <w:tc>
          <w:tcPr>
            <w:tcW w:type="dxa" w:w="36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首版原则上不开放聊天</w:t>
            </w:r>
          </w:p>
        </w:tc>
        <w:tc>
          <w:tcPr>
            <w:tcW w:type="dxa" w:w="40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明确零 API 基线、试点闸门和功能开放顺序</w:t>
            </w:r>
          </w:p>
        </w:tc>
      </w:tr>
      <w:tr>
        <w:trPr>
          <w:trHeight w:hRule="atLeast"/>
        </w:trPr>
        <w:tc>
          <w:tcPr>
            <w:tcW w:type="dxa" w:w="1728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参考站</w:t>
            </w:r>
          </w:p>
        </w:tc>
        <w:tc>
          <w:tcPr>
            <w:tcW w:type="dxa" w:w="3600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概括性借鉴信息架构</w:t>
            </w:r>
          </w:p>
        </w:tc>
        <w:tc>
          <w:tcPr>
            <w:tcW w:type="dxa" w:w="4032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加入明确布局尺寸、响应式规则和不复制边界</w:t>
            </w:r>
          </w:p>
        </w:tc>
      </w:tr>
      <w:tr>
        <w:trPr>
          <w:trHeight w:hRule="atLeast"/>
        </w:trPr>
        <w:tc>
          <w:tcPr>
            <w:tcW w:type="dxa" w:w="1728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实施</w:t>
            </w:r>
          </w:p>
        </w:tc>
        <w:tc>
          <w:tcPr>
            <w:tcW w:type="dxa" w:w="3600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约 3–4 周结构验证</w:t>
            </w:r>
          </w:p>
        </w:tc>
        <w:tc>
          <w:tcPr>
            <w:tcW w:type="dxa" w:w="4032"/>
            <w:shd w:fill="FBFDFF" w:val="clear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  <w:insideH w:val="single" w:sz="6" w:space="0" w:color="E2E8F0"/>
              <w:insideV w:val="single" w:sz="6" w:space="0" w:color="E2E8F0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20" w:after="20" w:line="269" w:lineRule="auto"/>
            </w:pPr>
            <w:r>
              <w:rPr>
                <w:rFonts w:ascii="Microsoft YaHei" w:hAnsi="Microsoft YaHei" w:eastAsia="Microsoft YaHei"/>
                <w:color w:val="1F2937"/>
                <w:sz w:val="17"/>
              </w:rPr>
              <w:t>3 周可演示、6–8 周封测、10–14 周公开测试</w:t>
            </w:r>
          </w:p>
        </w:tc>
      </w:tr>
    </w:tbl>
    <w:p>
      <w:pPr>
        <w:spacing w:after="20"/>
      </w:pPr>
    </w:p>
    <w:p>
      <w:pPr>
        <w:keepLines w:val="0"/>
        <w:spacing w:after="0"/>
      </w:pPr>
      <w:r>
        <w:rPr>
          <w:rFonts w:ascii="Microsoft YaHei" w:hAnsi="Microsoft YaHei" w:eastAsia="Microsoft YaHei"/>
          <w:b w:val="0"/>
          <w:i w:val="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4748B"/>
        <w:sz w:val="17"/>
      </w:rPr>
      <w:t xml:space="preserve">公益讨论稿  ·  2026-07-26  ·  第 </w:t>
    </w:r>
    <w:r>
      <w:rPr>
        <w:rFonts w:ascii="Microsoft YaHei" w:hAnsi="Microsoft YaHei" w:eastAsia="Microsoft YaHei"/>
        <w:color w:val="64748B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4748B"/>
        <w:sz w:val="17"/>
      </w:rPr>
      <w:t>AI 基础教育公益网站  |  产品与搭建方案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CJK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CJK S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Noto Sans CJK SC"/>
      </w:rPr>
    </w:lvl>
  </w:abstractNum>
  <w:num w:numId="14">
    <w:abstractNumId w:val="13"/>
  </w:num>
  <w:num w:numId="15">
    <w:abstractNumId w:val="4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93" w:lineRule="auto"/>
    </w:pPr>
    <w:rPr>
      <w:rFonts w:ascii="Microsoft YaHei" w:hAnsi="Microsoft YaHei" w:eastAsia="Microsoft YaHei" w:cs="Calibr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icrosoft YaHei" w:hAnsi="Microsoft YaHei" w:eastAsia="Microsoft YaHei" w:cs="Calibri"/>
      <w:b/>
      <w:bCs/>
      <w:color w:val="1D4E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Calibri"/>
      <w:b/>
      <w:bCs/>
      <w:color w:val="1D4ED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Calibr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Calibri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20" w:before="0"/>
    </w:pPr>
    <w:rPr>
      <w:rFonts w:asciiTheme="majorHAnsi" w:eastAsiaTheme="majorEastAsia" w:hAnsiTheme="majorHAnsi" w:cstheme="majorBidi" w:ascii="Microsoft YaHei" w:hAnsi="Microsoft YaHei" w:eastAsia="Microsoft YaHei" w:cs="Calibri"/>
      <w:b w:val="0"/>
      <w:i/>
      <w:iCs/>
      <w:color w:val="64748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labuladong.online/zh/algo/intro/complexity-basic/" TargetMode="External"/><Relationship Id="rId14" Type="http://schemas.openxmlformats.org/officeDocument/2006/relationships/hyperlink" Target="https://labuladong.online/zh/algo/home/" TargetMode="External"/><Relationship Id="rId15" Type="http://schemas.openxmlformats.org/officeDocument/2006/relationships/hyperlink" Target="https://labuladong.online/zh/roadmap/algo/" TargetMode="External"/><Relationship Id="rId16" Type="http://schemas.openxmlformats.org/officeDocument/2006/relationships/hyperlink" Target="https://beian.miit.gov.cn/" TargetMode="External"/><Relationship Id="rId17" Type="http://schemas.openxmlformats.org/officeDocument/2006/relationships/hyperlink" Target="https://www.cac.gov.cn/2021-08/20/c_1631050028355286.htm" TargetMode="External"/><Relationship Id="rId18" Type="http://schemas.openxmlformats.org/officeDocument/2006/relationships/hyperlink" Target="https://www.cac.gov.cn/2023-10/24/c_1699806932316206.htm" TargetMode="External"/><Relationship Id="rId19" Type="http://schemas.openxmlformats.org/officeDocument/2006/relationships/hyperlink" Target="https://www.cac.gov.cn/2023-07/13/c_1690898327029107.htm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基础教育公益网站搭建方案 V0.2</dc:title>
  <dc:subject>产品定位、课程体系、双 Demo、页面架构与实施计划</dc:subject>
  <dc:creator/>
  <cp:keywords>AI教育, 公益网站, Agent, 青少年, 产品方案</cp:keywords>
  <dc:description>方案讨论稿；当前不进入正式搭建。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