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olor w:val="2563EB"/>
          <w:sz w:val="22"/>
          <w:szCs w:val="22"/>
        </w:rPr>
        <w:t xml:space="preserve">AUDITORIA DE UX/UI</w:t>
      </w:r>
    </w:p>
    <w:p>
      <w:pPr>
        <w:spacing w:after="120"/>
      </w:pPr>
      <w:r>
        <w:rPr>
          <w:b/>
          <w:bCs/>
          <w:color w:val="1E3A8A"/>
          <w:sz w:val="56"/>
          <w:szCs w:val="56"/>
        </w:rPr>
        <w:t xml:space="preserve">ThemUno CLMS</w:t>
      </w:r>
    </w:p>
    <w:p>
      <w:pPr>
        <w:spacing w:after="500"/>
      </w:pPr>
      <w:r>
        <w:rPr>
          <w:i/>
          <w:iCs/>
          <w:color w:val="5B6472"/>
          <w:sz w:val="24"/>
          <w:szCs w:val="24"/>
        </w:rPr>
        <w:t xml:space="preserve">Contract Lifecycle &amp; Governance Management System</w:t>
      </w:r>
    </w:p>
    <w:p>
      <w:pPr>
        <w:spacing w:after="160" w:line="300"/>
      </w:pPr>
      <w:r>
        <w:rPr>
          <w:color w:val="1F2430"/>
          <w:sz w:val="21"/>
          <w:szCs w:val="21"/>
        </w:rPr>
        <w:t xml:space="preserve">Este relatório analisa o estado atual da interface e da experiência do usuário do ThemUno CLMS — o sistema Next.js/React que centraliza contratos, governança, faturamento, financeiro e relatórios da holding — sob a ótica de design de produto, com foco em consistência visual, navegação, acessibilidade e escalabilidade da interface conforme a base de dados cresce.</w:t>
      </w:r>
    </w:p>
    <w:p>
      <w:pPr>
        <w:spacing w:after="160" w:line="300"/>
      </w:pPr>
      <w:r>
        <w:rPr>
          <w:color w:val="5B6472"/>
          <w:sz w:val="21"/>
          <w:szCs w:val="21"/>
        </w:rPr>
        <w:t xml:space="preserve">A análise foi feita diretamente sobre o código-fonte do projeto (componentes, telas, design tokens e estilos), cobrindo os seis módulos principais: Dashboard, Contratos, Governança PM, Faturamento, Financeiro e Relatórios Mensais.</w:t>
      </w:r>
    </w:p>
    <w:p>
      <w:pPr>
        <w:spacing w:after="300"/>
      </w:pP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200" w:before="420"/>
      </w:pPr>
      <w:r>
        <w:rPr>
          <w:b/>
          <w:bCs/>
          <w:color w:val="1E3A8A"/>
          <w:sz w:val="30"/>
          <w:szCs w:val="30"/>
        </w:rPr>
        <w:t xml:space="preserve">Sumário Executivo</w:t>
      </w:r>
    </w:p>
    <w:p>
      <w:pPr>
        <w:spacing w:after="160" w:line="300"/>
      </w:pPr>
      <w:r>
        <w:rPr>
          <w:color w:val="1F2430"/>
          <w:sz w:val="21"/>
          <w:szCs w:val="21"/>
        </w:rPr>
        <w:t xml:space="preserve">O ThemUno CLMS tem uma base funcional sólida: o domínio é bem modelado (empresas, contratos, cofre de credenciais, faturas, marcos e riscos de governança, importação de plano financeiro), a stack é moderna (Next.js 16, React 19, Tailwind 4, Prisma 7) e várias telas já demonstram cuidado com o usuário — busca global com atalho de teclado, central de notificações contextual, gerador de senha com medidor de força.</w:t>
      </w:r>
    </w:p>
    <w:p>
      <w:pPr>
        <w:spacing w:after="160" w:line="300"/>
      </w:pPr>
      <w:r>
        <w:rPr>
          <w:color w:val="1F2430"/>
          <w:sz w:val="21"/>
          <w:szCs w:val="21"/>
        </w:rPr>
        <w:t xml:space="preserve">No entanto, a interface carrega sinais claros de crescimento orgânico sem um sistema de design consolidado. Os pontos mais críticos, detalhados a seguir, são: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b/>
          <w:bCs/>
          <w:color w:val="1F2430"/>
          <w:sz w:val="20"/>
          <w:szCs w:val="20"/>
        </w:rPr>
        <w:t xml:space="preserve">Fragmentação visual — </w:t>
      </w:r>
      <w:r>
        <w:rPr>
          <w:color w:val="1F2430"/>
          <w:sz w:val="20"/>
          <w:szCs w:val="20"/>
        </w:rPr>
        <w:t xml:space="preserve">as duas telas mais usadas (Dashboard e Contratos) não usam os componentes compartilhados do projeto e reimplementam botões, cards e badges do zero, gerando pequenas divergências visuais em toda a aplicação.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b/>
          <w:bCs/>
          <w:color w:val="1F2430"/>
          <w:sz w:val="20"/>
          <w:szCs w:val="20"/>
        </w:rPr>
        <w:t xml:space="preserve">Tom desalinhado com o domínio — </w:t>
      </w:r>
      <w:r>
        <w:rPr>
          <w:color w:val="1F2430"/>
          <w:sz w:val="20"/>
          <w:szCs w:val="20"/>
        </w:rPr>
        <w:t xml:space="preserve">uma estética de "SaaS de marketing" (glassmorphism, gradientes, glows, pulsos) é aplicada até em tabelas financeiras e de governança, onde legibilidade e densidade de dados deveriam vir antes do efeito visual.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b/>
          <w:bCs/>
          <w:color w:val="1F2430"/>
          <w:sz w:val="20"/>
          <w:szCs w:val="20"/>
        </w:rPr>
        <w:t xml:space="preserve">Zero estratégia para mobile/tablet — </w:t>
      </w:r>
      <w:r>
        <w:rPr>
          <w:color w:val="1F2430"/>
          <w:sz w:val="20"/>
          <w:szCs w:val="20"/>
        </w:rPr>
        <w:t xml:space="preserve">a barra lateral fixa e o cabeçalho não têm nenhum ponto de quebra responsivo; em telas estreitas o sistema fica, na prática, inutilizável.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b/>
          <w:bCs/>
          <w:color w:val="1F2430"/>
          <w:sz w:val="20"/>
          <w:szCs w:val="20"/>
        </w:rPr>
        <w:t xml:space="preserve">Acessibilidade quase inexistente — </w:t>
      </w:r>
      <w:r>
        <w:rPr>
          <w:color w:val="1F2430"/>
          <w:sz w:val="20"/>
          <w:szCs w:val="20"/>
        </w:rPr>
        <w:t xml:space="preserve">praticamente nenhum uso de ARIA, foco visível inconsistente e elementos clicáveis que não são navegáveis por teclado.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b/>
          <w:bCs/>
          <w:color w:val="1F2430"/>
          <w:sz w:val="20"/>
          <w:szCs w:val="20"/>
        </w:rPr>
        <w:t xml:space="preserve">Padrões de feedback inconsistentes — </w:t>
      </w:r>
      <w:r>
        <w:rPr>
          <w:color w:val="1F2430"/>
          <w:sz w:val="20"/>
          <w:szCs w:val="20"/>
        </w:rPr>
        <w:t xml:space="preserve">alert() e confirm() nativos do navegador convivem com modais customizados elegantes, quebrando a experiência em momentos críticos (erros, exclusões).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b/>
          <w:bCs/>
          <w:color w:val="1F2430"/>
          <w:sz w:val="20"/>
          <w:szCs w:val="20"/>
        </w:rPr>
        <w:t xml:space="preserve">Listas sem paginação — </w:t>
      </w:r>
      <w:r>
        <w:rPr>
          <w:color w:val="1F2430"/>
          <w:sz w:val="20"/>
          <w:szCs w:val="20"/>
        </w:rPr>
        <w:t xml:space="preserve">contratos, lançamentos financeiros e outros registros são renderizados por completo (até 1000 linhas de uma vez), o que vai se tornar um problema de performance e de usabilidade à medida que a base de dados cresce.</w:t>
      </w:r>
    </w:p>
    <w:p>
      <w:pPr>
        <w:spacing w:after="160" w:line="300"/>
      </w:pPr>
      <w:r>
        <w:rPr>
          <w:color w:val="1F2430"/>
          <w:sz w:val="21"/>
          <w:szCs w:val="21"/>
        </w:rPr>
        <w:t xml:space="preserve">Nenhum desses pontos exige recomeçar o projeto — são ajustes de consolidação e consistência sobre uma base que já está no caminho certo. A seção "Plano de Ação Priorizado" organiza as recomendações por esforço e impacto.</w:t>
      </w:r>
    </w:p>
    <w:p>
      <w:pPr>
        <w:pStyle w:val="Heading1"/>
        <w:pBdr>
          <w:bottom w:val="single" w:color="2563EB" w:sz="6" w:space="6"/>
        </w:pBdr>
        <w:spacing w:after="200" w:before="420"/>
      </w:pPr>
      <w:r>
        <w:rPr>
          <w:b/>
          <w:bCs/>
          <w:color w:val="1E3A8A"/>
          <w:sz w:val="30"/>
          <w:szCs w:val="30"/>
        </w:rPr>
        <w:t xml:space="preserve">Pontos Fortes</w:t>
      </w:r>
    </w:p>
    <w:p>
      <w:pPr>
        <w:spacing w:after="160" w:line="300"/>
      </w:pPr>
      <w:r>
        <w:rPr>
          <w:color w:val="1F2430"/>
          <w:sz w:val="21"/>
          <w:szCs w:val="21"/>
        </w:rPr>
        <w:t xml:space="preserve">Vale reconhecer o que já funciona bem antes de listar as oportunidades — são fundações sobre as quais as melhorias abaixo devem ser construídas, não descartadas.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b/>
          <w:bCs/>
          <w:color w:val="1F2430"/>
          <w:sz w:val="20"/>
          <w:szCs w:val="20"/>
        </w:rPr>
        <w:t xml:space="preserve">Paleta semântica coerente — </w:t>
      </w:r>
      <w:r>
        <w:rPr>
          <w:color w:val="1F2430"/>
          <w:sz w:val="20"/>
          <w:szCs w:val="20"/>
        </w:rPr>
        <w:t xml:space="preserve">verde-esmeralda para receita, rosa para despesa, âmbar para alerta e azul para informação são aplicados de forma consistente em badges, botões e KPIs, o que ajuda no reconhecimento rápido de padrões financeiros.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b/>
          <w:bCs/>
          <w:color w:val="1F2430"/>
          <w:sz w:val="20"/>
          <w:szCs w:val="20"/>
        </w:rPr>
        <w:t xml:space="preserve">Micro-interações cuidadas — </w:t>
      </w:r>
      <w:r>
        <w:rPr>
          <w:color w:val="1F2430"/>
          <w:sz w:val="20"/>
          <w:szCs w:val="20"/>
        </w:rPr>
        <w:t xml:space="preserve">hover com leve escala, glows sutis e transições suaves dão à aplicação uma sensação de produto acabado à primeira vista.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b/>
          <w:bCs/>
          <w:color w:val="1F2430"/>
          <w:sz w:val="20"/>
          <w:szCs w:val="20"/>
        </w:rPr>
        <w:t xml:space="preserve">Detalhes de UX genuinamente bons — </w:t>
      </w:r>
      <w:r>
        <w:rPr>
          <w:color w:val="1F2430"/>
          <w:sz w:val="20"/>
          <w:szCs w:val="20"/>
        </w:rPr>
        <w:t xml:space="preserve">o gerador de senha com medidor de força e alternância de visibilidade, a busca global com atalho ⌘K e resultados agrupados por tipo, e a barra lateral retrátil com estado persistido são soluções bem pensadas.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b/>
          <w:bCs/>
          <w:color w:val="1F2430"/>
          <w:sz w:val="20"/>
          <w:szCs w:val="20"/>
        </w:rPr>
        <w:t xml:space="preserve">Grades responsivas dentro do conteúdo — </w:t>
      </w:r>
      <w:r>
        <w:rPr>
          <w:color w:val="1F2430"/>
          <w:sz w:val="20"/>
          <w:szCs w:val="20"/>
        </w:rPr>
        <w:t xml:space="preserve">cards e formulários usam breakpoints (grid-cols-1 → md/lg) de forma razoável dentro de cada página, mesmo que a casca do aplicativo (sidebar + header) não acompanhe.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b/>
          <w:bCs/>
          <w:color w:val="1F2430"/>
          <w:sz w:val="20"/>
          <w:szCs w:val="20"/>
        </w:rPr>
        <w:t xml:space="preserve">Modelagem de domínio rica — </w:t>
      </w:r>
      <w:r>
        <w:rPr>
          <w:color w:val="1F2430"/>
          <w:sz w:val="20"/>
          <w:szCs w:val="20"/>
        </w:rPr>
        <w:t xml:space="preserve">a estrutura de dados (multiempresa, cofre de credenciais vinculado a contratos, marcos e riscos de governança, conciliação financeira) mostra que o produto já pensa nos processos reais da operação — o trabalho que falta é majoritariamente de apresentação, não de arquitetura de dados.</w:t>
      </w:r>
    </w:p>
    <w:p>
      <w:pPr>
        <w:pStyle w:val="Heading1"/>
        <w:pBdr>
          <w:bottom w:val="single" w:color="2563EB" w:sz="6" w:space="6"/>
        </w:pBdr>
        <w:spacing w:after="200" w:before="420"/>
      </w:pPr>
      <w:r>
        <w:rPr>
          <w:b/>
          <w:bCs/>
          <w:color w:val="1E3A8A"/>
          <w:sz w:val="30"/>
          <w:szCs w:val="30"/>
        </w:rPr>
        <w:t xml:space="preserve">Principais Oportunidades de Melhoria</w:t>
      </w:r>
    </w:p>
    <w:p>
      <w:pPr>
        <w:pStyle w:val="Heading2"/>
        <w:spacing w:after="140" w:before="300"/>
      </w:pPr>
      <w:r>
        <w:rPr>
          <w:b/>
          <w:bCs/>
          <w:color w:val="2563EB"/>
          <w:sz w:val="24"/>
          <w:szCs w:val="24"/>
        </w:rPr>
        <w:t xml:space="preserve">1. Sistema de design fragmentado</w:t>
      </w:r>
    </w:p>
    <w:p>
      <w:pPr>
        <w:spacing w:after="160" w:line="300"/>
      </w:pPr>
      <w:r>
        <w:rPr>
          <w:color w:val="1F2430"/>
          <w:sz w:val="21"/>
          <w:szCs w:val="21"/>
        </w:rPr>
        <w:t xml:space="preserve">O projeto tem, na prática, dois sistemas de cor que não se conversam: variáveis CSS para tema claro/escuro definidas em globals.css, e valores Tailwind fixos (bg-[#0d1527], text-[#1e293b]) espalhados pelos componentes. Como a maior parte da UI usa os valores fixos, o tema "claro" definido em :root nunca é realmente exibido — é código morto.</w:t>
      </w:r>
    </w:p>
    <w:tbl>
      <w:tblPr>
        <w:tblW w:type="dxa" w:w="9350"/>
        <w:tblBorders>
          <w:top w:val="single" w:color="B0243A" w:sz="4"/>
          <w:left w:val="single" w:color="B0243A" w:sz="16"/>
          <w:bottom w:val="single" w:color="B0243A" w:sz="4"/>
          <w:right w:val="single" w:color="B0243A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CEA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0243A"/>
                <w:sz w:val="20"/>
                <w:szCs w:val="20"/>
              </w:rPr>
              <w:t xml:space="preserve">Achado concreto</w:t>
            </w:r>
          </w:p>
          <w:p>
            <w:pPr>
              <w:spacing w:after="0" w:line="280"/>
            </w:pPr>
            <w:r>
              <w:rPr>
                <w:color w:val="1F2430"/>
                <w:sz w:val="20"/>
                <w:szCs w:val="20"/>
              </w:rPr>
              <w:t xml:space="preserve">O DashboardClient define um estado isDarkMode e uma função toggleDarkMode() que manipula diretamente document.documentElement.classList, além de importar os ícones Sun/Moon — mas essa função nunca é chamada por nenhum botão na interface. É um recurso de alternância de tema começado e abandonado, e mesmo que fosse ativado, não mudaria a aparência da maior parte das telas, porque elas não usam as variáveis de tema.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color w:val="1F2430"/>
          <w:sz w:val="21"/>
          <w:szCs w:val="21"/>
        </w:rPr>
        <w:t xml:space="preserve">Além disso, o Dashboard e a tela de Contratos — os dois maiores arquivos do projeto e provavelmente os mais usados no dia a dia — não importam os componentes compartilhados Button, Card, Badge ou EmptyState; cada botão e cada card ali é reescrito manualmente com classes Tailwind. Os módulos mais novos (Relatórios, Faturamento, Governança) já usam os componentes compartilhados. Resultado: pequenas mas perceptíveis diferenças de raio de borda, peso de fonte e espaçamento entre módulos que deveriam ser visualmente idênticos.</w:t>
      </w:r>
    </w:p>
    <w:p>
      <w:pPr>
        <w:spacing w:after="160" w:line="300"/>
      </w:pPr>
      <w:r>
        <w:rPr>
          <w:color w:val="1F2430"/>
          <w:sz w:val="21"/>
          <w:szCs w:val="21"/>
        </w:rPr>
        <w:t xml:space="preserve">O feedback ao usuário também segue caminhos diferentes conforme o módulo: 19 pontos do código usam alert() nativo do navegador para erros (Contratos, Dashboard, Faturamento, Governança, Relatórios), 2 usam confirm() nativo para exclusões destrutivas, enquanto o módulo Financeiro usa banners de sucesso/erro embutidos na própria tela. Nenhum dos três padrões é reaproveitado nos outros — e o alert()/confirm() do navegador, em especial, interrompe a experiência com uma caixa de diálogo que não pode ser estilizada, destoando do cuidado visual do resto do produto.</w:t>
      </w:r>
    </w:p>
    <w:p>
      <w:pPr>
        <w:pStyle w:val="Heading2"/>
        <w:spacing w:after="140" w:before="300"/>
      </w:pPr>
      <w:r>
        <w:rPr>
          <w:b/>
          <w:bCs/>
          <w:color w:val="2563EB"/>
          <w:sz w:val="24"/>
          <w:szCs w:val="24"/>
        </w:rPr>
        <w:t xml:space="preserve">2. Tom visual desalinhado com o domínio</w:t>
      </w:r>
    </w:p>
    <w:p>
      <w:pPr>
        <w:spacing w:after="160" w:line="300"/>
      </w:pPr>
      <w:r>
        <w:rPr>
          <w:color w:val="1F2430"/>
          <w:sz w:val="21"/>
          <w:szCs w:val="21"/>
        </w:rPr>
        <w:t xml:space="preserve">A linguagem visual — cards com gradiente e desfoque, textos com gradiente de cor, pontos pulsantes de "sistema ativo", badges que saltam (bounce), brilhos ambiente ao passar o mouse — é típica de páginas de marketing de produtos de consumo. Aplicada a telas de contratos, governança e conciliação financeira, essa ornamentação compete com os dados por atenção, num contexto onde o usuário precisa justamente escanear números e prazos com precisão.</w:t>
      </w:r>
    </w:p>
    <w:p>
      <w:pPr>
        <w:spacing w:after="160" w:line="300"/>
      </w:pPr>
      <w:r>
        <w:rPr>
          <w:color w:val="1F2430"/>
          <w:sz w:val="21"/>
          <w:szCs w:val="21"/>
        </w:rPr>
        <w:t xml:space="preserve">Some-se a isso uma escala tipográfica muito pequena: text-[9px] e text-[10px] são usados como tamanho padrão de leitura em tabelas de contratos, lançamentos financeiros e legendas de KPI — abaixo do recomendável para leitura confortável, principalmente em dados que precisam ser conferidos com atenção (valores, datas de vencimento, status contratual).</w:t>
      </w:r>
    </w:p>
    <w:p>
      <w:pPr>
        <w:pStyle w:val="Heading2"/>
        <w:spacing w:after="140" w:before="300"/>
      </w:pPr>
      <w:r>
        <w:rPr>
          <w:b/>
          <w:bCs/>
          <w:color w:val="2563EB"/>
          <w:sz w:val="24"/>
          <w:szCs w:val="24"/>
        </w:rPr>
        <w:t xml:space="preserve">3. Navegação e responsividade</w:t>
      </w:r>
    </w:p>
    <w:p>
      <w:pPr>
        <w:spacing w:after="160" w:line="300"/>
      </w:pPr>
      <w:r>
        <w:rPr>
          <w:color w:val="1F2430"/>
          <w:sz w:val="21"/>
          <w:szCs w:val="21"/>
        </w:rPr>
        <w:t xml:space="preserve">A casca do aplicativo (barra lateral + cabeçalho) não tem nenhuma estratégia para telas estreitas: a barra lateral é uma coluna fixa de 256px (ou 80px recolhida) sem nenhum ponto de quebra que a transforme num menu retrátil (off-canvas) em tablet ou celular; o cabeçalho apenas esconde alguns rótulos de texto abaixo de certas larguras, sem reorganizar sua estrutura. Na prática, em uma tela de celular o sistema seria difícil de usar.</w:t>
      </w:r>
    </w:p>
    <w:p>
      <w:pPr>
        <w:spacing w:after="160" w:line="300"/>
      </w:pPr>
      <w:r>
        <w:rPr>
          <w:color w:val="1F2430"/>
          <w:sz w:val="21"/>
          <w:szCs w:val="21"/>
        </w:rPr>
        <w:t xml:space="preserve">Um efeito colateral secundário: o estado de "sidebar recolhida" só é lido do localStorage depois que o React monta no cliente, então todo carregamento de página mostra por um instante a barra lateral no tamanho errado antes de ajustar — um pequeno salto de layout perceptível.</w:t>
      </w:r>
    </w:p>
    <w:p>
      <w:pPr>
        <w:pStyle w:val="Heading2"/>
        <w:spacing w:after="140" w:before="300"/>
      </w:pPr>
      <w:r>
        <w:rPr>
          <w:b/>
          <w:bCs/>
          <w:color w:val="2563EB"/>
          <w:sz w:val="24"/>
          <w:szCs w:val="24"/>
        </w:rPr>
        <w:t xml:space="preserve">4. Acessibilidade</w:t>
      </w:r>
    </w:p>
    <w:p>
      <w:pPr>
        <w:spacing w:after="160" w:line="300"/>
      </w:pPr>
      <w:r>
        <w:rPr>
          <w:color w:val="1F2430"/>
          <w:sz w:val="21"/>
          <w:szCs w:val="21"/>
        </w:rPr>
        <w:t xml:space="preserve">A busca no código encontrou apenas 2 ocorrências de atributos de acessibilidade (aria-*, role, alt) em todo o projeto — e mesmo essas são apenas texto alternativo de imagem. Elementos que funcionam como botões (itens de resultado de busca, itens de notificação) são &lt;div onClick&gt;, ou seja, não são alcançáveis nem acionáveis via teclado e não são anunciados como interativos por leitores de tela.</w:t>
      </w:r>
    </w:p>
    <w:p>
      <w:pPr>
        <w:spacing w:after="160" w:line="300"/>
      </w:pPr>
      <w:r>
        <w:rPr>
          <w:color w:val="1F2430"/>
          <w:sz w:val="21"/>
          <w:szCs w:val="21"/>
        </w:rPr>
        <w:t xml:space="preserve">O foco visível de teclado depende, em vários formulários, apenas de uma mudança de cor de borda (focus:outline-none focus:border-blue-500) sem um contorno (ring) de fato visível — difícil de perceber para quem navega por teclado ou tem baixa visão. As diversas animações decorativas (pulsos, saltos, brilhos) também não respeitam a preferência de "reduzir movimento" do sistema operacional.</w:t>
      </w:r>
    </w:p>
    <w:p>
      <w:pPr>
        <w:pStyle w:val="Heading2"/>
        <w:spacing w:after="140" w:before="300"/>
      </w:pPr>
      <w:r>
        <w:rPr>
          <w:b/>
          <w:bCs/>
          <w:color w:val="2563EB"/>
          <w:sz w:val="24"/>
          <w:szCs w:val="24"/>
        </w:rPr>
        <w:t xml:space="preserve">5. Feedback, estados e desempenho de listas</w:t>
      </w:r>
    </w:p>
    <w:p>
      <w:pPr>
        <w:spacing w:after="160" w:line="300"/>
      </w:pPr>
      <w:r>
        <w:rPr>
          <w:color w:val="1F2430"/>
          <w:sz w:val="21"/>
          <w:szCs w:val="21"/>
        </w:rPr>
        <w:t xml:space="preserve">Não há paginação em nenhum lugar do sistema: a lista de contratos, os lançamentos financeiros (limitados a um corte fixo de até 1000 linhas renderizadas de uma vez no DOM) e outras listagens carregam o conjunto de dados inteiro. Isso tende a ficar lento e confuso à medida que a base de dados real cresce, e priva o usuário de uma noção clara de "quantos registros existem" que paginação ou contagens explícitas dariam.</w:t>
      </w:r>
    </w:p>
    <w:p>
      <w:pPr>
        <w:spacing w:after="160" w:line="300"/>
      </w:pPr>
      <w:r>
        <w:rPr>
          <w:color w:val="1F2430"/>
          <w:sz w:val="21"/>
          <w:szCs w:val="21"/>
        </w:rPr>
        <w:t xml:space="preserve">Estados de carregamento também são raros: a maioria dos componentes busca dados em segundo plano e simplesmente deixa a tela vazia até a resposta chegar — só o botão de atualizar do módulo Financeiro mostra um indicador de carregamento (ícone girando). Some-se a isso que Dashboard, Contratos e o cabeçalho global buscam de forma independente dados sobrepostos (contratos, faturas) sem nenhum cache compartilhado — o que, além do custo de performance, pode fazer contadores de notificação e conteúdo de página mostrarem números momentaneamente diferentes entre si.</w:t>
      </w:r>
    </w:p>
    <w:p>
      <w:pPr>
        <w:pStyle w:val="Heading2"/>
        <w:spacing w:after="140" w:before="300"/>
      </w:pPr>
      <w:r>
        <w:rPr>
          <w:b/>
          <w:bCs/>
          <w:color w:val="2563EB"/>
          <w:sz w:val="24"/>
          <w:szCs w:val="24"/>
        </w:rPr>
        <w:t xml:space="preserve">6. Arquitetura de informação do cofre de credenciais</w:t>
      </w:r>
    </w:p>
    <w:p>
      <w:pPr>
        <w:spacing w:after="160" w:line="300"/>
      </w:pPr>
      <w:r>
        <w:rPr>
          <w:color w:val="1F2430"/>
          <w:sz w:val="21"/>
          <w:szCs w:val="21"/>
        </w:rPr>
        <w:t xml:space="preserve">As credenciais (senhas de sistemas, acessos) ficam aninhadas dentro do módulo de Contratos, em vez de terem uma seção própria, claramente demarcada e auditável. Para uma funcionalidade que armazena segredos de acesso, esse posicionamento subestima o quão sensível ela é e facilita que passe despercebida numa revisão de permissões.</w:t>
      </w:r>
    </w:p>
    <w:p>
      <w:pPr>
        <w:spacing w:after="160" w:line="300"/>
      </w:pPr>
      <w:r>
        <w:rPr>
          <w:color w:val="1F2430"/>
          <w:sz w:val="21"/>
          <w:szCs w:val="21"/>
        </w:rPr>
        <w:t xml:space="preserve">Um detalhe técnico com implicação de confiança: o gerador de senha usa Math.random() em vez de um gerador criptograficamente seguro (crypto.getRandomValues) — uma lacuna pequena, mas relevante para uma funcionalidade que se apresenta como "cofre seguro".</w:t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200" w:before="420"/>
      </w:pPr>
      <w:r>
        <w:rPr>
          <w:b/>
          <w:bCs/>
          <w:color w:val="1E3A8A"/>
          <w:sz w:val="30"/>
          <w:szCs w:val="30"/>
        </w:rPr>
        <w:t xml:space="preserve">Plano de Ação Priorizado</w:t>
      </w:r>
    </w:p>
    <w:p>
      <w:pPr>
        <w:spacing w:after="160" w:line="300"/>
      </w:pPr>
      <w:r>
        <w:rPr>
          <w:color w:val="1F2430"/>
          <w:sz w:val="21"/>
          <w:szCs w:val="21"/>
        </w:rPr>
        <w:t xml:space="preserve">As recomendações abaixo estão organizadas por prioridade sugerida, esforço de implementação e impacto esperado na experiência do usuário. "Agora" reúne ajustes de baixo esforço e alto retorno que não dependem de nenhuma decisão de redesenho maior.</w:t>
      </w:r>
    </w:p>
    <w:p>
      <w:pPr>
        <w:spacing w:after="80"/>
      </w:pPr>
    </w:p>
    <w:tbl>
      <w:tblPr>
        <w:tblW w:type="dxa" w:w="935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1500"/>
        <w:gridCol w:w="5000"/>
        <w:gridCol w:w="1400"/>
        <w:gridCol w:w="14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50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1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4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1500"/>
            <w:shd w:fill="E6F6EE" w:val="clear"/>
            <w:tcMar>
              <w:top w:type="dxa" w:w="90"/>
              <w:left w:type="dxa" w:w="12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0F7B4F"/>
                <w:sz w:val="18"/>
                <w:szCs w:val="18"/>
              </w:rPr>
              <w:t xml:space="preserve">Agora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F2430"/>
                <w:sz w:val="18"/>
                <w:szCs w:val="18"/>
              </w:rPr>
              <w:t xml:space="preserve">Trocar todos os alert()/confirm() nativos (19 ocorrências) por modais/toasts do próprio sistema visual já existente.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Baixo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500"/>
            <w:shd w:fill="E6F6EE" w:val="clear"/>
            <w:tcMar>
              <w:top w:type="dxa" w:w="90"/>
              <w:left w:type="dxa" w:w="12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0F7B4F"/>
                <w:sz w:val="18"/>
                <w:szCs w:val="18"/>
              </w:rPr>
              <w:t xml:space="preserve">Agora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F2430"/>
                <w:sz w:val="18"/>
                <w:szCs w:val="18"/>
              </w:rPr>
              <w:t xml:space="preserve">Remover ou finalizar de fato o toggle de modo claro/escuro (código morto em DashboardClient: isDarkMode/toggleDarkMode nunca é acionado por nenhum botão).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Baixo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500"/>
            <w:shd w:fill="E6F6EE" w:val="clear"/>
            <w:tcMar>
              <w:top w:type="dxa" w:w="90"/>
              <w:left w:type="dxa" w:w="12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0F7B4F"/>
                <w:sz w:val="18"/>
                <w:szCs w:val="18"/>
              </w:rPr>
              <w:t xml:space="preserve">Agora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F2430"/>
                <w:sz w:val="18"/>
                <w:szCs w:val="18"/>
              </w:rPr>
              <w:t xml:space="preserve">Elevar o tamanho mínimo de fonte do corpo (hoje text-[9px]/[10px]) para pelo menos 12–13px nas telas com dados financeiros e contratuais.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Baixo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500"/>
            <w:shd w:fill="E6F6EE" w:val="clear"/>
            <w:tcMar>
              <w:top w:type="dxa" w:w="90"/>
              <w:left w:type="dxa" w:w="12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0F7B4F"/>
                <w:sz w:val="18"/>
                <w:szCs w:val="18"/>
              </w:rPr>
              <w:t xml:space="preserve">Agora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F2430"/>
                <w:sz w:val="18"/>
                <w:szCs w:val="18"/>
              </w:rPr>
              <w:t xml:space="preserve">Padronizar foco visível (ring/outline) em todos os inputs, botões e itens de lista clicáveis.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Baixo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500"/>
            <w:shd w:fill="FEF3E2" w:val="clear"/>
            <w:tcMar>
              <w:top w:type="dxa" w:w="90"/>
              <w:left w:type="dxa" w:w="12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Próximo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F2430"/>
                <w:sz w:val="18"/>
                <w:szCs w:val="18"/>
              </w:rPr>
              <w:t xml:space="preserve">Migrar Dashboard e Contratos (as duas telas mais usadas) para os componentes compartilhados Button/Card/Badge/EmptyState já usados em Faturamento, Governança e Relatórios.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Médio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500"/>
            <w:shd w:fill="FEF3E2" w:val="clear"/>
            <w:tcMar>
              <w:top w:type="dxa" w:w="90"/>
              <w:left w:type="dxa" w:w="12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Próximo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F2430"/>
                <w:sz w:val="18"/>
                <w:szCs w:val="18"/>
              </w:rPr>
              <w:t xml:space="preserve">Unificar a paleta: eliminar os valores hexadecimais soltos (bg-[#0d1527] etc.) em favor das CSS custom properties já definidas em globals.css, ou simplificar os tokens para refletir só o tema realmente usado.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Médio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500"/>
            <w:shd w:fill="FEF3E2" w:val="clear"/>
            <w:tcMar>
              <w:top w:type="dxa" w:w="90"/>
              <w:left w:type="dxa" w:w="12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Próximo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F2430"/>
                <w:sz w:val="18"/>
                <w:szCs w:val="18"/>
              </w:rPr>
              <w:t xml:space="preserve">Implementar paginação (ou virtualização) nas listas de contratos, lançamentos financeiros e credenciais — hoje tudo é renderizado de uma vez (até 1000 linhas no DOM).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Médio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500"/>
            <w:shd w:fill="FEF3E2" w:val="clear"/>
            <w:tcMar>
              <w:top w:type="dxa" w:w="90"/>
              <w:left w:type="dxa" w:w="12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Próximo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F2430"/>
                <w:sz w:val="18"/>
                <w:szCs w:val="18"/>
              </w:rPr>
              <w:t xml:space="preserve">Adicionar estados de carregamento (skeletons) padronizados para toda operação assíncrona, hoje quase inexistentes fora do ícone de refresh do módulo Financeiro.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Médio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500"/>
            <w:shd w:fill="E9ECF5" w:val="clear"/>
            <w:tcMar>
              <w:top w:type="dxa" w:w="90"/>
              <w:left w:type="dxa" w:w="12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3B4A6B"/>
                <w:sz w:val="18"/>
                <w:szCs w:val="18"/>
              </w:rPr>
              <w:t xml:space="preserve">Depois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F2430"/>
                <w:sz w:val="18"/>
                <w:szCs w:val="18"/>
              </w:rPr>
              <w:t xml:space="preserve">Redesenhar o app shell com sidebar responsiva (menu off-canvas em telas estreitas) — hoje a navegação não se adapta a tablet/celular.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Alto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500"/>
            <w:shd w:fill="E9ECF5" w:val="clear"/>
            <w:tcMar>
              <w:top w:type="dxa" w:w="90"/>
              <w:left w:type="dxa" w:w="12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3B4A6B"/>
                <w:sz w:val="18"/>
                <w:szCs w:val="18"/>
              </w:rPr>
              <w:t xml:space="preserve">Depois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F2430"/>
                <w:sz w:val="18"/>
                <w:szCs w:val="18"/>
              </w:rPr>
              <w:t xml:space="preserve">Recalibrar a linguagem visual: reduzir glow/gradiente/animações decorativas em telas operacionais densas (tabelas financeiras, listas de contrato), reservando o efeito "SaaS premium" para telas de destaque.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Alto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500"/>
            <w:shd w:fill="E9ECF5" w:val="clear"/>
            <w:tcMar>
              <w:top w:type="dxa" w:w="90"/>
              <w:left w:type="dxa" w:w="12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3B4A6B"/>
                <w:sz w:val="18"/>
                <w:szCs w:val="18"/>
              </w:rPr>
              <w:t xml:space="preserve">Depois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F2430"/>
                <w:sz w:val="18"/>
                <w:szCs w:val="18"/>
              </w:rPr>
              <w:t xml:space="preserve">Auditoria de acessibilidade completa (ARIA, navegação por teclado, contraste, prefers-reduced-motion) antes de ampliar a base de usuários.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Alto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500"/>
            <w:shd w:fill="E9ECF5" w:val="clear"/>
            <w:tcMar>
              <w:top w:type="dxa" w:w="90"/>
              <w:left w:type="dxa" w:w="12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3B4A6B"/>
                <w:sz w:val="18"/>
                <w:szCs w:val="18"/>
              </w:rPr>
              <w:t xml:space="preserve">Depois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color w:val="1F2430"/>
                <w:sz w:val="18"/>
                <w:szCs w:val="18"/>
              </w:rPr>
              <w:t xml:space="preserve">Formalizar um design system documentado (tokens, componentes, estados) para impedir que novos módulos repitam a fragmentação atual.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Alto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5B6472"/>
                <w:sz w:val="18"/>
                <w:szCs w:val="18"/>
              </w:rPr>
              <w:t xml:space="preserve">Médio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2563EB" w:sz="6" w:space="6"/>
        </w:pBdr>
        <w:spacing w:after="200" w:before="420"/>
      </w:pPr>
      <w:r>
        <w:rPr>
          <w:b/>
          <w:bCs/>
          <w:color w:val="1E3A8A"/>
          <w:sz w:val="30"/>
          <w:szCs w:val="30"/>
        </w:rPr>
        <w:t xml:space="preserve">Conclusão</w:t>
      </w:r>
    </w:p>
    <w:p>
      <w:pPr>
        <w:spacing w:after="160" w:line="300"/>
      </w:pPr>
      <w:r>
        <w:rPr>
          <w:color w:val="1F2430"/>
          <w:sz w:val="21"/>
          <w:szCs w:val="21"/>
        </w:rPr>
        <w:t xml:space="preserve">O ThemUno CLMS resolve um problema real — dar a uma holding com múltiplas empresas uma visão unificada de contratos, governança e finanças — com uma modelagem de dados madura por trás. O trabalho que falta está concentrado na camada de apresentação: consolidar em um único sistema de design os componentes que já existem, recalibrar o tom visual para o contexto de um back-office financeiro e de governança, garantir que a interface funcione em qualquer tamanho de tela e fechar as lacunas de acessibilidade antes de expandir a base de usuários.</w:t>
      </w:r>
    </w:p>
    <w:p>
      <w:pPr>
        <w:spacing w:after="160" w:line="300"/>
      </w:pPr>
      <w:r>
        <w:rPr>
          <w:color w:val="1F2430"/>
          <w:sz w:val="21"/>
          <w:szCs w:val="21"/>
        </w:rPr>
        <w:t xml:space="preserve">Nenhuma dessas mudanças exige reescrever o produto. Elas podem ser feitas de forma incremental, módulo por módulo, seguindo a ordem sugerida no plano de ação — começando pelos itens de baixo esforço que já eliminam as inconsistências mais visíveis no dia a dia de quem usa o sistema.</w:t>
      </w:r>
    </w:p>
    <w:sectPr>
      <w:headerReference w:type="default" r:id="rId7"/>
      <w:footerReference w:type="default" r:id="rId8"/>
      <w:pgSz w:w="12240" w:h="15840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Página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472"/>
        <w:sz w:val="16"/>
        <w:szCs w:val="16"/>
      </w:rPr>
      <w:t xml:space="preserve"> de </w:t>
    </w:r>
    <w:r>
      <w:rPr>
        <w:color w:val="5B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8" w:sz="4" w:space="6"/>
      </w:pBdr>
    </w:pPr>
    <w:r>
      <w:rPr>
        <w:color w:val="5B6472"/>
        <w:sz w:val="16"/>
        <w:szCs w:val="16"/>
      </w:rPr>
      <w:t xml:space="preserve">ThemUno CLMS  ·  Auditoria de UX/UI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2026-08-29T00:29:06.436Z</dcterms:created>
  <dcterms:modified xsi:type="dcterms:W3CDTF">2026-08-29T00:29:06.451Z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