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2563EB"/>
          <w:sz w:val="22"/>
          <w:szCs w:val="22"/>
        </w:rPr>
        <w:t xml:space="preserve">REVISÃO DE CÓDIGO</w:t>
      </w:r>
    </w:p>
    <w:p>
      <w:pPr>
        <w:spacing w:after="120"/>
      </w:pPr>
      <w:r>
        <w:rPr>
          <w:b/>
          <w:bCs/>
          <w:color w:val="1E3A8A"/>
          <w:sz w:val="56"/>
          <w:szCs w:val="56"/>
        </w:rPr>
        <w:t xml:space="preserve">ThemUno CLMS</w:t>
      </w:r>
    </w:p>
    <w:p>
      <w:pPr>
        <w:spacing w:after="500"/>
      </w:pPr>
      <w:r>
        <w:rPr>
          <w:i/>
          <w:iCs/>
          <w:color w:val="5B6472"/>
          <w:sz w:val="24"/>
          <w:szCs w:val="24"/>
        </w:rPr>
        <w:t xml:space="preserve">Backend, dados e lógica de negócio</w:t>
      </w:r>
    </w:p>
    <w:p>
      <w:pPr>
        <w:spacing w:after="160" w:line="300"/>
      </w:pPr>
      <w:r>
        <w:rPr>
          <w:color w:val="1F2430"/>
          <w:sz w:val="21"/>
          <w:szCs w:val="21"/>
        </w:rPr>
        <w:t xml:space="preserve">Esta revisão examina o backend do ThemUno CLMS — schema Prisma, server actions, importador financeiro e configuração de build/deploy — em busca de riscos de segurança, bugs de lógica e problemas de manutenção. Complementa a Auditoria de UX/UI já entregue, que cobriu a camada de interface.</w:t>
      </w:r>
    </w:p>
    <w:p>
      <w:pPr>
        <w:spacing w:after="160" w:line="300"/>
      </w:pPr>
      <w:r>
        <w:rPr>
          <w:color w:val="5B6472"/>
          <w:sz w:val="21"/>
          <w:szCs w:val="21"/>
        </w:rPr>
        <w:t xml:space="preserve">Análise feita diretamente sobre o código-fonte (prisma/schema.prisma, src/app/actions.ts, src/lib/db.ts, src/app/finance/actions.ts, src/app/finance/importers.ts, prisma/seed.ts, Dockerfile, docker-compose.yml) e sobre o repositório eduaquino01/ThemUno no GitHub.</w:t>
      </w:r>
    </w:p>
    <w:p>
      <w:pPr>
        <w:spacing w:after="300"/>
      </w:pPr>
    </w:p>
    <w:p>
      <w:r>
        <w:br w:type="page"/>
      </w:r>
    </w:p>
    <w:p>
      <w:pPr>
        <w:pStyle w:val="Heading1"/>
        <w:pBdr>
          <w:bottom w:val="single" w:color="2563EB" w:sz="6" w:space="6"/>
        </w:pBdr>
        <w:spacing w:after="200" w:before="420"/>
      </w:pPr>
      <w:r>
        <w:rPr>
          <w:b/>
          <w:bCs/>
          <w:color w:val="1E3A8A"/>
          <w:sz w:val="30"/>
          <w:szCs w:val="30"/>
        </w:rPr>
        <w:t xml:space="preserve">Sumário Executivo</w:t>
      </w:r>
    </w:p>
    <w:p>
      <w:pPr>
        <w:spacing w:after="160" w:line="300"/>
      </w:pPr>
      <w:r>
        <w:rPr>
          <w:color w:val="1F2430"/>
          <w:sz w:val="21"/>
          <w:szCs w:val="21"/>
        </w:rPr>
        <w:t xml:space="preserve">O backend tem decisões sólidas: Prisma com tipos gerados, Zod validando as criações, Decimal para valores monetários (evita erro de ponto flutuante), transação atômica na importação financeira com deduplicação por referência. É um código de quem entende o domínio.</w:t>
      </w:r>
    </w:p>
    <w:p>
      <w:pPr>
        <w:spacing w:after="160" w:line="300"/>
      </w:pPr>
      <w:r>
        <w:rPr>
          <w:color w:val="1F2430"/>
          <w:sz w:val="21"/>
          <w:szCs w:val="21"/>
        </w:rPr>
        <w:t xml:space="preserve">Mas a revisão encontrou três problemas que classifico como críticos — não por serem difíceis de corrigir, mas porque já têm impacto real hoje, não daqui a meses:</w:t>
      </w:r>
    </w:p>
    <w:p>
      <w:pPr>
        <w:pStyle w:val="ListParagraph"/>
        <w:numPr>
          <w:ilvl w:val="0"/>
          <w:numId w:val="2"/>
        </w:numPr>
        <w:spacing w:after="110" w:line="290"/>
      </w:pPr>
      <w:r>
        <w:rPr>
          <w:b/>
          <w:bCs/>
          <w:color w:val="1F2430"/>
          <w:sz w:val="20"/>
          <w:szCs w:val="20"/>
        </w:rPr>
        <w:t xml:space="preserve">1. Não existe autenticação em lugar nenhum — </w:t>
      </w:r>
      <w:r>
        <w:rPr>
          <w:color w:val="1F2430"/>
          <w:sz w:val="20"/>
          <w:szCs w:val="20"/>
        </w:rPr>
        <w:t xml:space="preserve">toda função em actions.ts é uma Server Action chamável por qualquer um que alcance a URL do app. O próprio README já avisa disso, e o código confirma: não há sessão, usuário ou verificação de permissão em nenhuma leitura ou escrita.</w:t>
      </w:r>
    </w:p>
    <w:p>
      <w:pPr>
        <w:pStyle w:val="ListParagraph"/>
        <w:numPr>
          <w:ilvl w:val="0"/>
          <w:numId w:val="2"/>
        </w:numPr>
        <w:spacing w:after="110" w:line="290"/>
      </w:pPr>
      <w:r>
        <w:rPr>
          <w:b/>
          <w:bCs/>
          <w:color w:val="1F2430"/>
          <w:sz w:val="20"/>
          <w:szCs w:val="20"/>
        </w:rPr>
        <w:t xml:space="preserve">2. O cofre de senhas envia os segredos em texto plano para o navegador — </w:t>
      </w:r>
      <w:r>
        <w:rPr>
          <w:color w:val="1F2430"/>
          <w:sz w:val="20"/>
          <w:szCs w:val="20"/>
        </w:rPr>
        <w:t xml:space="preserve">getContractById e getStandaloneCredentials devolvem secret_value integralmente ao carregar a página, antes de qualquer clique em "revelar".</w:t>
      </w:r>
    </w:p>
    <w:p>
      <w:pPr>
        <w:pStyle w:val="ListParagraph"/>
        <w:numPr>
          <w:ilvl w:val="0"/>
          <w:numId w:val="2"/>
        </w:numPr>
        <w:spacing w:after="110" w:line="290"/>
      </w:pPr>
      <w:r>
        <w:rPr>
          <w:b/>
          <w:bCs/>
          <w:color w:val="1F2430"/>
          <w:sz w:val="20"/>
          <w:szCs w:val="20"/>
        </w:rPr>
        <w:t xml:space="preserve">3. CNPJs e razões sociais reais de empresas do grupo estão em prisma/seed.ts, dentro de um repositório GitHub público — </w:t>
      </w:r>
      <w:r>
        <w:rPr>
          <w:color w:val="1F2430"/>
          <w:sz w:val="20"/>
          <w:szCs w:val="20"/>
        </w:rPr>
        <w:t xml:space="preserve">confirmei que o repositório é clonável sem nenhuma credencial.</w:t>
      </w:r>
    </w:p>
    <w:p>
      <w:pPr>
        <w:spacing w:after="160" w:line="300"/>
      </w:pPr>
      <w:r>
        <w:rPr>
          <w:color w:val="1F2430"/>
          <w:sz w:val="21"/>
          <w:szCs w:val="21"/>
        </w:rPr>
        <w:t xml:space="preserve">Depois desses três, há um grupo de problemas de alta prioridade que são bugs de lógica reais (não hipotéticos) — o mais notável sendo um parser de importação financeira com o ano 2026 fixo no código, que vai parar de reconhecer as planilhas assim que o ano virar. O restante do documento detalha cada achado com o trecho de código relevante e a ação recomendada.</w:t>
      </w:r>
    </w:p>
    <w:p>
      <w:pPr>
        <w:pStyle w:val="Heading1"/>
        <w:pBdr>
          <w:bottom w:val="single" w:color="2563EB" w:sz="6" w:space="6"/>
        </w:pBdr>
        <w:spacing w:after="200" w:before="420"/>
      </w:pPr>
      <w:r>
        <w:rPr>
          <w:b/>
          <w:bCs/>
          <w:color w:val="1E3A8A"/>
          <w:sz w:val="30"/>
          <w:szCs w:val="30"/>
        </w:rPr>
        <w:t xml:space="preserve">Achados Críticos</w:t>
      </w:r>
    </w:p>
    <w:p>
      <w:pPr>
        <w:pStyle w:val="Heading2"/>
        <w:spacing w:after="140" w:before="300"/>
      </w:pPr>
      <w:r>
        <w:rPr>
          <w:b/>
          <w:bCs/>
          <w:color w:val="B0243A"/>
          <w:sz w:val="24"/>
          <w:szCs w:val="24"/>
        </w:rPr>
        <w:t xml:space="preserve">Segurança e exposição de dados</w:t>
      </w:r>
    </w:p>
    <w:tbl>
      <w:tblPr>
        <w:tblW w:type="dxa" w:w="9350"/>
        <w:tblBorders>
          <w:top w:val="single" w:color="B0243A" w:sz="4"/>
          <w:left w:val="single" w:color="B0243A" w:sz="16"/>
          <w:bottom w:val="single" w:color="B0243A" w:sz="4"/>
          <w:right w:val="single" w:color="B0243A" w:sz="4"/>
          <w:insideH w:val="single" w:color="auto" w:sz="4"/>
          <w:insideV w:val="single" w:color="auto" w:sz="4"/>
        </w:tblBorders>
      </w:tblPr>
      <w:tblGrid>
        <w:gridCol w:w="9350"/>
      </w:tblGrid>
      <w:tr>
        <w:tc>
          <w:tcPr>
            <w:tcW w:type="dxa" w:w="9350"/>
            <w:shd w:fill="FCEAEE" w:val="clear"/>
            <w:tcMar>
              <w:top w:type="dxa" w:w="90"/>
              <w:left w:type="dxa" w:w="220"/>
              <w:bottom w:type="dxa" w:w="90"/>
              <w:right w:type="dxa" w:w="220"/>
            </w:tcMar>
          </w:tcPr>
          <w:p>
            <w:r>
              <w:rPr>
                <w:b/>
                <w:bCs/>
                <w:color w:val="B0243A"/>
                <w:sz w:val="19"/>
                <w:szCs w:val="19"/>
              </w:rPr>
              <w:t xml:space="preserve">Nenhuma autenticação ou autorização</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src/app/actions.ts (todas as funções exportadas)</w:t>
      </w:r>
    </w:p>
    <w:p>
      <w:pPr>
        <w:spacing w:after="160" w:line="300"/>
      </w:pPr>
      <w:r>
        <w:rPr>
          <w:color w:val="1F2430"/>
          <w:sz w:val="21"/>
          <w:szCs w:val="21"/>
        </w:rPr>
        <w:t xml:space="preserve">Todas as server actions — getContracts, createContract, deleteContract, getStandaloneCredentials e as demais — executam a operação diretamente contra o banco, sem checar quem está fazendo a chamada nem se essa pessoa tem permissão sobre aquela empresa. O próprio README do projeto já registra isso: "Antes de uso externo, implemente autenticação e autorização por empresa." O código confirma que essa frase não é uma formalidade — é literal: não existe tabela de usuário no schema, não existe middleware de sessão, não existe nenhuma checagem de propriedade antes de um update ou delete.</w:t>
      </w:r>
    </w:p>
    <w:p>
      <w:pPr>
        <w:spacing w:after="160" w:line="300"/>
      </w:pPr>
      <w:r>
        <w:rPr>
          <w:color w:val="1F2430"/>
          <w:sz w:val="21"/>
          <w:szCs w:val="21"/>
        </w:rPr>
        <w:t xml:space="preserve">Na prática, qualquer pessoa que descubra o endereço onde o app está rodando consegue ler todos os contratos, valores financeiros e credenciais de todas as empresas da holding, e também criar, editar ou apagar qualquer registro — inclusive contratos de outras empresas do grupo, mesmo que a interface pareça restringir por "empresa selecionada" (esse filtro é só visual, no cliente).</w:t>
      </w:r>
    </w:p>
    <w:p>
      <w:pPr>
        <w:spacing w:after="160"/>
      </w:pPr>
    </w:p>
    <w:tbl>
      <w:tblPr>
        <w:tblW w:type="dxa" w:w="9350"/>
        <w:tblBorders>
          <w:top w:val="single" w:color="B0243A" w:sz="4"/>
          <w:left w:val="single" w:color="B0243A" w:sz="16"/>
          <w:bottom w:val="single" w:color="B0243A" w:sz="4"/>
          <w:right w:val="single" w:color="B0243A" w:sz="4"/>
          <w:insideH w:val="single" w:color="auto" w:sz="4"/>
          <w:insideV w:val="single" w:color="auto" w:sz="4"/>
        </w:tblBorders>
      </w:tblPr>
      <w:tblGrid>
        <w:gridCol w:w="9350"/>
      </w:tblGrid>
      <w:tr>
        <w:tc>
          <w:tcPr>
            <w:tcW w:type="dxa" w:w="9350"/>
            <w:shd w:fill="FCEAEE" w:val="clear"/>
            <w:tcMar>
              <w:top w:type="dxa" w:w="90"/>
              <w:left w:type="dxa" w:w="220"/>
              <w:bottom w:type="dxa" w:w="90"/>
              <w:right w:type="dxa" w:w="220"/>
            </w:tcMar>
          </w:tcPr>
          <w:p>
            <w:r>
              <w:rPr>
                <w:b/>
                <w:bCs/>
                <w:color w:val="B0243A"/>
                <w:sz w:val="19"/>
                <w:szCs w:val="19"/>
              </w:rPr>
              <w:t xml:space="preserve">Segredos do cofre trafegam em texto plano para o cliente</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src/app/actions.ts → getContractById / getStandaloneCredentials</w:t>
      </w:r>
    </w:p>
    <w:p>
      <w:pPr>
        <w:spacing w:after="160" w:line="300"/>
      </w:pPr>
      <w:r>
        <w:rPr>
          <w:color w:val="1F2430"/>
          <w:sz w:val="21"/>
          <w:szCs w:val="21"/>
        </w:rPr>
        <w:t xml:space="preserve">As duas funções incluem credentials (ou retornam credenciais diretamente) sem nunca omitir ou mascarar secret_value no servidor. Isso significa que, assim que a tela de um contrato ou o Dashboard carrega, todas as senhas associadas àquele contrato já estão na memória do navegador — visíveis em qualquer inspeção de rede ou de React DevTools — independentemente de o usuário ter clicado no ícone de "mostrar senha" do componente PasswordInputWithGenerator.</w:t>
      </w:r>
    </w:p>
    <w:p>
      <w:pPr>
        <w:shd w:fill="EFF1F5" w:val="clear"/>
        <w:spacing w:after="140" w:before="40"/>
        <w:ind w:left="200" w:right="200"/>
      </w:pPr>
      <w:r>
        <w:rPr>
          <w:rFonts w:ascii="Consolas" w:cs="Consolas" w:eastAsia="Consolas" w:hAnsi="Consolas"/>
          <w:color w:val="3B4252"/>
          <w:sz w:val="18"/>
          <w:szCs w:val="18"/>
        </w:rPr>
        <w:t xml:space="preserve">// actions.ts — credentials incluído por completo, sem seleção de campos
credentials: { orderBy: { created_at: 'desc' } }</w:t>
      </w:r>
    </w:p>
    <w:p>
      <w:pPr>
        <w:spacing w:after="160" w:line="300"/>
      </w:pPr>
      <w:r>
        <w:rPr>
          <w:color w:val="1F2430"/>
          <w:sz w:val="21"/>
          <w:szCs w:val="21"/>
        </w:rPr>
        <w:t xml:space="preserve">O ajuste é simples: excluir secret_value da consulta inicial (select explícito sem esse campo) e buscar o valor completo apenas numa ação separada, chamada sob demanda quando o usuário pede para revelar uma credencial específica — e, no médio prazo, exigir autenticação para essa ação pontual.</w:t>
      </w:r>
    </w:p>
    <w:p>
      <w:pPr>
        <w:spacing w:after="160"/>
      </w:pPr>
    </w:p>
    <w:tbl>
      <w:tblPr>
        <w:tblW w:type="dxa" w:w="9350"/>
        <w:tblBorders>
          <w:top w:val="single" w:color="B0243A" w:sz="4"/>
          <w:left w:val="single" w:color="B0243A" w:sz="16"/>
          <w:bottom w:val="single" w:color="B0243A" w:sz="4"/>
          <w:right w:val="single" w:color="B0243A" w:sz="4"/>
          <w:insideH w:val="single" w:color="auto" w:sz="4"/>
          <w:insideV w:val="single" w:color="auto" w:sz="4"/>
        </w:tblBorders>
      </w:tblPr>
      <w:tblGrid>
        <w:gridCol w:w="9350"/>
      </w:tblGrid>
      <w:tr>
        <w:tc>
          <w:tcPr>
            <w:tcW w:type="dxa" w:w="9350"/>
            <w:shd w:fill="FCEAEE" w:val="clear"/>
            <w:tcMar>
              <w:top w:type="dxa" w:w="90"/>
              <w:left w:type="dxa" w:w="220"/>
              <w:bottom w:type="dxa" w:w="90"/>
              <w:right w:type="dxa" w:w="220"/>
            </w:tcMar>
          </w:tcPr>
          <w:p>
            <w:r>
              <w:rPr>
                <w:b/>
                <w:bCs/>
                <w:color w:val="B0243A"/>
                <w:sz w:val="19"/>
                <w:szCs w:val="19"/>
              </w:rPr>
              <w:t xml:space="preserve">Dados reais de empresas em repositório público no GitHub</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prisma/seed.ts + github.com/eduaquino01/ThemUno</w:t>
      </w:r>
    </w:p>
    <w:p>
      <w:pPr>
        <w:spacing w:after="160" w:line="300"/>
      </w:pPr>
      <w:r>
        <w:rPr>
          <w:color w:val="1F2430"/>
          <w:sz w:val="21"/>
          <w:szCs w:val="21"/>
        </w:rPr>
        <w:t xml:space="preserve">prisma/seed.ts cadastra, com nome e CNPJ reais, quatro empresas (SMARTTS UTILITIES RJ, SMARTTS UTILITIES SPE, INTEGRA UTILITES, ABA BLOCKCHAIN). Confirmei, clonando o repositório sem nenhuma credencial, que eduaquino01/ThemUno no GitHub é público — ou seja, esses dados corporativos já estão acessíveis a qualquer pessoa na internet, junto com toda a lógica de negócio do sistema.</w:t>
      </w:r>
    </w:p>
    <w:p>
      <w:pPr>
        <w:spacing w:after="160" w:line="300"/>
      </w:pPr>
      <w:r>
        <w:rPr>
          <w:color w:val="1F2430"/>
          <w:sz w:val="21"/>
          <w:szCs w:val="21"/>
        </w:rPr>
        <w:t xml:space="preserve">Recomendo duas ações independentes: tornar o repositório privado (Settings → Danger Zone → Change visibility, no GitHub) e, separadamente, substituir os dados reais em seed.ts por dados fictícios — lembrando que simplesmente apagar o arquivo agora não remove o que já foi commitado no histórico do Git.</w:t>
      </w:r>
    </w:p>
    <w:p>
      <w:pPr>
        <w:spacing w:after="160"/>
      </w:pPr>
    </w:p>
    <w:p>
      <w:r>
        <w:br w:type="page"/>
      </w:r>
    </w:p>
    <w:p>
      <w:pPr>
        <w:pStyle w:val="Heading1"/>
        <w:pBdr>
          <w:bottom w:val="single" w:color="2563EB" w:sz="6" w:space="6"/>
        </w:pBdr>
        <w:spacing w:after="200" w:before="420"/>
      </w:pPr>
      <w:r>
        <w:rPr>
          <w:b/>
          <w:bCs/>
          <w:color w:val="1E3A8A"/>
          <w:sz w:val="30"/>
          <w:szCs w:val="30"/>
        </w:rPr>
        <w:t xml:space="preserve">Achados de Alta Prioridade</w:t>
      </w:r>
    </w:p>
    <w:p>
      <w:pPr>
        <w:pStyle w:val="Heading2"/>
        <w:spacing w:after="140" w:before="300"/>
      </w:pPr>
      <w:r>
        <w:rPr>
          <w:b/>
          <w:bCs/>
          <w:color w:val="B45309"/>
          <w:sz w:val="24"/>
          <w:szCs w:val="24"/>
        </w:rPr>
        <w:t xml:space="preserve">Bugs de lógica e integridade de dados</w:t>
      </w:r>
    </w:p>
    <w:tbl>
      <w:tblPr>
        <w:tblW w:type="dxa" w:w="9350"/>
        <w:tblBorders>
          <w:top w:val="single" w:color="B45309" w:sz="4"/>
          <w:left w:val="single" w:color="B45309" w:sz="16"/>
          <w:bottom w:val="single" w:color="B45309" w:sz="4"/>
          <w:right w:val="single" w:color="B45309" w:sz="4"/>
          <w:insideH w:val="single" w:color="auto" w:sz="4"/>
          <w:insideV w:val="single" w:color="auto" w:sz="4"/>
        </w:tblBorders>
      </w:tblPr>
      <w:tblGrid>
        <w:gridCol w:w="9350"/>
      </w:tblGrid>
      <w:tr>
        <w:tc>
          <w:tcPr>
            <w:tcW w:type="dxa" w:w="9350"/>
            <w:shd w:fill="FEF3E2" w:val="clear"/>
            <w:tcMar>
              <w:top w:type="dxa" w:w="90"/>
              <w:left w:type="dxa" w:w="220"/>
              <w:bottom w:type="dxa" w:w="90"/>
              <w:right w:type="dxa" w:w="220"/>
            </w:tcMar>
          </w:tcPr>
          <w:p>
            <w:r>
              <w:rPr>
                <w:b/>
                <w:bCs/>
                <w:color w:val="B45309"/>
                <w:sz w:val="19"/>
                <w:szCs w:val="19"/>
              </w:rPr>
              <w:t xml:space="preserve">Ano fixo em 2026 no parser do Plano Financeiro</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src/app/finance/importers.ts → normalizeFinancialPlan / parsePeriod</w:t>
      </w:r>
    </w:p>
    <w:p>
      <w:pPr>
        <w:spacing w:after="160" w:line="300"/>
      </w:pPr>
      <w:r>
        <w:rPr>
          <w:color w:val="1F2430"/>
          <w:sz w:val="21"/>
          <w:szCs w:val="21"/>
        </w:rPr>
        <w:t xml:space="preserve">A função procura, dentro do arquivo Excel, uma aba chamada literalmente "${monthName} 2026" (ex.: "Janeiro 2026"), e a função parsePeriod monta cada data com o ano 2026 escrito diretamente no código.</w:t>
      </w:r>
    </w:p>
    <w:p>
      <w:pPr>
        <w:shd w:fill="EFF1F5" w:val="clear"/>
        <w:spacing w:after="140" w:before="40"/>
        <w:ind w:left="200" w:right="200"/>
      </w:pPr>
      <w:r>
        <w:rPr>
          <w:rFonts w:ascii="Consolas" w:cs="Consolas" w:eastAsia="Consolas" w:hAnsi="Consolas"/>
          <w:color w:val="3B4252"/>
          <w:sz w:val="18"/>
          <w:szCs w:val="18"/>
        </w:rPr>
        <w:t xml:space="preserve">const sheet = workbook.Sheets[`${monthName} 2026`];
...
const iso = (day) =&gt; `2026-${String(month).padStart(2, '0')}-${String(day).padStart(2, '0')}`;</w:t>
      </w:r>
    </w:p>
    <w:p>
      <w:pPr>
        <w:spacing w:after="160" w:line="300"/>
      </w:pPr>
      <w:r>
        <w:rPr>
          <w:color w:val="1F2430"/>
          <w:sz w:val="21"/>
          <w:szCs w:val="21"/>
        </w:rPr>
        <w:t xml:space="preserve">Isso funciona hoje só porque estamos em 2026. A partir de janeiro de 2027, qualquer planilha no formato "Plano Financeiro" com abas nomeadas "Janeiro 2027" etc. deixará de ser reconhecida — o sistema vai cair no formato Sankhya ou lançar "Formato não reconhecido", mesmo com um arquivo perfeitamente válido. Vale corrigir para extrair o ano do nome da aba (ou de um seletor na tela de importação) em vez de um literal fixo.</w:t>
      </w:r>
    </w:p>
    <w:p>
      <w:pPr>
        <w:spacing w:after="160"/>
      </w:pPr>
    </w:p>
    <w:tbl>
      <w:tblPr>
        <w:tblW w:type="dxa" w:w="9350"/>
        <w:tblBorders>
          <w:top w:val="single" w:color="B45309" w:sz="4"/>
          <w:left w:val="single" w:color="B45309" w:sz="16"/>
          <w:bottom w:val="single" w:color="B45309" w:sz="4"/>
          <w:right w:val="single" w:color="B45309" w:sz="4"/>
          <w:insideH w:val="single" w:color="auto" w:sz="4"/>
          <w:insideV w:val="single" w:color="auto" w:sz="4"/>
        </w:tblBorders>
      </w:tblPr>
      <w:tblGrid>
        <w:gridCol w:w="9350"/>
      </w:tblGrid>
      <w:tr>
        <w:tc>
          <w:tcPr>
            <w:tcW w:type="dxa" w:w="9350"/>
            <w:shd w:fill="FEF3E2" w:val="clear"/>
            <w:tcMar>
              <w:top w:type="dxa" w:w="90"/>
              <w:left w:type="dxa" w:w="220"/>
              <w:bottom w:type="dxa" w:w="90"/>
              <w:right w:type="dxa" w:w="220"/>
            </w:tcMar>
          </w:tcPr>
          <w:p>
            <w:r>
              <w:rPr>
                <w:b/>
                <w:bCs/>
                <w:color w:val="B45309"/>
                <w:sz w:val="19"/>
                <w:szCs w:val="19"/>
              </w:rPr>
              <w:t xml:space="preserve">Exclusão de contrato é definitiva e em cascata</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prisma/schema.prisma (onDelete: Cascade) + src/app/actions.ts → deleteContract</w:t>
      </w:r>
    </w:p>
    <w:p>
      <w:pPr>
        <w:spacing w:after="160" w:line="300"/>
      </w:pPr>
      <w:r>
        <w:rPr>
          <w:color w:val="1F2430"/>
          <w:sz w:val="21"/>
          <w:szCs w:val="21"/>
        </w:rPr>
        <w:t xml:space="preserve">O modelo Contract tem onDelete: Cascade para milestones, change_requests, risks, invoices e credentials. deleteContract(id) chama prisma.contract.delete diretamente, sem arquivamento nem verificação adicional — e na interface essa ação está a um clique e a um confirm() nativo do navegador de distância.</w:t>
      </w:r>
    </w:p>
    <w:p>
      <w:pPr>
        <w:spacing w:after="160" w:line="300"/>
      </w:pPr>
      <w:r>
        <w:rPr>
          <w:color w:val="1F2430"/>
          <w:sz w:val="21"/>
          <w:szCs w:val="21"/>
        </w:rPr>
        <w:t xml:space="preserve">Para um sistema que existe justamente para dar governança e rastreabilidade a contratos, isso é um risco de perda de histórico: apagar um contrato por engano apaga também todas as faturas emitidas, marcos e riscos registrados contra ele, sem possibilidade de recuperação. Um campo archived_at (soft delete) resolveria isso sem mudar o restante da lógica.</w:t>
      </w:r>
    </w:p>
    <w:p>
      <w:pPr>
        <w:spacing w:after="160"/>
      </w:pPr>
    </w:p>
    <w:tbl>
      <w:tblPr>
        <w:tblW w:type="dxa" w:w="9350"/>
        <w:tblBorders>
          <w:top w:val="single" w:color="B45309" w:sz="4"/>
          <w:left w:val="single" w:color="B45309" w:sz="16"/>
          <w:bottom w:val="single" w:color="B45309" w:sz="4"/>
          <w:right w:val="single" w:color="B45309" w:sz="4"/>
          <w:insideH w:val="single" w:color="auto" w:sz="4"/>
          <w:insideV w:val="single" w:color="auto" w:sz="4"/>
        </w:tblBorders>
      </w:tblPr>
      <w:tblGrid>
        <w:gridCol w:w="9350"/>
      </w:tblGrid>
      <w:tr>
        <w:tc>
          <w:tcPr>
            <w:tcW w:type="dxa" w:w="9350"/>
            <w:shd w:fill="FEF3E2" w:val="clear"/>
            <w:tcMar>
              <w:top w:type="dxa" w:w="90"/>
              <w:left w:type="dxa" w:w="220"/>
              <w:bottom w:type="dxa" w:w="90"/>
              <w:right w:type="dxa" w:w="220"/>
            </w:tcMar>
          </w:tcPr>
          <w:p>
            <w:r>
              <w:rPr>
                <w:b/>
                <w:bCs/>
                <w:color w:val="B45309"/>
                <w:sz w:val="19"/>
                <w:szCs w:val="19"/>
              </w:rPr>
              <w:t xml:space="preserve">Validação Zod não é aplicada nas atualizações</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src/app/actions.ts → updateContract / updateMonthlyReport</w:t>
      </w:r>
    </w:p>
    <w:p>
      <w:pPr>
        <w:spacing w:after="160" w:line="300"/>
      </w:pPr>
      <w:r>
        <w:rPr>
          <w:color w:val="1F2430"/>
          <w:sz w:val="21"/>
          <w:szCs w:val="21"/>
        </w:rPr>
        <w:t xml:space="preserve">createContract valida com ContractSchema.parse(data) antes de gravar. updateContract, porém, recebe data: any e grava praticamente sem checagem — e updateMonthlyReport faz data as any, um cast que desliga a verificação de tipos do próprio TypeScript.</w:t>
      </w:r>
    </w:p>
    <w:p>
      <w:pPr>
        <w:shd w:fill="EFF1F5" w:val="clear"/>
        <w:spacing w:after="140" w:before="40"/>
        <w:ind w:left="200" w:right="200"/>
      </w:pPr>
      <w:r>
        <w:rPr>
          <w:rFonts w:ascii="Consolas" w:cs="Consolas" w:eastAsia="Consolas" w:hAnsi="Consolas"/>
          <w:color w:val="3B4252"/>
          <w:sz w:val="18"/>
          <w:szCs w:val="18"/>
        </w:rPr>
        <w:t xml:space="preserve">export async function updateContract(id: string, data: any) {
  const updateData: any = { ...data };
  // ...sem validação de enum, sem checagem de campos inesperados
  const contract = await prisma.contract.update({ where: { id }, data: updateData, ... });</w:t>
      </w:r>
    </w:p>
    <w:p>
      <w:pPr>
        <w:spacing w:after="160" w:line="300"/>
      </w:pPr>
      <w:r>
        <w:rPr>
          <w:color w:val="1F2430"/>
          <w:sz w:val="21"/>
          <w:szCs w:val="21"/>
        </w:rPr>
        <w:t xml:space="preserve">Isso cria dois padrões de confiança diferentes dentro do mesmo recurso: um registro criado é garantidamente válido, mas o mesmo registro pode ser corrompido depois, por uma edição, sem que o Zod jamais seja consultado. A correção é reaproveitar ContractSchema.partial() (e o equivalente para MonthlyReportSchema) também nas funções de update.</w:t>
      </w:r>
    </w:p>
    <w:p>
      <w:pPr>
        <w:spacing w:after="160"/>
      </w:pPr>
    </w:p>
    <w:tbl>
      <w:tblPr>
        <w:tblW w:type="dxa" w:w="9350"/>
        <w:tblBorders>
          <w:top w:val="single" w:color="B45309" w:sz="4"/>
          <w:left w:val="single" w:color="B45309" w:sz="16"/>
          <w:bottom w:val="single" w:color="B45309" w:sz="4"/>
          <w:right w:val="single" w:color="B45309" w:sz="4"/>
          <w:insideH w:val="single" w:color="auto" w:sz="4"/>
          <w:insideV w:val="single" w:color="auto" w:sz="4"/>
        </w:tblBorders>
      </w:tblPr>
      <w:tblGrid>
        <w:gridCol w:w="9350"/>
      </w:tblGrid>
      <w:tr>
        <w:tc>
          <w:tcPr>
            <w:tcW w:type="dxa" w:w="9350"/>
            <w:shd w:fill="FEF3E2" w:val="clear"/>
            <w:tcMar>
              <w:top w:type="dxa" w:w="90"/>
              <w:left w:type="dxa" w:w="220"/>
              <w:bottom w:type="dxa" w:w="90"/>
              <w:right w:type="dxa" w:w="220"/>
            </w:tcMar>
          </w:tcPr>
          <w:p>
            <w:r>
              <w:rPr>
                <w:b/>
                <w:bCs/>
                <w:color w:val="B45309"/>
                <w:sz w:val="19"/>
                <w:szCs w:val="19"/>
              </w:rPr>
              <w:t xml:space="preserve">Aditivo de contrato gerado automaticamente sem validação</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src/app/actions.ts → updateChangeRequestStatus</w:t>
      </w:r>
    </w:p>
    <w:p>
      <w:pPr>
        <w:spacing w:after="160" w:line="300"/>
      </w:pPr>
      <w:r>
        <w:rPr>
          <w:color w:val="1F2430"/>
          <w:sz w:val="21"/>
          <w:szCs w:val="21"/>
        </w:rPr>
        <w:t xml:space="preserve">Quando um Change Request é aprovado, a função cria um novo Contract do tipo AMENDMENT usando currentCr.financial_impact como total_value diretamente — mas ChangeRequestSchema define financial_impact: z.number() sem .nonnegative(), diferente de ContractSchema.total_value, que exige valor não-negativo. Ou seja, um pedido de mudança com impacto financeiro negativo (uma redução de escopo, por exemplo) gera um contrato de aditivo com valor negativo, algo que jamais passaria pela validação usada em qualquer outro fluxo de criação de contrato.</w:t>
      </w:r>
    </w:p>
    <w:p>
      <w:pPr>
        <w:spacing w:after="160" w:line="300"/>
      </w:pPr>
      <w:r>
        <w:rPr>
          <w:color w:val="1F2430"/>
          <w:sz w:val="21"/>
          <w:szCs w:val="21"/>
        </w:rPr>
        <w:t xml:space="preserve">Da mesma forma, start_date do aditivo é sempre "hoje" e end_date copia o fim do contrato original — se a aprovação acontecer depois que o contrato original já venceu, o aditivo nasce com a data de início depois da data de fim, uma combinação inválida que nenhum schema intercepta porque esse contrato é criado diretamente via Prisma, pulando o ContractSchema.</w:t>
      </w:r>
    </w:p>
    <w:p>
      <w:pPr>
        <w:spacing w:after="160"/>
      </w:pPr>
    </w:p>
    <w:p>
      <w:r>
        <w:br w:type="page"/>
      </w:r>
    </w:p>
    <w:p>
      <w:pPr>
        <w:pStyle w:val="Heading1"/>
        <w:pBdr>
          <w:bottom w:val="single" w:color="2563EB" w:sz="6" w:space="6"/>
        </w:pBdr>
        <w:spacing w:after="200" w:before="420"/>
      </w:pPr>
      <w:r>
        <w:rPr>
          <w:b/>
          <w:bCs/>
          <w:color w:val="1E3A8A"/>
          <w:sz w:val="30"/>
          <w:szCs w:val="30"/>
        </w:rPr>
        <w:t xml:space="preserve">Achados de Média Prioridade</w:t>
      </w:r>
    </w:p>
    <w:p>
      <w:pPr>
        <w:pStyle w:val="Heading2"/>
        <w:spacing w:after="140" w:before="300"/>
      </w:pPr>
      <w:r>
        <w:rPr>
          <w:b/>
          <w:bCs/>
          <w:color w:val="2563EB"/>
          <w:sz w:val="24"/>
          <w:szCs w:val="24"/>
        </w:rPr>
        <w:t xml:space="preserve">Infraestrutura, build e manutenção</w:t>
      </w:r>
    </w:p>
    <w:tbl>
      <w:tblPr>
        <w:tblW w:type="dxa" w:w="9350"/>
        <w:tblBorders>
          <w:top w:val="single" w:color="B45309" w:sz="4"/>
          <w:left w:val="single" w:color="B45309" w:sz="16"/>
          <w:bottom w:val="single" w:color="B45309" w:sz="4"/>
          <w:right w:val="single" w:color="B45309" w:sz="4"/>
          <w:insideH w:val="single" w:color="auto" w:sz="4"/>
          <w:insideV w:val="single" w:color="auto" w:sz="4"/>
        </w:tblBorders>
      </w:tblPr>
      <w:tblGrid>
        <w:gridCol w:w="9350"/>
      </w:tblGrid>
      <w:tr>
        <w:tc>
          <w:tcPr>
            <w:tcW w:type="dxa" w:w="9350"/>
            <w:shd w:fill="FEF3E2" w:val="clear"/>
            <w:tcMar>
              <w:top w:type="dxa" w:w="90"/>
              <w:left w:type="dxa" w:w="220"/>
              <w:bottom w:type="dxa" w:w="90"/>
              <w:right w:type="dxa" w:w="220"/>
            </w:tcMar>
          </w:tcPr>
          <w:p>
            <w:r>
              <w:rPr>
                <w:b/>
                <w:bCs/>
                <w:color w:val="B45309"/>
                <w:sz w:val="19"/>
                <w:szCs w:val="19"/>
              </w:rPr>
              <w:t xml:space="preserve">docker-compose.yml sobe um banco que a aplicação nunca usa</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docker-compose.yml + prisma/schema.prisma + src/lib/db.ts</w:t>
      </w:r>
    </w:p>
    <w:p>
      <w:pPr>
        <w:spacing w:after="160" w:line="300"/>
      </w:pPr>
      <w:r>
        <w:rPr>
          <w:color w:val="1F2430"/>
          <w:sz w:val="21"/>
          <w:szCs w:val="21"/>
        </w:rPr>
        <w:t xml:space="preserve">O compose sobe um container Postgres (com a senha do superusuário em texto plano, "postgrespassword"). Mas prisma/schema.prisma declara datasource db { provider = "sqlite" }, e src/lib/db.ts abre a conexão com um caminho de arquivo SQLite fixo (path.resolve(process.cwd(), 'dev.db')), sem nunca ler DATABASE_URL nem qualquer variável relacionada ao Postgres. Rodar docker-compose up sobe um banco Postgres vazio e completamente desconectado do app — provavelmente um resquício de um plano de migração que não foi concluído.</w:t>
      </w:r>
    </w:p>
    <w:p>
      <w:pPr>
        <w:spacing w:after="160"/>
      </w:pPr>
    </w:p>
    <w:tbl>
      <w:tblPr>
        <w:tblW w:type="dxa" w:w="9350"/>
        <w:tblBorders>
          <w:top w:val="single" w:color="B45309" w:sz="4"/>
          <w:left w:val="single" w:color="B45309" w:sz="16"/>
          <w:bottom w:val="single" w:color="B45309" w:sz="4"/>
          <w:right w:val="single" w:color="B45309" w:sz="4"/>
          <w:insideH w:val="single" w:color="auto" w:sz="4"/>
          <w:insideV w:val="single" w:color="auto" w:sz="4"/>
        </w:tblBorders>
      </w:tblPr>
      <w:tblGrid>
        <w:gridCol w:w="9350"/>
      </w:tblGrid>
      <w:tr>
        <w:tc>
          <w:tcPr>
            <w:tcW w:type="dxa" w:w="9350"/>
            <w:shd w:fill="FEF3E2" w:val="clear"/>
            <w:tcMar>
              <w:top w:type="dxa" w:w="90"/>
              <w:left w:type="dxa" w:w="220"/>
              <w:bottom w:type="dxa" w:w="90"/>
              <w:right w:type="dxa" w:w="220"/>
            </w:tcMar>
          </w:tcPr>
          <w:p>
            <w:r>
              <w:rPr>
                <w:b/>
                <w:bCs/>
                <w:color w:val="B45309"/>
                <w:sz w:val="19"/>
                <w:szCs w:val="19"/>
              </w:rPr>
              <w:t xml:space="preserve">Dockerfile mascara falhas do Prisma</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Dockerfile</w:t>
      </w:r>
    </w:p>
    <w:p>
      <w:pPr>
        <w:shd w:fill="EFF1F5" w:val="clear"/>
        <w:spacing w:after="140" w:before="40"/>
        <w:ind w:left="200" w:right="200"/>
      </w:pPr>
      <w:r>
        <w:rPr>
          <w:rFonts w:ascii="Consolas" w:cs="Consolas" w:eastAsia="Consolas" w:hAnsi="Consolas"/>
          <w:color w:val="3B4252"/>
          <w:sz w:val="18"/>
          <w:szCs w:val="18"/>
        </w:rPr>
        <w:t xml:space="preserve">RUN npx prisma generate || true</w:t>
      </w:r>
    </w:p>
    <w:p>
      <w:pPr>
        <w:spacing w:after="160" w:line="300"/>
      </w:pPr>
      <w:r>
        <w:rPr>
          <w:color w:val="1F2430"/>
          <w:sz w:val="21"/>
          <w:szCs w:val="21"/>
        </w:rPr>
        <w:t xml:space="preserve">O || true faz a build continuar mesmo se prisma generate falhar — por exemplo, por um erro de sintaxe no schema ou uma dependência ausente. O resultado mais provável é uma falha mais confusa alguns passos depois, em npm run build, ou pior, uma imagem publicada com um Prisma Client desatualizado. Vale deixar o comando falhar de verdade quando algo está errado.</w:t>
      </w:r>
    </w:p>
    <w:p>
      <w:pPr>
        <w:spacing w:after="160"/>
      </w:pPr>
    </w:p>
    <w:tbl>
      <w:tblPr>
        <w:tblW w:type="dxa" w:w="9350"/>
        <w:tblBorders>
          <w:top w:val="single" w:color="B45309" w:sz="4"/>
          <w:left w:val="single" w:color="B45309" w:sz="16"/>
          <w:bottom w:val="single" w:color="B45309" w:sz="4"/>
          <w:right w:val="single" w:color="B45309" w:sz="4"/>
          <w:insideH w:val="single" w:color="auto" w:sz="4"/>
          <w:insideV w:val="single" w:color="auto" w:sz="4"/>
        </w:tblBorders>
      </w:tblPr>
      <w:tblGrid>
        <w:gridCol w:w="9350"/>
      </w:tblGrid>
      <w:tr>
        <w:tc>
          <w:tcPr>
            <w:tcW w:type="dxa" w:w="9350"/>
            <w:shd w:fill="FEF3E2" w:val="clear"/>
            <w:tcMar>
              <w:top w:type="dxa" w:w="90"/>
              <w:left w:type="dxa" w:w="220"/>
              <w:bottom w:type="dxa" w:w="90"/>
              <w:right w:type="dxa" w:w="220"/>
            </w:tcMar>
          </w:tcPr>
          <w:p>
            <w:r>
              <w:rPr>
                <w:b/>
                <w:bCs/>
                <w:color w:val="B45309"/>
                <w:sz w:val="19"/>
                <w:szCs w:val="19"/>
              </w:rPr>
              <w:t xml:space="preserve">Parser de planilha acoplado a um layout fixo, sem validação de estrutura</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src/app/finance/importers.ts → normalizeFinancialPlan</w:t>
      </w:r>
    </w:p>
    <w:p>
      <w:pPr>
        <w:spacing w:after="160" w:line="300"/>
      </w:pPr>
      <w:r>
        <w:rPr>
          <w:color w:val="1F2430"/>
          <w:sz w:val="21"/>
          <w:szCs w:val="21"/>
        </w:rPr>
        <w:t xml:space="preserve">As faixas de linha e coluna de cada categoria (ex.: Despesas Fixas nas linhas 28–59) e os nomes de aba são hardcoded, assumindo um template de planilha específico. Se alguém reorganizar uma aba ou renomear uma seção na origem (Excel), a função simplesmente não encontra nada de errado para reportar — ela apenas para de gerar linhas para aquele bloco, silenciosamente. Um usuário pode importar uma planilha "quase certa" e nunca saber que uma categoria inteira ficou de fora.</w:t>
      </w:r>
    </w:p>
    <w:p>
      <w:pPr>
        <w:spacing w:after="160"/>
      </w:pPr>
    </w:p>
    <w:tbl>
      <w:tblPr>
        <w:tblW w:type="dxa" w:w="9350"/>
        <w:tblBorders>
          <w:top w:val="single" w:color="B45309" w:sz="4"/>
          <w:left w:val="single" w:color="B45309" w:sz="16"/>
          <w:bottom w:val="single" w:color="B45309" w:sz="4"/>
          <w:right w:val="single" w:color="B45309" w:sz="4"/>
          <w:insideH w:val="single" w:color="auto" w:sz="4"/>
          <w:insideV w:val="single" w:color="auto" w:sz="4"/>
        </w:tblBorders>
      </w:tblPr>
      <w:tblGrid>
        <w:gridCol w:w="9350"/>
      </w:tblGrid>
      <w:tr>
        <w:tc>
          <w:tcPr>
            <w:tcW w:type="dxa" w:w="9350"/>
            <w:shd w:fill="FEF3E2" w:val="clear"/>
            <w:tcMar>
              <w:top w:type="dxa" w:w="90"/>
              <w:left w:type="dxa" w:w="220"/>
              <w:bottom w:type="dxa" w:w="90"/>
              <w:right w:type="dxa" w:w="220"/>
            </w:tcMar>
          </w:tcPr>
          <w:p>
            <w:r>
              <w:rPr>
                <w:b/>
                <w:bCs/>
                <w:color w:val="B45309"/>
                <w:sz w:val="19"/>
                <w:szCs w:val="19"/>
              </w:rPr>
              <w:t xml:space="preserve">Deduplicação de importação depende do nome e data do arquivo</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src/app/finance/importers.ts + FinanceClient.tsx (source_key)</w:t>
      </w:r>
    </w:p>
    <w:p>
      <w:pPr>
        <w:spacing w:after="160" w:line="300"/>
      </w:pPr>
      <w:r>
        <w:rPr>
          <w:color w:val="1F2430"/>
          <w:sz w:val="21"/>
          <w:szCs w:val="21"/>
        </w:rPr>
        <w:t xml:space="preserve">Para o formato "Plano Financeiro", cada linha só recebe um source_ref sintético baseado em source_key = `${companyId}:2026:${nomeArquivo}:${lastModified}`. Se o usuário reabrir a mesma planilha, editar uma célula não relacionada e salvar novamente, lastModified muda, source_key muda, e a checagem "esta versão já foi importada" (que compara por company_id_source_key) não identifica a repetição — o sistema reimporta as mesmas transações como se fossem novas. Só o formato Sankhya tem uma identidade de linha estável (stableHash sobre parceiro+valor+data).</w:t>
      </w:r>
    </w:p>
    <w:p>
      <w:pPr>
        <w:spacing w:after="160"/>
      </w:pPr>
    </w:p>
    <w:tbl>
      <w:tblPr>
        <w:tblW w:type="dxa" w:w="9350"/>
        <w:tblBorders>
          <w:top w:val="single" w:color="B45309" w:sz="4"/>
          <w:left w:val="single" w:color="B45309" w:sz="16"/>
          <w:bottom w:val="single" w:color="B45309" w:sz="4"/>
          <w:right w:val="single" w:color="B45309" w:sz="4"/>
          <w:insideH w:val="single" w:color="auto" w:sz="4"/>
          <w:insideV w:val="single" w:color="auto" w:sz="4"/>
        </w:tblBorders>
      </w:tblPr>
      <w:tblGrid>
        <w:gridCol w:w="9350"/>
      </w:tblGrid>
      <w:tr>
        <w:tc>
          <w:tcPr>
            <w:tcW w:type="dxa" w:w="9350"/>
            <w:shd w:fill="FEF3E2" w:val="clear"/>
            <w:tcMar>
              <w:top w:type="dxa" w:w="90"/>
              <w:left w:type="dxa" w:w="220"/>
              <w:bottom w:type="dxa" w:w="90"/>
              <w:right w:type="dxa" w:w="220"/>
            </w:tcMar>
          </w:tcPr>
          <w:p>
            <w:r>
              <w:rPr>
                <w:b/>
                <w:bCs/>
                <w:color w:val="B45309"/>
                <w:sz w:val="19"/>
                <w:szCs w:val="19"/>
              </w:rPr>
              <w:t xml:space="preserve">Múltiplas buscas sobrepostas sem cache</w:t>
            </w:r>
          </w:p>
        </w:tc>
      </w:tr>
    </w:tbl>
    <w:p>
      <w:pPr>
        <w:spacing w:after="60"/>
      </w:pPr>
    </w:p>
    <w:p>
      <w:pPr>
        <w:spacing w:after="90"/>
      </w:pPr>
      <w:r>
        <w:rPr>
          <w:b/>
          <w:bCs/>
          <w:color w:val="5B6472"/>
          <w:sz w:val="18"/>
          <w:szCs w:val="18"/>
        </w:rPr>
        <w:t xml:space="preserve">Local: </w:t>
      </w:r>
      <w:r>
        <w:rPr>
          <w:rFonts w:ascii="Consolas" w:cs="Consolas" w:eastAsia="Consolas" w:hAnsi="Consolas"/>
          <w:i/>
          <w:iCs/>
          <w:color w:val="5B6472"/>
          <w:sz w:val="18"/>
          <w:szCs w:val="18"/>
        </w:rPr>
        <w:t xml:space="preserve">src/app/actions.ts → getDashboardData / getChangeRequests / getInvoices</w:t>
      </w:r>
    </w:p>
    <w:p>
      <w:pPr>
        <w:spacing w:after="160" w:line="300"/>
      </w:pPr>
      <w:r>
        <w:rPr>
          <w:color w:val="1F2430"/>
          <w:sz w:val="21"/>
          <w:szCs w:val="21"/>
        </w:rPr>
        <w:t xml:space="preserve">getDashboardData chama, em sequência, getContracts() (que já inclui milestones, risks, change_requests e invoices de cada contrato), getChangeRequests() (que busca contract de novo) e getInvoices() (que busca contract e milestone de novo). O mesmo contrato acaba sendo buscado e serializado várias vezes na mesma requisição. Não é um bug funcional, mas é trabalho de banco redundante que cresce junto com a base de dados.</w:t>
      </w:r>
    </w:p>
    <w:p>
      <w:pPr>
        <w:spacing w:after="160"/>
      </w:pPr>
    </w:p>
    <w:p>
      <w:pPr>
        <w:pStyle w:val="Heading1"/>
        <w:pBdr>
          <w:bottom w:val="single" w:color="2563EB" w:sz="6" w:space="6"/>
        </w:pBdr>
        <w:spacing w:after="200" w:before="420"/>
      </w:pPr>
      <w:r>
        <w:rPr>
          <w:b/>
          <w:bCs/>
          <w:color w:val="1E3A8A"/>
          <w:sz w:val="30"/>
          <w:szCs w:val="30"/>
        </w:rPr>
        <w:t xml:space="preserve">Achados de Baixa Prioridade</w:t>
      </w:r>
    </w:p>
    <w:p>
      <w:pPr>
        <w:pStyle w:val="ListParagraph"/>
        <w:numPr>
          <w:ilvl w:val="0"/>
          <w:numId w:val="2"/>
        </w:numPr>
        <w:spacing w:after="110" w:line="290"/>
      </w:pPr>
      <w:r>
        <w:rPr>
          <w:b/>
          <w:bCs/>
          <w:color w:val="1F2430"/>
          <w:sz w:val="20"/>
          <w:szCs w:val="20"/>
        </w:rPr>
        <w:t xml:space="preserve">Tipagem solta (any) — </w:t>
      </w:r>
      <w:r>
        <w:rPr>
          <w:color w:val="1F2430"/>
          <w:sz w:val="20"/>
          <w:szCs w:val="20"/>
        </w:rPr>
        <w:t xml:space="preserve">updateContract, updateMonthlyReport e boa parte dos componentes de tela (useState&lt;any[]&gt;) abrem mão da checagem de tipos que o próprio Prisma e Zod já geram automaticamente, reduzindo o valor do TypeScript no projeto.</w:t>
      </w:r>
    </w:p>
    <w:p>
      <w:pPr>
        <w:pStyle w:val="ListParagraph"/>
        <w:numPr>
          <w:ilvl w:val="0"/>
          <w:numId w:val="2"/>
        </w:numPr>
        <w:spacing w:after="110" w:line="290"/>
      </w:pPr>
      <w:r>
        <w:rPr>
          <w:b/>
          <w:bCs/>
          <w:color w:val="1F2430"/>
          <w:sz w:val="20"/>
          <w:szCs w:val="20"/>
        </w:rPr>
        <w:t xml:space="preserve">Serialização manual duplicada — </w:t>
      </w:r>
      <w:r>
        <w:rPr>
          <w:color w:val="1F2430"/>
          <w:sz w:val="20"/>
          <w:szCs w:val="20"/>
        </w:rPr>
        <w:t xml:space="preserve">cada entidade (Contract, Invoice, Milestone...) tem sua própria função serializeX que converte Decimal e Date manualmente; um helper genérico reduziria o risco de esquecer de serializar um campo novo (como já ocorre com BankAccount.opening_balance, que não é tratado em nenhum serializer hoje).</w:t>
      </w:r>
    </w:p>
    <w:p>
      <w:pPr>
        <w:pStyle w:val="ListParagraph"/>
        <w:numPr>
          <w:ilvl w:val="0"/>
          <w:numId w:val="2"/>
        </w:numPr>
        <w:spacing w:after="110" w:line="290"/>
      </w:pPr>
      <w:r>
        <w:rPr>
          <w:b/>
          <w:bCs/>
          <w:color w:val="1F2430"/>
          <w:sz w:val="20"/>
          <w:szCs w:val="20"/>
        </w:rPr>
        <w:t xml:space="preserve">Código morto — </w:t>
      </w:r>
      <w:r>
        <w:rPr>
          <w:color w:val="1F2430"/>
          <w:sz w:val="20"/>
          <w:szCs w:val="20"/>
        </w:rPr>
        <w:t xml:space="preserve">src/app/lib/mockData.ts define tipos e arrays vazios que não são importados em nenhum lugar do projeto — pode ser removido com segurança.</w:t>
      </w:r>
    </w:p>
    <w:p>
      <w:pPr>
        <w:pStyle w:val="ListParagraph"/>
        <w:numPr>
          <w:ilvl w:val="0"/>
          <w:numId w:val="2"/>
        </w:numPr>
        <w:spacing w:after="110" w:line="290"/>
      </w:pPr>
      <w:r>
        <w:rPr>
          <w:b/>
          <w:bCs/>
          <w:color w:val="1F2430"/>
          <w:sz w:val="20"/>
          <w:szCs w:val="20"/>
        </w:rPr>
        <w:t xml:space="preserve">Gerador de senha sem entropia criptográfica — </w:t>
      </w:r>
      <w:r>
        <w:rPr>
          <w:color w:val="1F2430"/>
          <w:sz w:val="20"/>
          <w:szCs w:val="20"/>
        </w:rPr>
        <w:t xml:space="preserve">PasswordInputWithGenerator usa Math.random() para gerar as senhas do cofre; crypto.getRandomValues (disponível no navegador) é a escolha correta para qualquer coisa usada como segredo.</w:t>
      </w:r>
    </w:p>
    <w:p>
      <w:r>
        <w:br w:type="page"/>
      </w:r>
    </w:p>
    <w:p>
      <w:pPr>
        <w:pStyle w:val="Heading1"/>
        <w:pBdr>
          <w:bottom w:val="single" w:color="2563EB" w:sz="6" w:space="6"/>
        </w:pBdr>
        <w:spacing w:after="200" w:before="420"/>
      </w:pPr>
      <w:r>
        <w:rPr>
          <w:b/>
          <w:bCs/>
          <w:color w:val="1E3A8A"/>
          <w:sz w:val="30"/>
          <w:szCs w:val="30"/>
        </w:rPr>
        <w:t xml:space="preserve">Plano de Ação Priorizado</w:t>
      </w:r>
    </w:p>
    <w:p>
      <w:pPr>
        <w:spacing w:after="160" w:line="300"/>
      </w:pPr>
      <w:r>
        <w:rPr>
          <w:color w:val="1F2430"/>
          <w:sz w:val="21"/>
          <w:szCs w:val="21"/>
        </w:rPr>
        <w:t xml:space="preserve">Organizado por prioridade, esforço estimado e o risco concreto de deixar cada item como está.</w:t>
      </w:r>
    </w:p>
    <w:p>
      <w:pPr>
        <w:spacing w:after="80"/>
      </w:pPr>
    </w:p>
    <w:tbl>
      <w:tblPr>
        <w:tblW w:type="dxa" w:w="9350"/>
        <w:tblBorders>
          <w:top w:val="single" w:color="D8DEE8" w:sz="4"/>
          <w:left w:val="single" w:color="D8DEE8" w:sz="4"/>
          <w:bottom w:val="single" w:color="D8DEE8" w:sz="4"/>
          <w:right w:val="single" w:color="D8DEE8" w:sz="4"/>
          <w:insideH w:val="single" w:color="D8DEE8" w:sz="4"/>
          <w:insideV w:val="single" w:color="D8DEE8" w:sz="4"/>
        </w:tblBorders>
      </w:tblPr>
      <w:tblGrid>
        <w:gridCol w:w="1350"/>
        <w:gridCol w:w="5200"/>
        <w:gridCol w:w="1300"/>
        <w:gridCol w:w="1500"/>
      </w:tblGrid>
      <w:tr>
        <w:trPr>
          <w:cantSplit/>
          <w:tblHeader/>
        </w:trPr>
        <w:tc>
          <w:tcPr>
            <w:tcW w:type="dxa" w:w="1350"/>
            <w:shd w:fill="1F2A44" w:val="clear"/>
            <w:tcMar>
              <w:top w:type="dxa" w:w="100"/>
              <w:left w:type="dxa" w:w="120"/>
              <w:bottom w:type="dxa" w:w="100"/>
              <w:right w:type="dxa" w:w="120"/>
            </w:tcMar>
            <w:vAlign w:val="center"/>
          </w:tcPr>
          <w:p>
            <w:r>
              <w:rPr>
                <w:b/>
                <w:bCs/>
                <w:color w:val="FFFFFF"/>
                <w:sz w:val="18"/>
                <w:szCs w:val="18"/>
              </w:rPr>
              <w:t xml:space="preserve">Prioridade</w:t>
            </w:r>
          </w:p>
        </w:tc>
        <w:tc>
          <w:tcPr>
            <w:tcW w:type="dxa" w:w="5200"/>
            <w:shd w:fill="1F2A44" w:val="clear"/>
            <w:tcMar>
              <w:top w:type="dxa" w:w="100"/>
              <w:left w:type="dxa" w:w="120"/>
              <w:bottom w:type="dxa" w:w="100"/>
              <w:right w:type="dxa" w:w="120"/>
            </w:tcMar>
            <w:vAlign w:val="center"/>
          </w:tcPr>
          <w:p>
            <w:r>
              <w:rPr>
                <w:b/>
                <w:bCs/>
                <w:color w:val="FFFFFF"/>
                <w:sz w:val="18"/>
                <w:szCs w:val="18"/>
              </w:rPr>
              <w:t xml:space="preserve">Ação recomendada</w:t>
            </w:r>
          </w:p>
        </w:tc>
        <w:tc>
          <w:tcPr>
            <w:tcW w:type="dxa" w:w="1300"/>
            <w:shd w:fill="1F2A44" w:val="clear"/>
            <w:tcMar>
              <w:top w:type="dxa" w:w="100"/>
              <w:left w:type="dxa" w:w="120"/>
              <w:bottom w:type="dxa" w:w="100"/>
              <w:right w:type="dxa" w:w="120"/>
            </w:tcMar>
            <w:vAlign w:val="center"/>
          </w:tcPr>
          <w:p>
            <w:r>
              <w:rPr>
                <w:b/>
                <w:bCs/>
                <w:color w:val="FFFFFF"/>
                <w:sz w:val="18"/>
                <w:szCs w:val="18"/>
              </w:rPr>
              <w:t xml:space="preserve">Esforço</w:t>
            </w:r>
          </w:p>
        </w:tc>
        <w:tc>
          <w:tcPr>
            <w:tcW w:type="dxa" w:w="1500"/>
            <w:shd w:fill="1F2A44" w:val="clear"/>
            <w:tcMar>
              <w:top w:type="dxa" w:w="100"/>
              <w:left w:type="dxa" w:w="120"/>
              <w:bottom w:type="dxa" w:w="100"/>
              <w:right w:type="dxa" w:w="120"/>
            </w:tcMar>
            <w:vAlign w:val="center"/>
          </w:tcPr>
          <w:p>
            <w:r>
              <w:rPr>
                <w:b/>
                <w:bCs/>
                <w:color w:val="FFFFFF"/>
                <w:sz w:val="18"/>
                <w:szCs w:val="18"/>
              </w:rPr>
              <w:t xml:space="preserve">Risco se ignorado</w:t>
            </w:r>
          </w:p>
        </w:tc>
      </w:tr>
      <w:tr>
        <w:trPr>
          <w:cantSplit/>
        </w:trPr>
        <w:tc>
          <w:tcPr>
            <w:tcW w:type="dxa" w:w="1350"/>
            <w:shd w:fill="FCEAEE" w:val="clear"/>
            <w:tcMar>
              <w:top w:type="dxa" w:w="90"/>
              <w:left w:type="dxa" w:w="120"/>
              <w:bottom w:type="dxa" w:w="90"/>
              <w:right w:type="dxa" w:w="100"/>
            </w:tcMar>
            <w:vAlign w:val="center"/>
          </w:tcPr>
          <w:p>
            <w:r>
              <w:rPr>
                <w:b/>
                <w:bCs/>
                <w:color w:val="B0243A"/>
                <w:sz w:val="18"/>
                <w:szCs w:val="18"/>
              </w:rPr>
              <w:t xml:space="preserve">Crítico</w:t>
            </w:r>
          </w:p>
        </w:tc>
        <w:tc>
          <w:tcPr>
            <w:tcW w:type="dxa" w:w="5200"/>
            <w:tcMar>
              <w:top w:type="dxa" w:w="90"/>
              <w:left w:type="dxa" w:w="120"/>
              <w:bottom w:type="dxa" w:w="90"/>
              <w:right w:type="dxa" w:w="120"/>
            </w:tcMar>
            <w:vAlign w:val="center"/>
          </w:tcPr>
          <w:p>
            <w:pPr>
              <w:spacing w:line="260"/>
            </w:pPr>
            <w:r>
              <w:rPr>
                <w:color w:val="1F2430"/>
                <w:sz w:val="18"/>
                <w:szCs w:val="18"/>
              </w:rPr>
              <w:t xml:space="preserve">Implementar autenticação e autorização por empresa antes de expor o sistema fora da sua máquina — hoje qualquer pessoa com acesso à URL lê e apaga tudo, sem login.</w:t>
            </w:r>
          </w:p>
        </w:tc>
        <w:tc>
          <w:tcPr>
            <w:tcW w:type="dxa" w:w="1300"/>
            <w:tcMar>
              <w:top w:type="dxa" w:w="90"/>
              <w:left w:type="dxa" w:w="120"/>
              <w:bottom w:type="dxa" w:w="90"/>
              <w:right w:type="dxa" w:w="120"/>
            </w:tcMar>
            <w:vAlign w:val="center"/>
          </w:tcPr>
          <w:p>
            <w:r>
              <w:rPr>
                <w:color w:val="5B6472"/>
                <w:sz w:val="18"/>
                <w:szCs w:val="18"/>
              </w:rPr>
              <w:t xml:space="preserve">Alto</w:t>
            </w:r>
          </w:p>
        </w:tc>
        <w:tc>
          <w:tcPr>
            <w:tcW w:type="dxa" w:w="1500"/>
            <w:tcMar>
              <w:top w:type="dxa" w:w="90"/>
              <w:left w:type="dxa" w:w="120"/>
              <w:bottom w:type="dxa" w:w="90"/>
              <w:right w:type="dxa" w:w="120"/>
            </w:tcMar>
            <w:vAlign w:val="center"/>
          </w:tcPr>
          <w:p>
            <w:pPr>
              <w:spacing w:line="250"/>
            </w:pPr>
            <w:r>
              <w:rPr>
                <w:color w:val="5B6472"/>
                <w:sz w:val="18"/>
                <w:szCs w:val="18"/>
              </w:rPr>
              <w:t xml:space="preserve">Vazamento e perda total de dados de contratos, finanças e senhas.</w:t>
            </w:r>
          </w:p>
        </w:tc>
      </w:tr>
      <w:tr>
        <w:trPr>
          <w:cantSplit/>
        </w:trPr>
        <w:tc>
          <w:tcPr>
            <w:tcW w:type="dxa" w:w="1350"/>
            <w:shd w:fill="FCEAEE" w:val="clear"/>
            <w:tcMar>
              <w:top w:type="dxa" w:w="90"/>
              <w:left w:type="dxa" w:w="120"/>
              <w:bottom w:type="dxa" w:w="90"/>
              <w:right w:type="dxa" w:w="100"/>
            </w:tcMar>
            <w:vAlign w:val="center"/>
          </w:tcPr>
          <w:p>
            <w:r>
              <w:rPr>
                <w:b/>
                <w:bCs/>
                <w:color w:val="B0243A"/>
                <w:sz w:val="18"/>
                <w:szCs w:val="18"/>
              </w:rPr>
              <w:t xml:space="preserve">Crítico</w:t>
            </w:r>
          </w:p>
        </w:tc>
        <w:tc>
          <w:tcPr>
            <w:tcW w:type="dxa" w:w="5200"/>
            <w:tcMar>
              <w:top w:type="dxa" w:w="90"/>
              <w:left w:type="dxa" w:w="120"/>
              <w:bottom w:type="dxa" w:w="90"/>
              <w:right w:type="dxa" w:w="120"/>
            </w:tcMar>
            <w:vAlign w:val="center"/>
          </w:tcPr>
          <w:p>
            <w:pPr>
              <w:spacing w:line="260"/>
            </w:pPr>
            <w:r>
              <w:rPr>
                <w:color w:val="1F2430"/>
                <w:sz w:val="18"/>
                <w:szCs w:val="18"/>
              </w:rPr>
              <w:t xml:space="preserve">Parar de enviar secret_value do cofre de credenciais para o cliente antes de uma ação explícita de "revelar"; buscar sob demanda, autenticado, por credencial.</w:t>
            </w:r>
          </w:p>
        </w:tc>
        <w:tc>
          <w:tcPr>
            <w:tcW w:type="dxa" w:w="1300"/>
            <w:tcMar>
              <w:top w:type="dxa" w:w="90"/>
              <w:left w:type="dxa" w:w="120"/>
              <w:bottom w:type="dxa" w:w="90"/>
              <w:right w:type="dxa" w:w="120"/>
            </w:tcMar>
            <w:vAlign w:val="center"/>
          </w:tcPr>
          <w:p>
            <w:r>
              <w:rPr>
                <w:color w:val="5B6472"/>
                <w:sz w:val="18"/>
                <w:szCs w:val="18"/>
              </w:rPr>
              <w:t xml:space="preserve">Médio</w:t>
            </w:r>
          </w:p>
        </w:tc>
        <w:tc>
          <w:tcPr>
            <w:tcW w:type="dxa" w:w="1500"/>
            <w:tcMar>
              <w:top w:type="dxa" w:w="90"/>
              <w:left w:type="dxa" w:w="120"/>
              <w:bottom w:type="dxa" w:w="90"/>
              <w:right w:type="dxa" w:w="120"/>
            </w:tcMar>
            <w:vAlign w:val="center"/>
          </w:tcPr>
          <w:p>
            <w:pPr>
              <w:spacing w:line="250"/>
            </w:pPr>
            <w:r>
              <w:rPr>
                <w:color w:val="5B6472"/>
                <w:sz w:val="18"/>
                <w:szCs w:val="18"/>
              </w:rPr>
              <w:t xml:space="preserve">Toda senha do cofre já chega ao navegador no carregamento da página.</w:t>
            </w:r>
          </w:p>
        </w:tc>
      </w:tr>
      <w:tr>
        <w:trPr>
          <w:cantSplit/>
        </w:trPr>
        <w:tc>
          <w:tcPr>
            <w:tcW w:type="dxa" w:w="1350"/>
            <w:shd w:fill="FCEAEE" w:val="clear"/>
            <w:tcMar>
              <w:top w:type="dxa" w:w="90"/>
              <w:left w:type="dxa" w:w="120"/>
              <w:bottom w:type="dxa" w:w="90"/>
              <w:right w:type="dxa" w:w="100"/>
            </w:tcMar>
            <w:vAlign w:val="center"/>
          </w:tcPr>
          <w:p>
            <w:r>
              <w:rPr>
                <w:b/>
                <w:bCs/>
                <w:color w:val="B0243A"/>
                <w:sz w:val="18"/>
                <w:szCs w:val="18"/>
              </w:rPr>
              <w:t xml:space="preserve">Crítico</w:t>
            </w:r>
          </w:p>
        </w:tc>
        <w:tc>
          <w:tcPr>
            <w:tcW w:type="dxa" w:w="5200"/>
            <w:tcMar>
              <w:top w:type="dxa" w:w="90"/>
              <w:left w:type="dxa" w:w="120"/>
              <w:bottom w:type="dxa" w:w="90"/>
              <w:right w:type="dxa" w:w="120"/>
            </w:tcMar>
            <w:vAlign w:val="center"/>
          </w:tcPr>
          <w:p>
            <w:pPr>
              <w:spacing w:line="260"/>
            </w:pPr>
            <w:r>
              <w:rPr>
                <w:color w:val="1F2430"/>
                <w:sz w:val="18"/>
                <w:szCs w:val="18"/>
              </w:rPr>
              <w:t xml:space="preserve">Remover CNPJs e razões sociais reais de prisma/seed.ts do histórico do repositório público, ou tornar o repositório privado.</w:t>
            </w:r>
          </w:p>
        </w:tc>
        <w:tc>
          <w:tcPr>
            <w:tcW w:type="dxa" w:w="1300"/>
            <w:tcMar>
              <w:top w:type="dxa" w:w="90"/>
              <w:left w:type="dxa" w:w="120"/>
              <w:bottom w:type="dxa" w:w="90"/>
              <w:right w:type="dxa" w:w="120"/>
            </w:tcMar>
            <w:vAlign w:val="center"/>
          </w:tcPr>
          <w:p>
            <w:r>
              <w:rPr>
                <w:color w:val="5B6472"/>
                <w:sz w:val="18"/>
                <w:szCs w:val="18"/>
              </w:rPr>
              <w:t xml:space="preserve">Baixo</w:t>
            </w:r>
          </w:p>
        </w:tc>
        <w:tc>
          <w:tcPr>
            <w:tcW w:type="dxa" w:w="1500"/>
            <w:tcMar>
              <w:top w:type="dxa" w:w="90"/>
              <w:left w:type="dxa" w:w="120"/>
              <w:bottom w:type="dxa" w:w="90"/>
              <w:right w:type="dxa" w:w="120"/>
            </w:tcMar>
            <w:vAlign w:val="center"/>
          </w:tcPr>
          <w:p>
            <w:pPr>
              <w:spacing w:line="250"/>
            </w:pPr>
            <w:r>
              <w:rPr>
                <w:color w:val="5B6472"/>
                <w:sz w:val="18"/>
                <w:szCs w:val="18"/>
              </w:rPr>
              <w:t xml:space="preserve">Dados cadastrais reais de 4+ empresas já estão publicamente expostos no GitHub.</w:t>
            </w:r>
          </w:p>
        </w:tc>
      </w:tr>
      <w:tr>
        <w:trPr>
          <w:cantSplit/>
        </w:trPr>
        <w:tc>
          <w:tcPr>
            <w:tcW w:type="dxa" w:w="1350"/>
            <w:shd w:fill="FEF3E2" w:val="clear"/>
            <w:tcMar>
              <w:top w:type="dxa" w:w="90"/>
              <w:left w:type="dxa" w:w="120"/>
              <w:bottom w:type="dxa" w:w="90"/>
              <w:right w:type="dxa" w:w="100"/>
            </w:tcMar>
            <w:vAlign w:val="center"/>
          </w:tcPr>
          <w:p>
            <w:r>
              <w:rPr>
                <w:b/>
                <w:bCs/>
                <w:color w:val="B45309"/>
                <w:sz w:val="18"/>
                <w:szCs w:val="18"/>
              </w:rPr>
              <w:t xml:space="preserve">Alto</w:t>
            </w:r>
          </w:p>
        </w:tc>
        <w:tc>
          <w:tcPr>
            <w:tcW w:type="dxa" w:w="5200"/>
            <w:tcMar>
              <w:top w:type="dxa" w:w="90"/>
              <w:left w:type="dxa" w:w="120"/>
              <w:bottom w:type="dxa" w:w="90"/>
              <w:right w:type="dxa" w:w="120"/>
            </w:tcMar>
            <w:vAlign w:val="center"/>
          </w:tcPr>
          <w:p>
            <w:pPr>
              <w:spacing w:line="260"/>
            </w:pPr>
            <w:r>
              <w:rPr>
                <w:color w:val="1F2430"/>
                <w:sz w:val="18"/>
                <w:szCs w:val="18"/>
              </w:rPr>
              <w:t xml:space="preserve">Corrigir o ano fixo (2026) no parser do Plano Financeiro (importers.ts) para ler o ano do arquivo ou da seleção do usuário.</w:t>
            </w:r>
          </w:p>
        </w:tc>
        <w:tc>
          <w:tcPr>
            <w:tcW w:type="dxa" w:w="1300"/>
            <w:tcMar>
              <w:top w:type="dxa" w:w="90"/>
              <w:left w:type="dxa" w:w="120"/>
              <w:bottom w:type="dxa" w:w="90"/>
              <w:right w:type="dxa" w:w="120"/>
            </w:tcMar>
            <w:vAlign w:val="center"/>
          </w:tcPr>
          <w:p>
            <w:r>
              <w:rPr>
                <w:color w:val="5B6472"/>
                <w:sz w:val="18"/>
                <w:szCs w:val="18"/>
              </w:rPr>
              <w:t xml:space="preserve">Baixo</w:t>
            </w:r>
          </w:p>
        </w:tc>
        <w:tc>
          <w:tcPr>
            <w:tcW w:type="dxa" w:w="1500"/>
            <w:tcMar>
              <w:top w:type="dxa" w:w="90"/>
              <w:left w:type="dxa" w:w="120"/>
              <w:bottom w:type="dxa" w:w="90"/>
              <w:right w:type="dxa" w:w="120"/>
            </w:tcMar>
            <w:vAlign w:val="center"/>
          </w:tcPr>
          <w:p>
            <w:pPr>
              <w:spacing w:line="250"/>
            </w:pPr>
            <w:r>
              <w:rPr>
                <w:color w:val="5B6472"/>
                <w:sz w:val="18"/>
                <w:szCs w:val="18"/>
              </w:rPr>
              <w:t xml:space="preserve">A importação de planilhas para de funcionar sozinha a partir de janeiro de 2027.</w:t>
            </w:r>
          </w:p>
        </w:tc>
      </w:tr>
      <w:tr>
        <w:trPr>
          <w:cantSplit/>
        </w:trPr>
        <w:tc>
          <w:tcPr>
            <w:tcW w:type="dxa" w:w="1350"/>
            <w:shd w:fill="FEF3E2" w:val="clear"/>
            <w:tcMar>
              <w:top w:type="dxa" w:w="90"/>
              <w:left w:type="dxa" w:w="120"/>
              <w:bottom w:type="dxa" w:w="90"/>
              <w:right w:type="dxa" w:w="100"/>
            </w:tcMar>
            <w:vAlign w:val="center"/>
          </w:tcPr>
          <w:p>
            <w:r>
              <w:rPr>
                <w:b/>
                <w:bCs/>
                <w:color w:val="B45309"/>
                <w:sz w:val="18"/>
                <w:szCs w:val="18"/>
              </w:rPr>
              <w:t xml:space="preserve">Alto</w:t>
            </w:r>
          </w:p>
        </w:tc>
        <w:tc>
          <w:tcPr>
            <w:tcW w:type="dxa" w:w="5200"/>
            <w:tcMar>
              <w:top w:type="dxa" w:w="90"/>
              <w:left w:type="dxa" w:w="120"/>
              <w:bottom w:type="dxa" w:w="90"/>
              <w:right w:type="dxa" w:w="120"/>
            </w:tcMar>
            <w:vAlign w:val="center"/>
          </w:tcPr>
          <w:p>
            <w:pPr>
              <w:spacing w:line="260"/>
            </w:pPr>
            <w:r>
              <w:rPr>
                <w:color w:val="1F2430"/>
                <w:sz w:val="18"/>
                <w:szCs w:val="18"/>
              </w:rPr>
              <w:t xml:space="preserve">Trocar exclusão definitiva (cascade delete) de contratos por arquivamento (soft delete), preservando faturas, marcos, riscos e credenciais associados.</w:t>
            </w:r>
          </w:p>
        </w:tc>
        <w:tc>
          <w:tcPr>
            <w:tcW w:type="dxa" w:w="1300"/>
            <w:tcMar>
              <w:top w:type="dxa" w:w="90"/>
              <w:left w:type="dxa" w:w="120"/>
              <w:bottom w:type="dxa" w:w="90"/>
              <w:right w:type="dxa" w:w="120"/>
            </w:tcMar>
            <w:vAlign w:val="center"/>
          </w:tcPr>
          <w:p>
            <w:r>
              <w:rPr>
                <w:color w:val="5B6472"/>
                <w:sz w:val="18"/>
                <w:szCs w:val="18"/>
              </w:rPr>
              <w:t xml:space="preserve">Médio</w:t>
            </w:r>
          </w:p>
        </w:tc>
        <w:tc>
          <w:tcPr>
            <w:tcW w:type="dxa" w:w="1500"/>
            <w:tcMar>
              <w:top w:type="dxa" w:w="90"/>
              <w:left w:type="dxa" w:w="120"/>
              <w:bottom w:type="dxa" w:w="90"/>
              <w:right w:type="dxa" w:w="120"/>
            </w:tcMar>
            <w:vAlign w:val="center"/>
          </w:tcPr>
          <w:p>
            <w:pPr>
              <w:spacing w:line="250"/>
            </w:pPr>
            <w:r>
              <w:rPr>
                <w:color w:val="5B6472"/>
                <w:sz w:val="18"/>
                <w:szCs w:val="18"/>
              </w:rPr>
              <w:t xml:space="preserve">Um clique + um confirm() do navegador apaga o histórico inteiro de um contrato para sempre.</w:t>
            </w:r>
          </w:p>
        </w:tc>
      </w:tr>
      <w:tr>
        <w:trPr>
          <w:cantSplit/>
        </w:trPr>
        <w:tc>
          <w:tcPr>
            <w:tcW w:type="dxa" w:w="1350"/>
            <w:shd w:fill="FEF3E2" w:val="clear"/>
            <w:tcMar>
              <w:top w:type="dxa" w:w="90"/>
              <w:left w:type="dxa" w:w="120"/>
              <w:bottom w:type="dxa" w:w="90"/>
              <w:right w:type="dxa" w:w="100"/>
            </w:tcMar>
            <w:vAlign w:val="center"/>
          </w:tcPr>
          <w:p>
            <w:r>
              <w:rPr>
                <w:b/>
                <w:bCs/>
                <w:color w:val="B45309"/>
                <w:sz w:val="18"/>
                <w:szCs w:val="18"/>
              </w:rPr>
              <w:t xml:space="preserve">Alto</w:t>
            </w:r>
          </w:p>
        </w:tc>
        <w:tc>
          <w:tcPr>
            <w:tcW w:type="dxa" w:w="5200"/>
            <w:tcMar>
              <w:top w:type="dxa" w:w="90"/>
              <w:left w:type="dxa" w:w="120"/>
              <w:bottom w:type="dxa" w:w="90"/>
              <w:right w:type="dxa" w:w="120"/>
            </w:tcMar>
            <w:vAlign w:val="center"/>
          </w:tcPr>
          <w:p>
            <w:pPr>
              <w:spacing w:line="260"/>
            </w:pPr>
            <w:r>
              <w:rPr>
                <w:color w:val="1F2430"/>
                <w:sz w:val="18"/>
                <w:szCs w:val="18"/>
              </w:rPr>
              <w:t xml:space="preserve">Validar updateContract e updateMonthlyReport com os mesmos schemas Zod usados na criação, em vez de aceitar any sem checagem.</w:t>
            </w:r>
          </w:p>
        </w:tc>
        <w:tc>
          <w:tcPr>
            <w:tcW w:type="dxa" w:w="1300"/>
            <w:tcMar>
              <w:top w:type="dxa" w:w="90"/>
              <w:left w:type="dxa" w:w="120"/>
              <w:bottom w:type="dxa" w:w="90"/>
              <w:right w:type="dxa" w:w="120"/>
            </w:tcMar>
            <w:vAlign w:val="center"/>
          </w:tcPr>
          <w:p>
            <w:r>
              <w:rPr>
                <w:color w:val="5B6472"/>
                <w:sz w:val="18"/>
                <w:szCs w:val="18"/>
              </w:rPr>
              <w:t xml:space="preserve">Baixo</w:t>
            </w:r>
          </w:p>
        </w:tc>
        <w:tc>
          <w:tcPr>
            <w:tcW w:type="dxa" w:w="1500"/>
            <w:tcMar>
              <w:top w:type="dxa" w:w="90"/>
              <w:left w:type="dxa" w:w="120"/>
              <w:bottom w:type="dxa" w:w="90"/>
              <w:right w:type="dxa" w:w="120"/>
            </w:tcMar>
            <w:vAlign w:val="center"/>
          </w:tcPr>
          <w:p>
            <w:pPr>
              <w:spacing w:line="250"/>
            </w:pPr>
            <w:r>
              <w:rPr>
                <w:color w:val="5B6472"/>
                <w:sz w:val="18"/>
                <w:szCs w:val="18"/>
              </w:rPr>
              <w:t xml:space="preserve">Dados inconsistentes podem ser gravados só porque passaram pelo caminho de edição, não de criação.</w:t>
            </w:r>
          </w:p>
        </w:tc>
      </w:tr>
      <w:tr>
        <w:trPr>
          <w:cantSplit/>
        </w:trPr>
        <w:tc>
          <w:tcPr>
            <w:tcW w:type="dxa" w:w="1350"/>
            <w:shd w:fill="FEF3E2" w:val="clear"/>
            <w:tcMar>
              <w:top w:type="dxa" w:w="90"/>
              <w:left w:type="dxa" w:w="120"/>
              <w:bottom w:type="dxa" w:w="90"/>
              <w:right w:type="dxa" w:w="100"/>
            </w:tcMar>
            <w:vAlign w:val="center"/>
          </w:tcPr>
          <w:p>
            <w:r>
              <w:rPr>
                <w:b/>
                <w:bCs/>
                <w:color w:val="B45309"/>
                <w:sz w:val="18"/>
                <w:szCs w:val="18"/>
              </w:rPr>
              <w:t xml:space="preserve">Alto</w:t>
            </w:r>
          </w:p>
        </w:tc>
        <w:tc>
          <w:tcPr>
            <w:tcW w:type="dxa" w:w="5200"/>
            <w:tcMar>
              <w:top w:type="dxa" w:w="90"/>
              <w:left w:type="dxa" w:w="120"/>
              <w:bottom w:type="dxa" w:w="90"/>
              <w:right w:type="dxa" w:w="120"/>
            </w:tcMar>
            <w:vAlign w:val="center"/>
          </w:tcPr>
          <w:p>
            <w:pPr>
              <w:spacing w:line="260"/>
            </w:pPr>
            <w:r>
              <w:rPr>
                <w:color w:val="1F2430"/>
                <w:sz w:val="18"/>
                <w:szCs w:val="18"/>
              </w:rPr>
              <w:t xml:space="preserve">Adicionar validação (nonnegative, datas coerentes) antes de gerar o contrato de aditivo automático em updateChangeRequestStatus.</w:t>
            </w:r>
          </w:p>
        </w:tc>
        <w:tc>
          <w:tcPr>
            <w:tcW w:type="dxa" w:w="1300"/>
            <w:tcMar>
              <w:top w:type="dxa" w:w="90"/>
              <w:left w:type="dxa" w:w="120"/>
              <w:bottom w:type="dxa" w:w="90"/>
              <w:right w:type="dxa" w:w="120"/>
            </w:tcMar>
            <w:vAlign w:val="center"/>
          </w:tcPr>
          <w:p>
            <w:r>
              <w:rPr>
                <w:color w:val="5B6472"/>
                <w:sz w:val="18"/>
                <w:szCs w:val="18"/>
              </w:rPr>
              <w:t xml:space="preserve">Médio</w:t>
            </w:r>
          </w:p>
        </w:tc>
        <w:tc>
          <w:tcPr>
            <w:tcW w:type="dxa" w:w="1500"/>
            <w:tcMar>
              <w:top w:type="dxa" w:w="90"/>
              <w:left w:type="dxa" w:w="120"/>
              <w:bottom w:type="dxa" w:w="90"/>
              <w:right w:type="dxa" w:w="120"/>
            </w:tcMar>
            <w:vAlign w:val="center"/>
          </w:tcPr>
          <w:p>
            <w:pPr>
              <w:spacing w:line="250"/>
            </w:pPr>
            <w:r>
              <w:rPr>
                <w:color w:val="5B6472"/>
                <w:sz w:val="18"/>
                <w:szCs w:val="18"/>
              </w:rPr>
              <w:t xml:space="preserve">Aditivos com valor negativo ou datas invertidas podem ser criados sem passar por nenhuma validação.</w:t>
            </w:r>
          </w:p>
        </w:tc>
      </w:tr>
      <w:tr>
        <w:trPr>
          <w:cantSplit/>
        </w:trPr>
        <w:tc>
          <w:tcPr>
            <w:tcW w:type="dxa" w:w="1350"/>
            <w:shd w:fill="E9ECF5" w:val="clear"/>
            <w:tcMar>
              <w:top w:type="dxa" w:w="90"/>
              <w:left w:type="dxa" w:w="120"/>
              <w:bottom w:type="dxa" w:w="90"/>
              <w:right w:type="dxa" w:w="100"/>
            </w:tcMar>
            <w:vAlign w:val="center"/>
          </w:tcPr>
          <w:p>
            <w:r>
              <w:rPr>
                <w:b/>
                <w:bCs/>
                <w:color w:val="3B4A6B"/>
                <w:sz w:val="18"/>
                <w:szCs w:val="18"/>
              </w:rPr>
              <w:t xml:space="preserve">Médio</w:t>
            </w:r>
          </w:p>
        </w:tc>
        <w:tc>
          <w:tcPr>
            <w:tcW w:type="dxa" w:w="5200"/>
            <w:tcMar>
              <w:top w:type="dxa" w:w="90"/>
              <w:left w:type="dxa" w:w="120"/>
              <w:bottom w:type="dxa" w:w="90"/>
              <w:right w:type="dxa" w:w="120"/>
            </w:tcMar>
            <w:vAlign w:val="center"/>
          </w:tcPr>
          <w:p>
            <w:pPr>
              <w:spacing w:line="260"/>
            </w:pPr>
            <w:r>
              <w:rPr>
                <w:color w:val="1F2430"/>
                <w:sz w:val="18"/>
                <w:szCs w:val="18"/>
              </w:rPr>
              <w:t xml:space="preserve">Remover o serviço Postgres do docker-compose.yml (não utilizado) ou migrar de fato o datasource do Prisma para ele — hoje os dois nunca se conectam.</w:t>
            </w:r>
          </w:p>
        </w:tc>
        <w:tc>
          <w:tcPr>
            <w:tcW w:type="dxa" w:w="1300"/>
            <w:tcMar>
              <w:top w:type="dxa" w:w="90"/>
              <w:left w:type="dxa" w:w="120"/>
              <w:bottom w:type="dxa" w:w="90"/>
              <w:right w:type="dxa" w:w="120"/>
            </w:tcMar>
            <w:vAlign w:val="center"/>
          </w:tcPr>
          <w:p>
            <w:r>
              <w:rPr>
                <w:color w:val="5B6472"/>
                <w:sz w:val="18"/>
                <w:szCs w:val="18"/>
              </w:rPr>
              <w:t xml:space="preserve">Baixo</w:t>
            </w:r>
          </w:p>
        </w:tc>
        <w:tc>
          <w:tcPr>
            <w:tcW w:type="dxa" w:w="1500"/>
            <w:tcMar>
              <w:top w:type="dxa" w:w="90"/>
              <w:left w:type="dxa" w:w="120"/>
              <w:bottom w:type="dxa" w:w="90"/>
              <w:right w:type="dxa" w:w="120"/>
            </w:tcMar>
            <w:vAlign w:val="center"/>
          </w:tcPr>
          <w:p>
            <w:pPr>
              <w:spacing w:line="250"/>
            </w:pPr>
            <w:r>
              <w:rPr>
                <w:color w:val="5B6472"/>
                <w:sz w:val="18"/>
                <w:szCs w:val="18"/>
              </w:rPr>
              <w:t xml:space="preserve">Quem seguir o docker-compose.yml acredita, erroneamente, que os dados vão para Postgres.</w:t>
            </w:r>
          </w:p>
        </w:tc>
      </w:tr>
      <w:tr>
        <w:trPr>
          <w:cantSplit/>
        </w:trPr>
        <w:tc>
          <w:tcPr>
            <w:tcW w:type="dxa" w:w="1350"/>
            <w:shd w:fill="E9ECF5" w:val="clear"/>
            <w:tcMar>
              <w:top w:type="dxa" w:w="90"/>
              <w:left w:type="dxa" w:w="120"/>
              <w:bottom w:type="dxa" w:w="90"/>
              <w:right w:type="dxa" w:w="100"/>
            </w:tcMar>
            <w:vAlign w:val="center"/>
          </w:tcPr>
          <w:p>
            <w:r>
              <w:rPr>
                <w:b/>
                <w:bCs/>
                <w:color w:val="3B4A6B"/>
                <w:sz w:val="18"/>
                <w:szCs w:val="18"/>
              </w:rPr>
              <w:t xml:space="preserve">Médio</w:t>
            </w:r>
          </w:p>
        </w:tc>
        <w:tc>
          <w:tcPr>
            <w:tcW w:type="dxa" w:w="5200"/>
            <w:tcMar>
              <w:top w:type="dxa" w:w="90"/>
              <w:left w:type="dxa" w:w="120"/>
              <w:bottom w:type="dxa" w:w="90"/>
              <w:right w:type="dxa" w:w="120"/>
            </w:tcMar>
            <w:vAlign w:val="center"/>
          </w:tcPr>
          <w:p>
            <w:pPr>
              <w:spacing w:line="260"/>
            </w:pPr>
            <w:r>
              <w:rPr>
                <w:color w:val="1F2430"/>
                <w:sz w:val="18"/>
                <w:szCs w:val="18"/>
              </w:rPr>
              <w:t xml:space="preserve">Remover o "|| true" do RUN npx prisma generate no Dockerfile para que falhas reais de schema não sejam mascaradas.</w:t>
            </w:r>
          </w:p>
        </w:tc>
        <w:tc>
          <w:tcPr>
            <w:tcW w:type="dxa" w:w="1300"/>
            <w:tcMar>
              <w:top w:type="dxa" w:w="90"/>
              <w:left w:type="dxa" w:w="120"/>
              <w:bottom w:type="dxa" w:w="90"/>
              <w:right w:type="dxa" w:w="120"/>
            </w:tcMar>
            <w:vAlign w:val="center"/>
          </w:tcPr>
          <w:p>
            <w:r>
              <w:rPr>
                <w:color w:val="5B6472"/>
                <w:sz w:val="18"/>
                <w:szCs w:val="18"/>
              </w:rPr>
              <w:t xml:space="preserve">Baixo</w:t>
            </w:r>
          </w:p>
        </w:tc>
        <w:tc>
          <w:tcPr>
            <w:tcW w:type="dxa" w:w="1500"/>
            <w:tcMar>
              <w:top w:type="dxa" w:w="90"/>
              <w:left w:type="dxa" w:w="120"/>
              <w:bottom w:type="dxa" w:w="90"/>
              <w:right w:type="dxa" w:w="120"/>
            </w:tcMar>
            <w:vAlign w:val="center"/>
          </w:tcPr>
          <w:p>
            <w:pPr>
              <w:spacing w:line="250"/>
            </w:pPr>
            <w:r>
              <w:rPr>
                <w:color w:val="5B6472"/>
                <w:sz w:val="18"/>
                <w:szCs w:val="18"/>
              </w:rPr>
              <w:t xml:space="preserve">Uma build de produção pode "passar" com um Prisma Client desatualizado ou ausente.</w:t>
            </w:r>
          </w:p>
        </w:tc>
      </w:tr>
      <w:tr>
        <w:trPr>
          <w:cantSplit/>
        </w:trPr>
        <w:tc>
          <w:tcPr>
            <w:tcW w:type="dxa" w:w="1350"/>
            <w:shd w:fill="E9ECF5" w:val="clear"/>
            <w:tcMar>
              <w:top w:type="dxa" w:w="90"/>
              <w:left w:type="dxa" w:w="120"/>
              <w:bottom w:type="dxa" w:w="90"/>
              <w:right w:type="dxa" w:w="100"/>
            </w:tcMar>
            <w:vAlign w:val="center"/>
          </w:tcPr>
          <w:p>
            <w:r>
              <w:rPr>
                <w:b/>
                <w:bCs/>
                <w:color w:val="3B4A6B"/>
                <w:sz w:val="18"/>
                <w:szCs w:val="18"/>
              </w:rPr>
              <w:t xml:space="preserve">Médio</w:t>
            </w:r>
          </w:p>
        </w:tc>
        <w:tc>
          <w:tcPr>
            <w:tcW w:type="dxa" w:w="5200"/>
            <w:tcMar>
              <w:top w:type="dxa" w:w="90"/>
              <w:left w:type="dxa" w:w="120"/>
              <w:bottom w:type="dxa" w:w="90"/>
              <w:right w:type="dxa" w:w="120"/>
            </w:tcMar>
            <w:vAlign w:val="center"/>
          </w:tcPr>
          <w:p>
            <w:pPr>
              <w:spacing w:line="260"/>
            </w:pPr>
            <w:r>
              <w:rPr>
                <w:color w:val="1F2430"/>
                <w:sz w:val="18"/>
                <w:szCs w:val="18"/>
              </w:rPr>
              <w:t xml:space="preserve">Adicionar checagem de estrutura (cabeçalhos/linhas esperadas) no parser de Excel, com aviso claro quando o layout não bate.</w:t>
            </w:r>
          </w:p>
        </w:tc>
        <w:tc>
          <w:tcPr>
            <w:tcW w:type="dxa" w:w="1300"/>
            <w:tcMar>
              <w:top w:type="dxa" w:w="90"/>
              <w:left w:type="dxa" w:w="120"/>
              <w:bottom w:type="dxa" w:w="90"/>
              <w:right w:type="dxa" w:w="120"/>
            </w:tcMar>
            <w:vAlign w:val="center"/>
          </w:tcPr>
          <w:p>
            <w:r>
              <w:rPr>
                <w:color w:val="5B6472"/>
                <w:sz w:val="18"/>
                <w:szCs w:val="18"/>
              </w:rPr>
              <w:t xml:space="preserve">Médio</w:t>
            </w:r>
          </w:p>
        </w:tc>
        <w:tc>
          <w:tcPr>
            <w:tcW w:type="dxa" w:w="1500"/>
            <w:tcMar>
              <w:top w:type="dxa" w:w="90"/>
              <w:left w:type="dxa" w:w="120"/>
              <w:bottom w:type="dxa" w:w="90"/>
              <w:right w:type="dxa" w:w="120"/>
            </w:tcMar>
            <w:vAlign w:val="center"/>
          </w:tcPr>
          <w:p>
            <w:pPr>
              <w:spacing w:line="250"/>
            </w:pPr>
            <w:r>
              <w:rPr>
                <w:color w:val="5B6472"/>
                <w:sz w:val="18"/>
                <w:szCs w:val="18"/>
              </w:rPr>
              <w:t xml:space="preserve">Planilha fora do padrão pode importar dados incompletos sem nenhum aviso.</w:t>
            </w:r>
          </w:p>
        </w:tc>
      </w:tr>
      <w:tr>
        <w:trPr>
          <w:cantSplit/>
        </w:trPr>
        <w:tc>
          <w:tcPr>
            <w:tcW w:type="dxa" w:w="1350"/>
            <w:shd w:fill="E6F6EE" w:val="clear"/>
            <w:tcMar>
              <w:top w:type="dxa" w:w="90"/>
              <w:left w:type="dxa" w:w="120"/>
              <w:bottom w:type="dxa" w:w="90"/>
              <w:right w:type="dxa" w:w="100"/>
            </w:tcMar>
            <w:vAlign w:val="center"/>
          </w:tcPr>
          <w:p>
            <w:r>
              <w:rPr>
                <w:b/>
                <w:bCs/>
                <w:color w:val="0F7B4F"/>
                <w:sz w:val="18"/>
                <w:szCs w:val="18"/>
              </w:rPr>
              <w:t xml:space="preserve">Baixo</w:t>
            </w:r>
          </w:p>
        </w:tc>
        <w:tc>
          <w:tcPr>
            <w:tcW w:type="dxa" w:w="5200"/>
            <w:tcMar>
              <w:top w:type="dxa" w:w="90"/>
              <w:left w:type="dxa" w:w="120"/>
              <w:bottom w:type="dxa" w:w="90"/>
              <w:right w:type="dxa" w:w="120"/>
            </w:tcMar>
            <w:vAlign w:val="center"/>
          </w:tcPr>
          <w:p>
            <w:pPr>
              <w:spacing w:line="260"/>
            </w:pPr>
            <w:r>
              <w:rPr>
                <w:color w:val="1F2430"/>
                <w:sz w:val="18"/>
                <w:szCs w:val="18"/>
              </w:rPr>
              <w:t xml:space="preserve">Substituir os tipos any em updateContract, updateMonthlyReport e nos componentes de tela pelos tipos gerados pelo Prisma/Zod.</w:t>
            </w:r>
          </w:p>
        </w:tc>
        <w:tc>
          <w:tcPr>
            <w:tcW w:type="dxa" w:w="1300"/>
            <w:tcMar>
              <w:top w:type="dxa" w:w="90"/>
              <w:left w:type="dxa" w:w="120"/>
              <w:bottom w:type="dxa" w:w="90"/>
              <w:right w:type="dxa" w:w="120"/>
            </w:tcMar>
            <w:vAlign w:val="center"/>
          </w:tcPr>
          <w:p>
            <w:r>
              <w:rPr>
                <w:color w:val="5B6472"/>
                <w:sz w:val="18"/>
                <w:szCs w:val="18"/>
              </w:rPr>
              <w:t xml:space="preserve">Médio</w:t>
            </w:r>
          </w:p>
        </w:tc>
        <w:tc>
          <w:tcPr>
            <w:tcW w:type="dxa" w:w="1500"/>
            <w:tcMar>
              <w:top w:type="dxa" w:w="90"/>
              <w:left w:type="dxa" w:w="120"/>
              <w:bottom w:type="dxa" w:w="90"/>
              <w:right w:type="dxa" w:w="120"/>
            </w:tcMar>
            <w:vAlign w:val="center"/>
          </w:tcPr>
          <w:p>
            <w:pPr>
              <w:spacing w:line="250"/>
            </w:pPr>
            <w:r>
              <w:rPr>
                <w:color w:val="5B6472"/>
                <w:sz w:val="18"/>
                <w:szCs w:val="18"/>
              </w:rPr>
              <w:t xml:space="preserve">Erros de tipo só aparecem em produção, não em tempo de desenvolvimento.</w:t>
            </w:r>
          </w:p>
        </w:tc>
      </w:tr>
      <w:tr>
        <w:trPr>
          <w:cantSplit/>
        </w:trPr>
        <w:tc>
          <w:tcPr>
            <w:tcW w:type="dxa" w:w="1350"/>
            <w:shd w:fill="E6F6EE" w:val="clear"/>
            <w:tcMar>
              <w:top w:type="dxa" w:w="90"/>
              <w:left w:type="dxa" w:w="120"/>
              <w:bottom w:type="dxa" w:w="90"/>
              <w:right w:type="dxa" w:w="100"/>
            </w:tcMar>
            <w:vAlign w:val="center"/>
          </w:tcPr>
          <w:p>
            <w:r>
              <w:rPr>
                <w:b/>
                <w:bCs/>
                <w:color w:val="0F7B4F"/>
                <w:sz w:val="18"/>
                <w:szCs w:val="18"/>
              </w:rPr>
              <w:t xml:space="preserve">Baixo</w:t>
            </w:r>
          </w:p>
        </w:tc>
        <w:tc>
          <w:tcPr>
            <w:tcW w:type="dxa" w:w="5200"/>
            <w:tcMar>
              <w:top w:type="dxa" w:w="90"/>
              <w:left w:type="dxa" w:w="120"/>
              <w:bottom w:type="dxa" w:w="90"/>
              <w:right w:type="dxa" w:w="120"/>
            </w:tcMar>
            <w:vAlign w:val="center"/>
          </w:tcPr>
          <w:p>
            <w:pPr>
              <w:spacing w:line="260"/>
            </w:pPr>
            <w:r>
              <w:rPr>
                <w:color w:val="1F2430"/>
                <w:sz w:val="18"/>
                <w:szCs w:val="18"/>
              </w:rPr>
              <w:t xml:space="preserve">Remover src/app/lib/mockData.ts (arrays vazios, não referenciados em lugar nenhum do código).</w:t>
            </w:r>
          </w:p>
        </w:tc>
        <w:tc>
          <w:tcPr>
            <w:tcW w:type="dxa" w:w="1300"/>
            <w:tcMar>
              <w:top w:type="dxa" w:w="90"/>
              <w:left w:type="dxa" w:w="120"/>
              <w:bottom w:type="dxa" w:w="90"/>
              <w:right w:type="dxa" w:w="120"/>
            </w:tcMar>
            <w:vAlign w:val="center"/>
          </w:tcPr>
          <w:p>
            <w:r>
              <w:rPr>
                <w:color w:val="5B6472"/>
                <w:sz w:val="18"/>
                <w:szCs w:val="18"/>
              </w:rPr>
              <w:t xml:space="preserve">Baixo</w:t>
            </w:r>
          </w:p>
        </w:tc>
        <w:tc>
          <w:tcPr>
            <w:tcW w:type="dxa" w:w="1500"/>
            <w:tcMar>
              <w:top w:type="dxa" w:w="90"/>
              <w:left w:type="dxa" w:w="120"/>
              <w:bottom w:type="dxa" w:w="90"/>
              <w:right w:type="dxa" w:w="120"/>
            </w:tcMar>
            <w:vAlign w:val="center"/>
          </w:tcPr>
          <w:p>
            <w:pPr>
              <w:spacing w:line="250"/>
            </w:pPr>
            <w:r>
              <w:rPr>
                <w:color w:val="5B6472"/>
                <w:sz w:val="18"/>
                <w:szCs w:val="18"/>
              </w:rPr>
              <w:t xml:space="preserve">Nenhum — é apenas código morto que confunde quem lê o projeto.</w:t>
            </w:r>
          </w:p>
        </w:tc>
      </w:tr>
    </w:tbl>
    <w:p>
      <w:pPr>
        <w:spacing w:after="300"/>
      </w:pPr>
    </w:p>
    <w:p>
      <w:pPr>
        <w:pStyle w:val="Heading1"/>
        <w:pBdr>
          <w:bottom w:val="single" w:color="2563EB" w:sz="6" w:space="6"/>
        </w:pBdr>
        <w:spacing w:after="200" w:before="420"/>
      </w:pPr>
      <w:r>
        <w:rPr>
          <w:b/>
          <w:bCs/>
          <w:color w:val="1E3A8A"/>
          <w:sz w:val="30"/>
          <w:szCs w:val="30"/>
        </w:rPr>
        <w:t xml:space="preserve">Conclusão</w:t>
      </w:r>
    </w:p>
    <w:p>
      <w:pPr>
        <w:spacing w:after="160" w:line="300"/>
      </w:pPr>
      <w:r>
        <w:rPr>
          <w:color w:val="1F2430"/>
          <w:sz w:val="21"/>
          <w:szCs w:val="21"/>
        </w:rPr>
        <w:t xml:space="preserve">O código do ThemUno CLMS mostra domínio do problema de negócio e boas escolhas técnicas pontuais — Decimal para dinheiro, transação atômica na importação, Zod nas criações. O que falta não é reescrever nada, é fechar a lacuna entre "protótipo funcional na sua máquina" e "sistema que outras pessoas acessam com segurança": autenticação, segredos que não vazam para o cliente, e um repositório que não exponha dados reais de empresas.</w:t>
      </w:r>
    </w:p>
    <w:p>
      <w:pPr>
        <w:spacing w:after="160" w:line="300"/>
      </w:pPr>
      <w:r>
        <w:rPr>
          <w:color w:val="1F2430"/>
          <w:sz w:val="21"/>
          <w:szCs w:val="21"/>
        </w:rPr>
        <w:t xml:space="preserve">Recomendo tratar os três achados críticos antes de qualquer outro uso do sistema fora da sua própria máquina — nenhum deles exige grande esforço de implementação, mas o risco de deixá-los como estão cresce a cada dia que o sistema roda com dados reais.</w:t>
      </w:r>
    </w:p>
    <w:sectPr>
      <w:headerReference w:type="default" r:id="rId7"/>
      <w:footerReference w:type="default" r:id="rId8"/>
      <w:pgSz w:w="12240" w:h="15840"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Página </w:t>
    </w:r>
    <w:r>
      <w:rPr>
        <w:color w:val="5B6472"/>
        <w:sz w:val="16"/>
        <w:szCs w:val="16"/>
      </w:rPr>
      <w:fldChar w:fldCharType="begin"/>
      <w:instrText xml:space="preserve">PAGE</w:instrText>
      <w:fldChar w:fldCharType="separate"/>
      <w:fldChar w:fldCharType="end"/>
    </w:r>
    <w:r>
      <w:rPr>
        <w:color w:val="5B6472"/>
        <w:sz w:val="16"/>
        <w:szCs w:val="16"/>
      </w:rPr>
      <w:t xml:space="preserve"> de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8" w:sz="4" w:space="6"/>
      </w:pBdr>
    </w:pPr>
    <w:r>
      <w:rPr>
        <w:color w:val="5B6472"/>
        <w:sz w:val="16"/>
        <w:szCs w:val="16"/>
      </w:rPr>
      <w:t xml:space="preserve">ThemUno CLMS  ·  Revisão de Código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2026-08-29T00:49:31.034Z</dcterms:created>
  <dcterms:modified xsi:type="dcterms:W3CDTF">2026-08-29T00:49:31.034Z</dcterms:modified>
</cp:coreProperties>
</file>

<file path=docProps/custom.xml><?xml version="1.0" encoding="utf-8"?>
<Properties xmlns="http://schemas.openxmlformats.org/officeDocument/2006/custom-properties" xmlns:vt="http://schemas.openxmlformats.org/officeDocument/2006/docPropsVTypes"/>
</file>