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4659"/>
        <w:tblW w:w="6554.0" w:type="dxa"/>
        <w:jc w:val="left"/>
        <w:tblBorders>
          <w:bottom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45"/>
        <w:gridCol w:w="285"/>
        <w:gridCol w:w="3824"/>
        <w:tblGridChange w:id="0">
          <w:tblGrid>
            <w:gridCol w:w="2445"/>
            <w:gridCol w:w="285"/>
            <w:gridCol w:w="3824"/>
          </w:tblGrid>
        </w:tblGridChange>
      </w:tblGrid>
      <w:tr>
        <w:trPr>
          <w:cantSplit w:val="0"/>
          <w:trHeight w:val="278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3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Стандарт на процесс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Формирование Годового плана закупок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1"/>
        <w:keepLines w:val="1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</w:tabs>
            <w:spacing w:after="0" w:before="60" w:line="240" w:lineRule="auto"/>
            <w:ind w:left="567" w:right="34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1fob9te" w:id="2"/>
          <w:bookmarkEnd w:id="2"/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Область применения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</w:tabs>
            <w:spacing w:after="0" w:before="60" w:line="240" w:lineRule="auto"/>
            <w:ind w:left="567" w:right="34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Нормативные ссылки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</w:tabs>
            <w:spacing w:after="0" w:before="60" w:line="240" w:lineRule="auto"/>
            <w:ind w:left="567" w:right="34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Термины и сокращения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</w:tabs>
            <w:spacing w:after="0" w:before="60" w:line="240" w:lineRule="auto"/>
            <w:ind w:left="567" w:right="34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Назначение и структура процесса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</w:tabs>
            <w:spacing w:after="0" w:before="60" w:line="240" w:lineRule="auto"/>
            <w:ind w:left="567" w:right="34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Порядок выполнения процесса «Формирование Годового плана закупок»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</w:tabs>
            <w:spacing w:after="0" w:before="60" w:line="240" w:lineRule="auto"/>
            <w:ind w:left="567" w:right="34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1 (рекомендуемое)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</w:tabs>
            <w:spacing w:after="0" w:before="60" w:line="240" w:lineRule="auto"/>
            <w:ind w:left="567" w:right="34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Библиография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</w:tabs>
            <w:spacing w:after="0" w:before="60" w:line="240" w:lineRule="auto"/>
            <w:ind w:left="567" w:right="34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изменений документа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1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34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Настоящий стандарт устанавливает единые правила и порядок формирования Годового плана закупок (далее – ГПЗ), относится к группе процессов 03.02 категории «Планирование закупок» категории 03 «Управление закупками».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распространении НМД через механизм тиражирование: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Положения настоящего стандарта вступают в силу с момента его утверждения и действуют до момента утверждения актуализированной версии стандарта.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Положения стандарта подлежат соблюдению в ПАО 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и Обществах 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утвердивших собственный аналогичный стандарт.</w:t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распространении НМД через механизм Приказ о применении при сквозном шаблонном процессе:</w:t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Положения настоящего стандарта вступают в силу в организациях, указанных в Плане мероприятий по внедрению настоящего документа в сценарии «Применение НМД КЦ в ДО в соответствии Приказом ГД ДО», без необходимости его утверждения, после утверждения в данных организациях приказа о применении НМД ПАО 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», и действуют до момента утверждения в ПАО 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актуализированной версии стандарта либо отмены настоящего документа. 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Положения настоящего стандарта подлежат обязательному применению в ПАО 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и организациях, указанных в Плане мероприятий по внедрению настоящего документа в сценарии «Применение НМД КЦ в ДО в соответствии Приказом ГД ДО». 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Механизмы распространения настоящего стандарта и наименования Обществ 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указаны в Плане мероприятий по внедрению настоящего документа.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Обществ 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осуществляющих закупочную деятельность в соответствии с нормами Федерального закона от 18.07.2011 № 223-ФЗ «О закупках товаров, работ, услуг отдельными видами юридических лиц», положения настоящего стандарта распространяются только в части, не противоречащей нормам Федерального закона от 18.07.2011 № 223-ФЗ «О закупках товаров, работ, услуг отдельными видами юридических лиц» [1].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Стандарт основывается на Положении о закупках товаров, работ, услуг ПАО 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», детализирует и конкретизирует отдельные его нормы.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Центральный орган управления закупками ПАО 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», в отдельных случаях в целях оптимизации закупочной деятельности ПАО 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и/или Обществ 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вправе устанавливать не противоречащий настоящему Стандарту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специальный порядок планирования закупок – как для отдельных категорий, видов, способов закупок, так и для отдельных Заказчиков (Исполнителей). Такие решения оформляются официальными разъяснениями Центрального органа управления закупками ПАО 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(направляются адресатам) в формате электронного письма с ящика электронной почты и/или публикуются в разделе «Разъяснения» Интерактивного методологического ресурса ЦОУЗ».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340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Нормативные ссылки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настоящем документе содержатся ссылки на следующие нормативные и организационно-распорядительные документы ПАО 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»: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Положение о закупках товаров, работ, услуг ПАО 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», утвержденное решением Совета директоров ПАО 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29 марта 2019, протокол № ПТ-0102/14 (далее по тексту настоящего Стандарта – Положение о закупках)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КТ-004 «Термины и сокращения»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ПК-00 «Управление системой стандартизации»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СК-03.03.04 «Изменение, дополнение, расторжение договора, заключенного по результатам закупки»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СК-03.04.01 «Формирование отчетности о закупочной деятельности»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34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Ш-03.03.01.01-01 «Техническое задание»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34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Термины и сокращения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2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настоящем документе используются следующие термины и сокращения:</w:t>
      </w:r>
    </w:p>
    <w:p w:rsidR="00000000" w:rsidDel="00000000" w:rsidP="00000000" w:rsidRDefault="00000000" w:rsidRPr="00000000" w14:paraId="00000041">
      <w:pPr>
        <w:tabs>
          <w:tab w:val="left" w:leader="none" w:pos="709"/>
          <w:tab w:val="left" w:leader="none" w:pos="8789"/>
        </w:tabs>
        <w:spacing w:after="120" w:before="120" w:lineRule="auto"/>
        <w:ind w:firstLine="284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автоматизированная система «Планирование закупок» (АС «Планирование закупок»): </w:t>
      </w:r>
      <w:r w:rsidDel="00000000" w:rsidR="00000000" w:rsidRPr="00000000">
        <w:rPr>
          <w:rtl w:val="0"/>
        </w:rPr>
        <w:t xml:space="preserve">автоматизированная система, обеспечивающая поддержку бизнес-процессов формирования и корректировки плана закупок ПАО «Компания 1» и Обществ Компания 1.</w:t>
      </w:r>
    </w:p>
    <w:p w:rsidR="00000000" w:rsidDel="00000000" w:rsidP="00000000" w:rsidRDefault="00000000" w:rsidRPr="00000000" w14:paraId="00000042">
      <w:pPr>
        <w:keepNext w:val="1"/>
        <w:keepLines w:val="1"/>
        <w:spacing w:before="60" w:lineRule="auto"/>
        <w:ind w:firstLine="340"/>
        <w:jc w:val="both"/>
        <w:rPr/>
      </w:pPr>
      <w:r w:rsidDel="00000000" w:rsidR="00000000" w:rsidRPr="00000000">
        <w:rPr>
          <w:b w:val="1"/>
          <w:rtl w:val="0"/>
        </w:rPr>
        <w:t xml:space="preserve">БЛПС: </w:t>
      </w:r>
      <w:r w:rsidDel="00000000" w:rsidR="00000000" w:rsidRPr="00000000">
        <w:rPr>
          <w:rtl w:val="0"/>
        </w:rPr>
        <w:t xml:space="preserve">Блок логистики, переработки и сбыта ПАО «Компания 1».</w:t>
      </w:r>
    </w:p>
    <w:p w:rsidR="00000000" w:rsidDel="00000000" w:rsidP="00000000" w:rsidRDefault="00000000" w:rsidRPr="00000000" w14:paraId="00000043">
      <w:pPr>
        <w:keepNext w:val="1"/>
        <w:keepLines w:val="1"/>
        <w:spacing w:before="60" w:lineRule="auto"/>
        <w:ind w:firstLine="3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БРД: </w:t>
      </w:r>
      <w:r w:rsidDel="00000000" w:rsidR="00000000" w:rsidRPr="00000000">
        <w:rPr>
          <w:rtl w:val="0"/>
        </w:rPr>
        <w:t xml:space="preserve">Блок разведки и добычи ПАО «Компания 1».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09"/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взаимозависимое лицо (ВЗЛ): </w:t>
      </w:r>
      <w:r w:rsidDel="00000000" w:rsidR="00000000" w:rsidRPr="00000000">
        <w:rPr>
          <w:rtl w:val="0"/>
        </w:rPr>
        <w:t xml:space="preserve">юридическое лицо, которое признается взаимозависимым с Заказчиком лицом в соответствии с Налоговым кодексом Российской Федерации и включено в перечень взаимозависимых лиц такого Заказчика с обоснованием включения в указанный перечень в соответствии с положениями Налогового кодекса Российской Федерации.</w:t>
      </w:r>
    </w:p>
    <w:p w:rsidR="00000000" w:rsidDel="00000000" w:rsidP="00000000" w:rsidRDefault="00000000" w:rsidRPr="00000000" w14:paraId="00000045">
      <w:pPr>
        <w:tabs>
          <w:tab w:val="left" w:leader="none" w:pos="709"/>
          <w:tab w:val="left" w:leader="none" w:pos="8789"/>
        </w:tabs>
        <w:spacing w:after="120" w:before="120" w:lineRule="auto"/>
        <w:ind w:firstLine="284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Примечание – перечень ВЗЛ ПАО «Компания 1» формирует Департамент корпоративного и проектного сопровождения ПАО «Компания 1».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09"/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Годовой план закупок (ГПЗ):</w:t>
      </w:r>
      <w:r w:rsidDel="00000000" w:rsidR="00000000" w:rsidRPr="00000000">
        <w:rPr>
          <w:rtl w:val="0"/>
        </w:rPr>
        <w:t xml:space="preserve"> план закупок ПАО «Компания 1» или Общества Компания 1, сформированный в соответствии с требованиями, установленными Центральным органом управления закупками ПАО «Компания 1», представляющий собой свод записей о планируемых Компанией или Обществом Компания 1 закупках в установленной табличной форме.</w:t>
      </w:r>
    </w:p>
    <w:p w:rsidR="00000000" w:rsidDel="00000000" w:rsidP="00000000" w:rsidRDefault="00000000" w:rsidRPr="00000000" w14:paraId="00000047">
      <w:pPr>
        <w:keepNext w:val="1"/>
        <w:keepLines w:val="1"/>
        <w:spacing w:before="60" w:lineRule="auto"/>
        <w:ind w:firstLine="3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Департамент МТО: </w:t>
      </w:r>
      <w:r w:rsidDel="00000000" w:rsidR="00000000" w:rsidRPr="00000000">
        <w:rPr>
          <w:rtl w:val="0"/>
        </w:rPr>
        <w:t xml:space="preserve">Департамент материально-технического обеспечения ДЗиКС ПАО «Компания 1».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spacing w:before="60" w:lineRule="auto"/>
        <w:ind w:firstLine="340"/>
        <w:jc w:val="both"/>
        <w:rPr/>
      </w:pPr>
      <w:r w:rsidDel="00000000" w:rsidR="00000000" w:rsidRPr="00000000">
        <w:rPr>
          <w:b w:val="1"/>
          <w:rtl w:val="0"/>
        </w:rPr>
        <w:t xml:space="preserve">ДЗиКС: </w:t>
      </w:r>
      <w:r w:rsidDel="00000000" w:rsidR="00000000" w:rsidRPr="00000000">
        <w:rPr>
          <w:rtl w:val="0"/>
        </w:rPr>
        <w:t xml:space="preserve">Дирекция по закупкам и капитальному строительству ПАО «Компания 1».</w:t>
      </w:r>
    </w:p>
    <w:p w:rsidR="00000000" w:rsidDel="00000000" w:rsidP="00000000" w:rsidRDefault="00000000" w:rsidRPr="00000000" w14:paraId="00000049">
      <w:pPr>
        <w:tabs>
          <w:tab w:val="left" w:leader="none" w:pos="709"/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договор:</w:t>
      </w:r>
      <w:r w:rsidDel="00000000" w:rsidR="00000000" w:rsidRPr="00000000">
        <w:rPr>
          <w:rtl w:val="0"/>
        </w:rPr>
        <w:t xml:space="preserve"> письменное соглашение двух или более лиц об установлении, изменении и прекращении прав, обязанностей и/или о согласовании основных намерений и условий делового сотрудничества и партнерства. </w:t>
      </w:r>
    </w:p>
    <w:p w:rsidR="00000000" w:rsidDel="00000000" w:rsidP="00000000" w:rsidRDefault="00000000" w:rsidRPr="00000000" w14:paraId="0000004A">
      <w:pPr>
        <w:keepNext w:val="1"/>
        <w:keepLines w:val="1"/>
        <w:spacing w:before="60" w:lineRule="auto"/>
        <w:ind w:firstLine="340"/>
        <w:jc w:val="both"/>
        <w:rPr/>
      </w:pPr>
      <w:r w:rsidDel="00000000" w:rsidR="00000000" w:rsidRPr="00000000">
        <w:rPr>
          <w:b w:val="1"/>
          <w:rtl w:val="0"/>
        </w:rPr>
        <w:t xml:space="preserve">ДРП: </w:t>
      </w:r>
      <w:r w:rsidDel="00000000" w:rsidR="00000000" w:rsidRPr="00000000">
        <w:rPr>
          <w:rtl w:val="0"/>
        </w:rPr>
        <w:t xml:space="preserve">Дирекция региональных продаж ПАО «Компания 1».</w:t>
      </w:r>
    </w:p>
    <w:p w:rsidR="00000000" w:rsidDel="00000000" w:rsidP="00000000" w:rsidRDefault="00000000" w:rsidRPr="00000000" w14:paraId="0000004B">
      <w:pPr>
        <w:tabs>
          <w:tab w:val="left" w:leader="none" w:pos="709"/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закупка (закупочная процедура): </w:t>
      </w:r>
      <w:r w:rsidDel="00000000" w:rsidR="00000000" w:rsidRPr="00000000">
        <w:rPr>
          <w:rtl w:val="0"/>
        </w:rPr>
        <w:t xml:space="preserve">последовательность действий, обеспечивающих выбор поставщика (подрядчика, исполнителя), направленных на заключение договора с ним - для удовлетворения потребностей Заказчика в товарах/работах/услугах, осуществляемых в соответствии с законодательством Российской Федерации, требованиями Положения о закупках товаров, работ, услуг, а также иными локальными нормативными документами Заказчика.</w:t>
      </w:r>
    </w:p>
    <w:p w:rsidR="00000000" w:rsidDel="00000000" w:rsidP="00000000" w:rsidRDefault="00000000" w:rsidRPr="00000000" w14:paraId="0000004C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закупка на поставку товаров, выполнение работ, оказание услуг, связанных с системами безопасности:</w:t>
      </w:r>
      <w:r w:rsidDel="00000000" w:rsidR="00000000" w:rsidRPr="00000000">
        <w:rPr>
          <w:rtl w:val="0"/>
        </w:rPr>
        <w:t xml:space="preserve"> закупка товаров, работ, услуг, осуществляемая в целях обеспечения безопасности, включая обеспечение информационной безопасности (систем охраны, защиты от несанкционированного доступа антитеррористической защищенности и пр.) особо опасных, критически важных производственных объектов и объектов инфраструктуры, ПАО «Компания 1» и Обществ Компания 1, публичное размещение информации о которых несет риски раскрытия подходов к обеспечению безопасности, ее критических элементов, а также позволит идентифицировать исполнителей.</w:t>
      </w:r>
    </w:p>
    <w:p w:rsidR="00000000" w:rsidDel="00000000" w:rsidP="00000000" w:rsidRDefault="00000000" w:rsidRPr="00000000" w14:paraId="0000004D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запись Годового плана закупок (запись ГПЗ): </w:t>
      </w:r>
      <w:r w:rsidDel="00000000" w:rsidR="00000000" w:rsidRPr="00000000">
        <w:rPr>
          <w:rtl w:val="0"/>
        </w:rPr>
        <w:t xml:space="preserve">сведения о планируемой закупке, включающие в себя ее организационные характеристики. Одна запись плана соответствует одной строке ГПЗ.</w:t>
      </w:r>
    </w:p>
    <w:p w:rsidR="00000000" w:rsidDel="00000000" w:rsidP="00000000" w:rsidRDefault="00000000" w:rsidRPr="00000000" w14:paraId="0000004E">
      <w:pPr>
        <w:tabs>
          <w:tab w:val="left" w:leader="none" w:pos="8789"/>
        </w:tabs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Интерактивный методологический ресурс ЦОУЗ:</w:t>
      </w:r>
      <w:r w:rsidDel="00000000" w:rsidR="00000000" w:rsidRPr="00000000">
        <w:rPr>
          <w:rtl w:val="0"/>
        </w:rPr>
        <w:t xml:space="preserve"> официальный информационный ресурс Центрального органа управления закупками ПАО «Компания 1» в области методологической поддержки осуществления закупок ПАО «Компания 1» и Обществ Компания 1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консолидированный ГПЗ:</w:t>
      </w:r>
      <w:r w:rsidDel="00000000" w:rsidR="00000000" w:rsidRPr="00000000">
        <w:rPr>
          <w:rtl w:val="0"/>
        </w:rPr>
        <w:t xml:space="preserve"> свод данных утвержденных ГПЗ всех Обществ Компания 1 и ПАО «Компания 1» на календарный год.</w:t>
      </w:r>
    </w:p>
    <w:p w:rsidR="00000000" w:rsidDel="00000000" w:rsidP="00000000" w:rsidRDefault="00000000" w:rsidRPr="00000000" w14:paraId="00000050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Координатор: </w:t>
      </w:r>
      <w:r w:rsidDel="00000000" w:rsidR="00000000" w:rsidRPr="00000000">
        <w:rPr>
          <w:rtl w:val="0"/>
        </w:rPr>
        <w:t xml:space="preserve">подразделение ПАО «Компания 1» или подразделение Общества Компания 1, ответственное за предоставление пакета документов утверждающему лицу/утверждающему органу для принятия решения об итогах неконкурентной закупки (за исключением маркетинговых исследований):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89"/>
        </w:tabs>
        <w:spacing w:after="40" w:before="4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КЦ: Подразделение в структуре ЦОУЗ;</w:t>
      </w:r>
    </w:p>
    <w:p w:rsidR="00000000" w:rsidDel="00000000" w:rsidP="00000000" w:rsidRDefault="00000000" w:rsidRPr="00000000" w14:paraId="00000052">
      <w:pPr>
        <w:tabs>
          <w:tab w:val="left" w:leader="none" w:pos="8789"/>
        </w:tabs>
        <w:spacing w:after="120" w:before="120" w:lineRule="auto"/>
        <w:ind w:firstLine="284"/>
        <w:jc w:val="both"/>
        <w:rPr>
          <w:b w:val="1"/>
        </w:rPr>
      </w:pPr>
      <w:r w:rsidDel="00000000" w:rsidR="00000000" w:rsidRPr="00000000">
        <w:rPr>
          <w:rtl w:val="0"/>
        </w:rPr>
        <w:t xml:space="preserve">в Обществе Компания 1: Подразделение по подготовке и проведению закупок.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8789"/>
        </w:tabs>
        <w:spacing w:after="120" w:before="120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корректировка ГПЗ: </w:t>
      </w:r>
      <w:r w:rsidDel="00000000" w:rsidR="00000000" w:rsidRPr="00000000">
        <w:rPr>
          <w:rtl w:val="0"/>
        </w:rPr>
        <w:t xml:space="preserve">процесс изменения ГПЗ, заключающийся в добавлении новой, изменении или исключении утвержденной ранее записи ГПЗ.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КЦ, Компания:</w:t>
      </w:r>
      <w:r w:rsidDel="00000000" w:rsidR="00000000" w:rsidRPr="00000000">
        <w:rPr>
          <w:rtl w:val="0"/>
        </w:rPr>
        <w:t xml:space="preserve"> ПАО «Компания 1».</w:t>
      </w:r>
    </w:p>
    <w:p w:rsidR="00000000" w:rsidDel="00000000" w:rsidP="00000000" w:rsidRDefault="00000000" w:rsidRPr="00000000" w14:paraId="00000055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малостоящая закупка:</w:t>
      </w:r>
      <w:r w:rsidDel="00000000" w:rsidR="00000000" w:rsidRPr="00000000">
        <w:rPr>
          <w:rtl w:val="0"/>
        </w:rPr>
        <w:t xml:space="preserve"> закупка товаров (работ, услуг), совокупная стоимость которых в пределах одного Договора (включая все дополнительные соглашения к нему) с учётом предусмотренных действующим законодательством налогов не превышает 1 500 000 (Один миллион пятьсот тысяч) рублей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материально-технические ресурсы (МТР):</w:t>
      </w:r>
      <w:r w:rsidDel="00000000" w:rsidR="00000000" w:rsidRPr="00000000">
        <w:rPr>
          <w:rtl w:val="0"/>
        </w:rPr>
        <w:t xml:space="preserve"> материалы, реагенты, не переданное в монтаж оборудование, запасные части, транспорт и прочее имущество производственно-технического назначения, используемое при производстве продукции или для производственных, технологических и ремонтно-эксплуатационных нужд Компании и Обществ Компания 1, включая товары IT-назначения, исключая нефть, вторсырье, имущество административно-хозяйственного назначения, лицензионное, программное обеспечение.</w:t>
      </w:r>
    </w:p>
    <w:p w:rsidR="00000000" w:rsidDel="00000000" w:rsidP="00000000" w:rsidRDefault="00000000" w:rsidRPr="00000000" w14:paraId="00000057">
      <w:pPr>
        <w:spacing w:after="120" w:before="120" w:lineRule="auto"/>
        <w:ind w:firstLine="28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Примечание: к МТР не относятся нефть, нефтепродукты и нефтехимия, используемые в коммерческой и производственной деятельности Компании с целью создания добавленной стоимости/получения готовой продукции.</w:t>
      </w:r>
    </w:p>
    <w:p w:rsidR="00000000" w:rsidDel="00000000" w:rsidP="00000000" w:rsidRDefault="00000000" w:rsidRPr="00000000" w14:paraId="00000058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начальная максимальная цена (НМЦ):</w:t>
      </w:r>
      <w:r w:rsidDel="00000000" w:rsidR="00000000" w:rsidRPr="00000000">
        <w:rPr>
          <w:rtl w:val="0"/>
        </w:rPr>
        <w:t xml:space="preserve"> предельная цена товаров (работ/услуг), являющихся предметом закупки.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  <w:tab w:val="left" w:leader="none" w:pos="567"/>
          <w:tab w:val="left" w:leader="none" w:pos="1134"/>
          <w:tab w:val="left" w:leader="none" w:pos="1560"/>
          <w:tab w:val="left" w:leader="none" w:pos="8789"/>
        </w:tabs>
        <w:spacing w:after="12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Общества </w:t>
      </w:r>
      <w:r w:rsidDel="00000000" w:rsidR="00000000" w:rsidRPr="00000000">
        <w:rPr>
          <w:b w:val="1"/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организации, относящиеся к одной или нескольким из перечисленных ниже категорий: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  <w:tab w:val="left" w:leader="none" w:pos="567"/>
          <w:tab w:val="left" w:leader="none" w:pos="8789"/>
        </w:tabs>
        <w:spacing w:after="120" w:before="12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дочерние общества ПАО «</w:t>
      </w:r>
      <w:r w:rsidDel="00000000" w:rsidR="00000000" w:rsidRPr="00000000">
        <w:rPr>
          <w:highlight w:val="white"/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»;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  <w:tab w:val="left" w:leader="none" w:pos="567"/>
          <w:tab w:val="left" w:leader="none" w:pos="8789"/>
        </w:tabs>
        <w:spacing w:after="120" w:before="12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дочерние общества дочерних обществ ПАО «</w:t>
      </w:r>
      <w:r w:rsidDel="00000000" w:rsidR="00000000" w:rsidRPr="00000000">
        <w:rPr>
          <w:highlight w:val="white"/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»;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  <w:tab w:val="left" w:leader="none" w:pos="567"/>
          <w:tab w:val="left" w:leader="none" w:pos="8789"/>
        </w:tabs>
        <w:spacing w:after="120" w:before="12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общества и организации, в уставном капитале которых ПАО «</w:t>
      </w:r>
      <w:r w:rsidDel="00000000" w:rsidR="00000000" w:rsidRPr="00000000">
        <w:rPr>
          <w:highlight w:val="white"/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» совместно со своими дочерними обществами и/или дочерними обществами дочерних обществ ПАО «</w:t>
      </w:r>
      <w:r w:rsidDel="00000000" w:rsidR="00000000" w:rsidRPr="00000000">
        <w:rPr>
          <w:highlight w:val="white"/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», владеют более 50% долей (акций);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789"/>
        </w:tabs>
        <w:spacing w:after="80" w:before="8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общества и организации, не являющиеся дочерними, финансовая отчетность которых входит в консолидированную финансовую отчетность ПАО «</w:t>
      </w:r>
      <w:r w:rsidDel="00000000" w:rsidR="00000000" w:rsidRPr="00000000">
        <w:rPr>
          <w:highlight w:val="white"/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» по международным стандартам финансовой отчетности (МСФО).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Организатор: </w:t>
      </w:r>
      <w:r w:rsidDel="00000000" w:rsidR="00000000" w:rsidRPr="00000000">
        <w:rPr>
          <w:rtl w:val="0"/>
        </w:rPr>
        <w:t xml:space="preserve">подразделение ПАО «Компания 1» или подразделение Общества Компания 1, осуществляющее организацию и проведение конкурентных процедур закупок и/или маркетинговых исследований: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89"/>
        </w:tabs>
        <w:spacing w:after="40" w:before="4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КЦ: Подразделение в структуре ЦОУЗ;</w:t>
      </w:r>
    </w:p>
    <w:p w:rsidR="00000000" w:rsidDel="00000000" w:rsidP="00000000" w:rsidRDefault="00000000" w:rsidRPr="00000000" w14:paraId="00000060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 Обществе Компания 1: Подразделение по подготовке и проведению закупок.</w:t>
      </w:r>
    </w:p>
    <w:p w:rsidR="00000000" w:rsidDel="00000000" w:rsidP="00000000" w:rsidRDefault="00000000" w:rsidRPr="00000000" w14:paraId="00000061">
      <w:pPr>
        <w:tabs>
          <w:tab w:val="left" w:leader="none" w:pos="8789"/>
        </w:tabs>
        <w:spacing w:after="120" w:before="120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организационная характеристика закупки:</w:t>
      </w:r>
      <w:r w:rsidDel="00000000" w:rsidR="00000000" w:rsidRPr="00000000">
        <w:rPr>
          <w:rtl w:val="0"/>
        </w:rPr>
        <w:t xml:space="preserve"> параметр закупочной процедуры, определяющий требования к ее организации и проведению. Совокупность организационных характеристик закупки формирует запись ГПЗ.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реестровый номер процедуры (РНП): </w:t>
      </w:r>
      <w:r w:rsidDel="00000000" w:rsidR="00000000" w:rsidRPr="00000000">
        <w:rPr>
          <w:rtl w:val="0"/>
        </w:rPr>
        <w:t xml:space="preserve">номер, присваиваемый закупочной процедуре при утверждении записи ГПЗ, используемый при проведении закупки.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Руководитель ЦОУЗ: </w:t>
      </w:r>
      <w:r w:rsidDel="00000000" w:rsidR="00000000" w:rsidRPr="00000000">
        <w:rPr>
          <w:rtl w:val="0"/>
        </w:rPr>
        <w:t xml:space="preserve">Директор Дирекции по закупкам и капитальному строительству ПАО «Компания 1».</w:t>
      </w:r>
    </w:p>
    <w:p w:rsidR="00000000" w:rsidDel="00000000" w:rsidP="00000000" w:rsidRDefault="00000000" w:rsidRPr="00000000" w14:paraId="00000064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сопутствующие товары:</w:t>
      </w:r>
      <w:r w:rsidDel="00000000" w:rsidR="00000000" w:rsidRPr="00000000">
        <w:rPr>
          <w:rtl w:val="0"/>
        </w:rPr>
        <w:t xml:space="preserve"> товары народного потребления для реализации физическим лицам на объектах розничной сети АЗС и корпоративным клиентам в дополнение к основному товару (нефтепродуктам).</w:t>
      </w:r>
    </w:p>
    <w:p w:rsidR="00000000" w:rsidDel="00000000" w:rsidP="00000000" w:rsidRDefault="00000000" w:rsidRPr="00000000" w14:paraId="00000065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товары АХН:</w:t>
      </w:r>
      <w:r w:rsidDel="00000000" w:rsidR="00000000" w:rsidRPr="00000000">
        <w:rPr>
          <w:rtl w:val="0"/>
        </w:rPr>
        <w:t xml:space="preserve"> товары административно-хозяйственного назначения, не используемые в ПАО «Компания 1» и Обществах Компания 1 в производственной деятельности.</w:t>
      </w:r>
    </w:p>
    <w:p w:rsidR="00000000" w:rsidDel="00000000" w:rsidP="00000000" w:rsidRDefault="00000000" w:rsidRPr="00000000" w14:paraId="00000066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Примечание: при планировании закупок сопутствующие товары для реализации потребителям на объектах розничной сети автозаправочных станций следует относить к категории товаров АХН.   </w:t>
      </w:r>
    </w:p>
    <w:p w:rsidR="00000000" w:rsidDel="00000000" w:rsidP="00000000" w:rsidRDefault="00000000" w:rsidRPr="00000000" w14:paraId="00000067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утвержденный Годовой план закупок (утвержденный ГПЗ): </w:t>
      </w:r>
      <w:r w:rsidDel="00000000" w:rsidR="00000000" w:rsidRPr="00000000">
        <w:rPr>
          <w:rtl w:val="0"/>
        </w:rPr>
        <w:t xml:space="preserve">годовой план закупок, утверждённый руководителем ЦОУЗ.</w:t>
      </w:r>
    </w:p>
    <w:p w:rsidR="00000000" w:rsidDel="00000000" w:rsidP="00000000" w:rsidRDefault="00000000" w:rsidRPr="00000000" w14:paraId="00000068">
      <w:pPr>
        <w:tabs>
          <w:tab w:val="left" w:leader="none" w:pos="8789"/>
        </w:tabs>
        <w:spacing w:after="120" w:before="120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Центральный орган управления закупками (ЦОУЗ): </w:t>
      </w:r>
      <w:r w:rsidDel="00000000" w:rsidR="00000000" w:rsidRPr="00000000">
        <w:rPr>
          <w:rtl w:val="0"/>
        </w:rPr>
        <w:t xml:space="preserve">Дирекция по закупкам и капитальному строительству ПАО «Компания 1».</w:t>
      </w:r>
    </w:p>
    <w:p w:rsidR="00000000" w:rsidDel="00000000" w:rsidP="00000000" w:rsidRDefault="00000000" w:rsidRPr="00000000" w14:paraId="00000069">
      <w:pPr>
        <w:tabs>
          <w:tab w:val="left" w:leader="none" w:pos="8789"/>
        </w:tabs>
        <w:ind w:firstLine="28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Примечание - иные термины и сокращения определены в Положении о закупках товаров, работ, услуг ПАО «Компания 1».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34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 и структура процесса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Цели процесса «Формирование Годового плана закупок»: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89"/>
        </w:tabs>
        <w:spacing w:after="120" w:before="120" w:line="24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формирование консолидированного ГПЗ ПАО 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и Обществ 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89"/>
        </w:tabs>
        <w:spacing w:after="120" w:before="120" w:line="24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своевременная актуализация ГПЗ ПАО «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и/или Обществ 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Задачами процесса «Формирование Годового плана закупок» являются: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89"/>
        </w:tabs>
        <w:spacing w:after="120" w:before="120" w:line="24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установление единых правил планирования закупок в Компании и Обществах 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89"/>
        </w:tabs>
        <w:spacing w:after="120" w:before="120" w:line="24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формирование единых требований к документальному сопровождению процессов планирования закупок в Компании и Обществах 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формирования и корректировки ГПЗ, а также согласования и утверждения ГПЗ и корректировок ГПЗ в Компании и Обществах </w:t>
      </w:r>
      <w:r w:rsidDel="00000000" w:rsidR="00000000" w:rsidRPr="00000000">
        <w:rPr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Участники и исполнители процесса указаны в таблице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tbl>
      <w:tblPr>
        <w:tblStyle w:val="Table2"/>
        <w:tblW w:w="9339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004"/>
        <w:tblGridChange w:id="0">
          <w:tblGrid>
            <w:gridCol w:w="2335"/>
            <w:gridCol w:w="7004"/>
          </w:tblGrid>
        </w:tblGridChange>
      </w:tblGrid>
      <w:tr>
        <w:trPr>
          <w:cantSplit w:val="0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Участники процесса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ДПОиМ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Департамент планирования, отчетности и методологии Дирекции по закупкам и капитальному строительству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ЕОЛ (Единое ответственное лицо)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структурного подразделения ЦОУЗ, курирующего вопросы закупочной деятельности определенного Блока / направления: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ЕОЛ БРД: Начальник Департамента закупок БРД ДЗиКС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ЕОЛ БЛПС: Начальник Департамента закупок БЛПС ДЗиКС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ЕОЛ ДРП: Начальник Управления Закупок ДРП ДЗиКС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ЕОЛ МТР: Начальник Департамента МТО ДЗиКС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Структурное подразделение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 или Общество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Блока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Блока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 или руководитель структурного подразделения прямого подчинения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ЦОУЗ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9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Центрального органа управления закупками (Директор Дирекции по закупкам и капитальному строительству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»)</w:t>
            </w:r>
          </w:p>
        </w:tc>
      </w:tr>
    </w:tbl>
    <w:p w:rsidR="00000000" w:rsidDel="00000000" w:rsidP="00000000" w:rsidRDefault="00000000" w:rsidRPr="00000000" w14:paraId="00000083">
      <w:pPr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340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выполнения процесса «Формирование Годового плана закупок»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Общие требования к процессу</w:t>
      </w:r>
    </w:p>
    <w:p w:rsidR="00000000" w:rsidDel="00000000" w:rsidP="00000000" w:rsidRDefault="00000000" w:rsidRPr="00000000" w14:paraId="00000086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Планирование закупок осуществляется в АС «Планирование» посредством формирования, согласования, утверждения и внесения изменений в ГПЗ.</w:t>
      </w:r>
    </w:p>
    <w:p w:rsidR="00000000" w:rsidDel="00000000" w:rsidP="00000000" w:rsidRDefault="00000000" w:rsidRPr="00000000" w14:paraId="00000087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Закупки, не предусмотренные утвержденным ГПЗ, не могут быть осуществлены, за исключением случаев, описанных в п. 5.1.3-5.1.5.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80" w:line="240" w:lineRule="auto"/>
        <w:ind w:left="0" w:right="0" w:firstLine="34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Закупка товаров, работ, услуг, неразрывно связанная с ранее заключенным договором, которая проводится посредством процедуры согласования решения о заключении дополнительного соглашения, не подлежит включению в ГПЗ. В случае наличия признаков новой закупки в объеме поставляемых товаров, выполняемых работ / оказываемых услуг по дополнительному соглашению, такая закупка подлежит оформлению самостоятельной закупочной процедурой – конкурентной или (при наличии оснований) неконкурентной.</w:t>
      </w:r>
    </w:p>
    <w:p w:rsidR="00000000" w:rsidDel="00000000" w:rsidP="00000000" w:rsidRDefault="00000000" w:rsidRPr="00000000" w14:paraId="00000089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В ГПЗ могут не включаться сведения о планируемых малостоящих закупках.</w:t>
      </w:r>
    </w:p>
    <w:p w:rsidR="00000000" w:rsidDel="00000000" w:rsidP="00000000" w:rsidRDefault="00000000" w:rsidRPr="00000000" w14:paraId="0000008A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Малостоящие закупки могут осуществляться и в случае отсутствия информации о них в Утвержденном ГПЗ, если иное не определено ЦОУЗ (не доведено до Заказчиков письмами с ящика электронной почты и/или не опубликовано в разделе «Разъяснения» Интерактивного методологического ресурса).</w:t>
      </w:r>
    </w:p>
    <w:p w:rsidR="00000000" w:rsidDel="00000000" w:rsidP="00000000" w:rsidRDefault="00000000" w:rsidRPr="00000000" w14:paraId="0000008B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ЦОУЗ определяет требования к перечню обязательных сведений, подлежащих включению в ГПЗ, сроки и порядок формирования и корректировки ГПЗ.</w:t>
      </w:r>
    </w:p>
    <w:p w:rsidR="00000000" w:rsidDel="00000000" w:rsidP="00000000" w:rsidRDefault="00000000" w:rsidRPr="00000000" w14:paraId="0000008C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Обоснование потребности в закупках, включаемых в ГПЗ, а также достоверность записей ГПЗ в отношении каждой закупки относится к сфере ответственности Заказчика.</w:t>
      </w:r>
    </w:p>
    <w:p w:rsidR="00000000" w:rsidDel="00000000" w:rsidP="00000000" w:rsidRDefault="00000000" w:rsidRPr="00000000" w14:paraId="0000008D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В момент утверждения ГПЗ каждой закупке присваивается РНП, который не может быть в дальнейшем изменен, за исключением корректировок ГПЗ по основаниям (г), (д), (е), (ж) п. 5.3.4 настоящего стандарта.</w:t>
      </w:r>
    </w:p>
    <w:p w:rsidR="00000000" w:rsidDel="00000000" w:rsidP="00000000" w:rsidRDefault="00000000" w:rsidRPr="00000000" w14:paraId="0000008E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ГПЗ формируется на 1 (один) календарный год и подлежит утверждению ЦОУЗ до конца декабря года, предшествующего планируемому.</w:t>
      </w:r>
    </w:p>
    <w:p w:rsidR="00000000" w:rsidDel="00000000" w:rsidP="00000000" w:rsidRDefault="00000000" w:rsidRPr="00000000" w14:paraId="0000008F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Утвержденный ГПЗ подлежит корректировке в случаях, предусмотренных в п. 5.3 настоящего стандарта.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Организационные характеристики закупки</w:t>
      </w:r>
    </w:p>
    <w:p w:rsidR="00000000" w:rsidDel="00000000" w:rsidP="00000000" w:rsidRDefault="00000000" w:rsidRPr="00000000" w14:paraId="00000091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При формировании потребности в закупках Заказчик должен определить основные организационные характеристики для каждой из планируемых закупок, руководствуясь при этом нормами Положения о закупках, а также требованиями настоящего стандарта, в случае если не установлено иное в соответствии с п. 1.7 настоящего стандарта.</w:t>
      </w:r>
    </w:p>
    <w:p w:rsidR="00000000" w:rsidDel="00000000" w:rsidP="00000000" w:rsidRDefault="00000000" w:rsidRPr="00000000" w14:paraId="00000092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При определении организационных характеристик закупки следует учитывать, что конкурентные закупки являются более предпочтительными, чем неконкурентные; открытые конкурентные закупки – более предпочтительны, чем закрытые, а электронная форма закупки – более предпочтительна, чем закупка в бумажной форме.</w:t>
      </w:r>
    </w:p>
    <w:p w:rsidR="00000000" w:rsidDel="00000000" w:rsidP="00000000" w:rsidRDefault="00000000" w:rsidRPr="00000000" w14:paraId="00000093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Приоритетным способом конкурентной закупки является открытый конкурентный отбор в электронной форме.</w:t>
      </w:r>
    </w:p>
    <w:p w:rsidR="00000000" w:rsidDel="00000000" w:rsidP="00000000" w:rsidRDefault="00000000" w:rsidRPr="00000000" w14:paraId="00000094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Окончательное решение об организационных характеристиках планируемых закупок, а также о назначении Организаторов и Координаторов закупок принимается ЦОУЗ на этапе утверждения ГПЗ (корректировок ГПЗ).</w:t>
      </w:r>
    </w:p>
    <w:p w:rsidR="00000000" w:rsidDel="00000000" w:rsidP="00000000" w:rsidRDefault="00000000" w:rsidRPr="00000000" w14:paraId="00000095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Организационные характеристики закупки, предусмотренные соответствующей записью утвержденного ГПЗ, обязательны к соблюдению при проведении закупочной процедуры, за исключением организационных характеристик, в отношении которых не требуется оформление корректировки в порядке п. 5.3.4 настоящего стандарта</w:t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Корректировка утвержденного ГПЗ</w:t>
      </w:r>
    </w:p>
    <w:p w:rsidR="00000000" w:rsidDel="00000000" w:rsidP="00000000" w:rsidRDefault="00000000" w:rsidRPr="00000000" w14:paraId="00000097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Корректировка утвержденного ГПЗ осуществляется в АС «Планирование закупок» и предусматривает возможность формирования новой записи ГПЗ и/или изменения/исключения утвержденной ранее записи ГПЗ.</w:t>
      </w:r>
    </w:p>
    <w:p w:rsidR="00000000" w:rsidDel="00000000" w:rsidP="00000000" w:rsidRDefault="00000000" w:rsidRPr="00000000" w14:paraId="00000098">
      <w:pPr>
        <w:keepNext w:val="1"/>
        <w:widowControl w:val="0"/>
        <w:spacing w:before="160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 случае признания закупки (закупочной процедуры) несостоявшейся, отмены закупки (закупочной процедуры), завершения процедуры без заключения договора и т.п. для повторного проведения закупки (закупочной процедуры) требуется формирование новой записи ГПЗ о планируемой закупке.</w:t>
      </w:r>
    </w:p>
    <w:p w:rsidR="00000000" w:rsidDel="00000000" w:rsidP="00000000" w:rsidRDefault="00000000" w:rsidRPr="00000000" w14:paraId="00000099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Уровни согласования корректировок ГПЗ:</w:t>
      </w:r>
    </w:p>
    <w:p w:rsidR="00000000" w:rsidDel="00000000" w:rsidP="00000000" w:rsidRDefault="00000000" w:rsidRPr="00000000" w14:paraId="0000009A">
      <w:pPr>
        <w:keepNext w:val="1"/>
        <w:widowControl w:val="0"/>
        <w:spacing w:before="160" w:lineRule="auto"/>
        <w:ind w:firstLine="340"/>
        <w:jc w:val="both"/>
        <w:rPr/>
      </w:pPr>
      <w:r w:rsidDel="00000000" w:rsidR="00000000" w:rsidRPr="00000000">
        <w:rPr>
          <w:rtl w:val="0"/>
        </w:rPr>
        <w:t xml:space="preserve">а) при НМЦ предмета закупки до 1 млрд. руб. без НДС – Руководитель Блока / ЕОЛ (при наличии);</w:t>
      </w:r>
    </w:p>
    <w:p w:rsidR="00000000" w:rsidDel="00000000" w:rsidP="00000000" w:rsidRDefault="00000000" w:rsidRPr="00000000" w14:paraId="0000009B">
      <w:pPr>
        <w:keepNext w:val="1"/>
        <w:widowControl w:val="0"/>
        <w:spacing w:before="160" w:lineRule="auto"/>
        <w:ind w:firstLine="340"/>
        <w:jc w:val="both"/>
        <w:rPr/>
      </w:pPr>
      <w:r w:rsidDel="00000000" w:rsidR="00000000" w:rsidRPr="00000000">
        <w:rPr>
          <w:rtl w:val="0"/>
        </w:rPr>
        <w:t xml:space="preserve">б) при НМЦ предмета закупки равной или более 1 млрд. руб. без НДС – ДПОиМ.</w:t>
      </w:r>
    </w:p>
    <w:p w:rsidR="00000000" w:rsidDel="00000000" w:rsidP="00000000" w:rsidRDefault="00000000" w:rsidRPr="00000000" w14:paraId="0000009C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Корректировки ГПЗ направляются на согласование по мере возникновения потребности в любое время до даты инициации закупки. </w:t>
      </w:r>
    </w:p>
    <w:p w:rsidR="00000000" w:rsidDel="00000000" w:rsidP="00000000" w:rsidRDefault="00000000" w:rsidRPr="00000000" w14:paraId="0000009D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Корректировка записей ГПЗ должна осуществляться в следующих случаях: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предмета закупки / предмета договора (кроме случаев отмены потребности в первоначальной закупке);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объема закупаемых товаров (работ, услуг);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месяца инициации закупки на более поздний месяц в пределах года планирования;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способа закупки;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формы закупки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5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Организатора / Координатора закупки;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разделение на лоты / процедуры, объединение в один лот / процедуру;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кода услуги;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категории закупки;</w:t>
      </w:r>
    </w:p>
    <w:p w:rsidR="00000000" w:rsidDel="00000000" w:rsidP="00000000" w:rsidRDefault="00000000" w:rsidRPr="00000000" w14:paraId="000000A7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В случае уточнения предмета закупки / предмета договора при инициировании закупки корректировка записей ГПЗ не требуется.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1418"/>
        </w:tabs>
        <w:spacing w:after="0" w:before="80" w:line="240" w:lineRule="auto"/>
        <w:ind w:left="0" w:right="0" w:firstLine="34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Ежемесячно Заказчик проверяет факт инициации запланированных в утвержденном ГПЗ закупок. Не инициированные в рамках месяца или ранее (в пределах года планирования) закупки подлежат переносу на иной срок (в пределах года) либо исключению из ГПЗ не позднее 2 р.д. с начала месяца, следующего за месяцем, в котором планировалось инициировать закупку.  Ответственность за актуальность сведений в ГПЗ несет Заказчик.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80" w:line="240" w:lineRule="auto"/>
        <w:ind w:left="0" w:right="0" w:firstLine="34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инициированные в пределах месяца закупки, по которым Заказчиками в соответствии с п. 5.3.6 настоящего стандарта не были оформлены корректировки в ГПЗ, могут быть в одностороннем порядке исключены из ГПЗ либо перенесены на иной срок (в пределах года) по решению ЦОУЗ не позднее 5 р.д. с начала месяца, следующего за месяцем, в котором планировалось инициировать закупку.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Периоды формирования и корректировок ГПЗ</w:t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2"/>
        <w:gridCol w:w="3043"/>
        <w:gridCol w:w="3043"/>
        <w:tblGridChange w:id="0">
          <w:tblGrid>
            <w:gridCol w:w="3042"/>
            <w:gridCol w:w="3043"/>
            <w:gridCol w:w="304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tabs>
                <w:tab w:val="left" w:leader="none" w:pos="878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Этап периода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left" w:leader="none" w:pos="8789"/>
              </w:tabs>
              <w:ind w:right="2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Начало периода</w:t>
            </w:r>
            <w:r w:rsidDel="00000000" w:rsidR="00000000" w:rsidRPr="00000000">
              <w:rPr>
                <w:sz w:val="20"/>
                <w:szCs w:val="20"/>
                <w:vertAlign w:val="superscript"/>
              </w:rPr>
              <w:footnoteReference w:customMarkFollows="0"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left" w:leader="none" w:pos="8789"/>
              </w:tabs>
              <w:ind w:right="2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Завершение периода</w:t>
            </w:r>
          </w:p>
        </w:tc>
      </w:tr>
      <w:tr>
        <w:trPr>
          <w:cantSplit w:val="0"/>
          <w:trHeight w:val="11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878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Формирование ГПЗ на планируемый календарный год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tabs>
                <w:tab w:val="left" w:leader="none" w:pos="8789"/>
              </w:tabs>
              <w:ind w:lef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октября</w:t>
            </w:r>
          </w:p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8789"/>
              </w:tabs>
              <w:ind w:left="-107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года, предшествующего планируемому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tabs>
                <w:tab w:val="left" w:leader="none" w:pos="8789"/>
              </w:tabs>
              <w:ind w:lef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 31 декабря</w:t>
            </w:r>
          </w:p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8789"/>
              </w:tabs>
              <w:ind w:right="2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года, предшествующего планируемому включительно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878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Корректировка  утвержденного ГПЗ на текущий календарный год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tabs>
                <w:tab w:val="left" w:leader="none" w:pos="8789"/>
              </w:tabs>
              <w:ind w:lef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января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tabs>
                <w:tab w:val="left" w:leader="none" w:pos="8789"/>
              </w:tabs>
              <w:ind w:lef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 31 декабря </w:t>
            </w:r>
          </w:p>
          <w:p w:rsidR="00000000" w:rsidDel="00000000" w:rsidP="00000000" w:rsidRDefault="00000000" w:rsidRPr="00000000" w14:paraId="000000B8">
            <w:pPr>
              <w:keepNext w:val="1"/>
              <w:keepLines w:val="1"/>
              <w:tabs>
                <w:tab w:val="left" w:leader="none" w:pos="8789"/>
              </w:tabs>
              <w:ind w:lef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года планирования включительно</w:t>
            </w:r>
          </w:p>
        </w:tc>
      </w:tr>
    </w:tbl>
    <w:p w:rsidR="00000000" w:rsidDel="00000000" w:rsidP="00000000" w:rsidRDefault="00000000" w:rsidRPr="00000000" w14:paraId="000000B9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По решению ЦОУЗ периоды планирования, предусмотренные в Таблице 2 настоящего стандарта, могут быть уточнены.</w:t>
      </w:r>
    </w:p>
    <w:p w:rsidR="00000000" w:rsidDel="00000000" w:rsidP="00000000" w:rsidRDefault="00000000" w:rsidRPr="00000000" w14:paraId="000000BA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Согласование ГПЗ осуществляется в соответствии с моделью выполнения процесса, представленной на Рисунке 1 к настоящему стандарту.</w:t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80" w:line="240" w:lineRule="auto"/>
        <w:ind w:left="0" w:right="0" w:firstLine="28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Утверждение скорректированного ГПЗ с учетом внесенных в рамках года планирования корректировок осуществляется не позднее 5-го рабочего дня января года, следующего за годом планирования.</w:t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Модель выполнения процесса представлена на Рисунке 1.</w:t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Общая продолжительность процесса: не регламентирована.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53100" cy="7134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16964" r="-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37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7" w:type="default"/>
          <w:footerReference r:id="rId18" w:type="default"/>
          <w:pgSz w:h="16839" w:w="11907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1. Модель процесса «03.02.01 Формирование Годового плана закупок»</w:t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Взаимосвязь со смежными процессами/подпроцессами</w:t>
      </w:r>
    </w:p>
    <w:p w:rsidR="00000000" w:rsidDel="00000000" w:rsidP="00000000" w:rsidRDefault="00000000" w:rsidRPr="00000000" w14:paraId="000000C3">
      <w:pPr>
        <w:keepNext w:val="1"/>
        <w:widowControl w:val="0"/>
        <w:numPr>
          <w:ilvl w:val="2"/>
          <w:numId w:val="5"/>
        </w:numPr>
        <w:spacing w:before="160" w:lineRule="auto"/>
        <w:ind w:left="0" w:firstLine="340"/>
        <w:jc w:val="both"/>
        <w:rPr/>
      </w:pPr>
      <w:r w:rsidDel="00000000" w:rsidR="00000000" w:rsidRPr="00000000">
        <w:rPr>
          <w:rtl w:val="0"/>
        </w:rPr>
        <w:t xml:space="preserve">Взаимосвязь со смежными процессами/подпроцессами указана в таблице 3.</w:t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3</w:t>
      </w:r>
    </w:p>
    <w:tbl>
      <w:tblPr>
        <w:tblStyle w:val="Table4"/>
        <w:tblW w:w="9339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"/>
        <w:gridCol w:w="2802"/>
        <w:gridCol w:w="2802"/>
        <w:gridCol w:w="2802"/>
        <w:tblGridChange w:id="0">
          <w:tblGrid>
            <w:gridCol w:w="933"/>
            <w:gridCol w:w="2802"/>
            <w:gridCol w:w="2802"/>
            <w:gridCol w:w="280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Номер и наименование смежного процесса/подпроцесса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Внешний вход (из смежного процесса/подпроцесса)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Внешний выход (в смежный процесс/подпроцесс)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Формирование Годового плана закупок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03.03.01 Проведение конкурентных закупок товаров, работ, услуг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45" w:before="45" w:lineRule="auto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Получается из смежного процесса/подпроцесса: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45" w:before="45" w:lineRule="auto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Передается в смежный процесс/подпроцесс: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Запись в утвержденном ГПЗ - информация в свободной форме.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03.03.02 Проведение неконкурентных закупок товаров, работ, услуг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45" w:before="45" w:lineRule="auto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Получается из смежного процесса/подпроцесса: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45" w:before="45" w:lineRule="auto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Передается в смежный процесс/подпроцесс: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Запись в утвержденном ГПЗ - информация в свободной форме.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03.04.01 Формирование отчетности по закупочной деятельности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45" w:before="45" w:lineRule="auto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Получается из смежного процесса/подпроцесса: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45" w:before="45" w:lineRule="auto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Передается в смежный процесс/подпроцесс: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Консолидированный  ГПЗ (утвержден руководителем  ЦОУЗ) - запись в ИС.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08.02.01 Подготовка, согласование, подписание и регистрация договорных документов в системе электронного документооборота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45" w:before="45" w:lineRule="auto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Получается из смежного процесса/подпроцесса: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45" w:before="45" w:lineRule="auto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Передается в смежный процесс/подпроцесс: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Запись в утвержденном ГПЗ - информация в свободной форме.</w:t>
            </w:r>
          </w:p>
        </w:tc>
      </w:tr>
    </w:tbl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Порядок выполнения процесса «Формирование Годового плана закупок»</w:t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4</w:t>
      </w:r>
    </w:p>
    <w:tbl>
      <w:tblPr>
        <w:tblStyle w:val="Table5"/>
        <w:tblW w:w="9339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4"/>
        <w:gridCol w:w="7845"/>
        <w:tblGridChange w:id="0">
          <w:tblGrid>
            <w:gridCol w:w="1494"/>
            <w:gridCol w:w="784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c4de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  <w:rtl w:val="0"/>
              </w:rPr>
              <w:t xml:space="preserve">01 Формирование и согласование проекта ГПЗ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  <w:rtl w:val="0"/>
              </w:rPr>
              <w:t xml:space="preserve">Исполнитель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  <w:rtl w:val="0"/>
              </w:rPr>
              <w:t xml:space="preserve">Заказчик - ответственный за выполнение;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  <w:rtl w:val="0"/>
              </w:rPr>
              <w:t xml:space="preserve">ЕОЛ - является согласующим;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  <w:rtl w:val="0"/>
              </w:rPr>
              <w:t xml:space="preserve">Руководитель Блока - является согласующим;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Вход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Выполняет если: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 Объявлен старт формирования ГПЗ.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Использует: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 Информация  об открытии периода формирования ГПЗ (Ш-03.02.01-01).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ИТ-системы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Выполнение данной операции осуществляется с применением бизнес-решений(ия):</w:t>
              <w:br w:type="textWrapping"/>
              <w:t xml:space="preserve"> - АС Планирования закупок.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Требования к операции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1134"/>
                <w:tab w:val="left" w:leader="none" w:pos="8789"/>
              </w:tabs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Заказчик</w:t>
            </w:r>
            <w:r w:rsidDel="00000000" w:rsidR="00000000" w:rsidRPr="00000000">
              <w:rPr>
                <w:i w:val="1"/>
                <w:sz w:val="20"/>
                <w:szCs w:val="20"/>
                <w:vertAlign w:val="superscript"/>
              </w:rPr>
              <w:footnoteReference w:customMarkFollows="0" w:id="7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формирует перечень планируемых для его нужд закупок товаров / работ / услуг на предстоящий календарный год, указывая необходимые организационные характеристики закупки, с приложением следующих документов</w:t>
            </w:r>
            <w:r w:rsidDel="00000000" w:rsidR="00000000" w:rsidRPr="00000000">
              <w:rPr>
                <w:sz w:val="20"/>
                <w:szCs w:val="20"/>
                <w:vertAlign w:val="superscript"/>
              </w:rPr>
              <w:footnoteReference w:customMarkFollows="0" w:id="8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1134"/>
                <w:tab w:val="left" w:leader="none" w:pos="8789"/>
              </w:tabs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обязательный - расчет НМЦ с приложением обосновывающих документов</w:t>
            </w:r>
            <w:r w:rsidDel="00000000" w:rsidR="00000000" w:rsidRPr="00000000">
              <w:rPr>
                <w:sz w:val="20"/>
                <w:szCs w:val="20"/>
                <w:vertAlign w:val="superscript"/>
              </w:rPr>
              <w:footnoteReference w:customMarkFollows="0" w:id="9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1134"/>
                <w:tab w:val="left" w:leader="none" w:pos="8789"/>
              </w:tabs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Перечень может быть уточнен по решению ЕОЛ, ДПОиМ, Руководителя Блока из числа документов, перечисленных ниже.</w:t>
            </w:r>
          </w:p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1134"/>
                <w:tab w:val="left" w:leader="none" w:pos="8789"/>
              </w:tabs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необязательные: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1"/>
                <w:tab w:val="left" w:leader="none" w:pos="8789"/>
              </w:tabs>
              <w:spacing w:after="120" w:before="120" w:line="240" w:lineRule="auto"/>
              <w:ind w:left="1224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техническое задание (Ш-03.03.01.01-01)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  <w:footnoteReference w:customMarkFollows="0" w:id="10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1"/>
                <w:tab w:val="left" w:leader="none" w:pos="8789"/>
              </w:tabs>
              <w:spacing w:after="120" w:before="120" w:line="240" w:lineRule="auto"/>
              <w:ind w:left="911" w:right="0" w:hanging="4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пояснительная записка с указанием: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1"/>
                <w:tab w:val="left" w:leader="none" w:pos="8789"/>
              </w:tabs>
              <w:spacing w:after="120" w:before="120" w:line="240" w:lineRule="auto"/>
              <w:ind w:left="1331" w:right="0" w:hanging="425.9999999999999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обоснования принятых цен и способа определения НМЦ закупки (в виде отдельного документа, либо в файле НМЦ),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1"/>
                <w:tab w:val="left" w:leader="none" w:pos="8789"/>
              </w:tabs>
              <w:spacing w:after="120" w:before="120" w:line="240" w:lineRule="auto"/>
              <w:ind w:left="1331" w:right="0" w:hanging="425.9999999999999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обоснования потребности в закупке (при необходимости),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1"/>
                <w:tab w:val="left" w:leader="none" w:pos="8789"/>
              </w:tabs>
              <w:spacing w:after="120" w:before="120" w:line="240" w:lineRule="auto"/>
              <w:ind w:left="1308" w:right="0" w:hanging="4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обоснования способа неконкурентной закупки, с приложением обосновывающих документов, в случаях, предусмотренных Разделами 16, 17 Положения о закупках товаров, работ, услуг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»,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1"/>
                <w:tab w:val="left" w:leader="none" w:pos="8789"/>
              </w:tabs>
              <w:spacing w:after="120" w:before="120" w:line="240" w:lineRule="auto"/>
              <w:ind w:left="1331" w:right="0" w:hanging="425.9999999999999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обоснования закрытой формы закупки,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1"/>
                <w:tab w:val="left" w:leader="none" w:pos="8789"/>
              </w:tabs>
              <w:spacing w:after="120" w:before="120" w:line="240" w:lineRule="auto"/>
              <w:ind w:left="1331" w:right="0" w:hanging="425.9999999999999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иной информации (по решению Заказчика).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1"/>
                <w:tab w:val="left" w:leader="none" w:pos="8789"/>
              </w:tabs>
              <w:spacing w:after="120" w:before="120" w:line="240" w:lineRule="auto"/>
              <w:ind w:left="911" w:right="0" w:hanging="4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дополнительные документы (по решению Заказчика).</w:t>
            </w:r>
          </w:p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1134"/>
                <w:tab w:val="left" w:leader="none" w:pos="8789"/>
              </w:tabs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 Сформированный и согласованный руководителем Заказчика перечень планируемых закупок подлежит согласованию с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ЕОЛ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(при наличии ЕОЛ) 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Руководителем Блока</w:t>
            </w:r>
            <w:r w:rsidDel="00000000" w:rsidR="00000000" w:rsidRPr="00000000">
              <w:rPr>
                <w:i w:val="1"/>
                <w:sz w:val="20"/>
                <w:szCs w:val="20"/>
                <w:vertAlign w:val="superscript"/>
              </w:rPr>
              <w:footnoteReference w:customMarkFollows="0" w:id="11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соблюдением следующей последовательности: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13" w:right="0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ЕОЛ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(при наличии);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13" w:right="0" w:hanging="4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Блока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или лицо, уполномоченное Руководителем Блока. 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03. При наличии замечаний у согласующих перечень планируемых закупок направляется на доработку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Выход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Завершено если: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После завершения данной операции переход к выполнению операции 02 Формирование проекта консолидированного ГПЗ.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Результаты: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 Проект ГПЗ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 (согласован) - запись в АС «Планирование закупок»;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02. Проекты ГПЗ Обществ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(согласованы) - запись в АС «Планирование закупок».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соответствии со сроками, доведенными ЦОУЗ.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c4de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  <w:rtl w:val="0"/>
              </w:rPr>
              <w:t xml:space="preserve">02 Формирование проекта консолидированного ГПЗ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  <w:rtl w:val="0"/>
              </w:rPr>
              <w:t xml:space="preserve">Исполнитель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  <w:rtl w:val="0"/>
              </w:rPr>
              <w:t xml:space="preserve">ДПОиМ - ответственный за выполнение.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Вход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Использует: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 Проект ГПЗ ПАО «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 (согласован) - запись в АС «Планирование закупок»;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02. Проекты ГПЗ Обществ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(согласованы) - запись в АС «Планирование закупок».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ИТ-системы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Выполнение данной операции осуществляется с применением бизнес-решений(ия):</w:t>
              <w:br w:type="textWrapping"/>
              <w:t xml:space="preserve"> - АС Планирования закупок.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Требования к операции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tabs>
                <w:tab w:val="left" w:leader="none" w:pos="1134"/>
                <w:tab w:val="left" w:leader="none" w:pos="8789"/>
              </w:tabs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01.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ДПОиМ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осуществляет консолидацию полученных сведений и формирует проект консолидированного ГПЗ ПАО «Компания 1» и Обществ Компания 1.</w:t>
            </w:r>
          </w:p>
          <w:p w:rsidR="00000000" w:rsidDel="00000000" w:rsidP="00000000" w:rsidRDefault="00000000" w:rsidRPr="00000000" w14:paraId="0000011B">
            <w:pPr>
              <w:widowControl w:val="0"/>
              <w:tabs>
                <w:tab w:val="left" w:leader="none" w:pos="1134"/>
                <w:tab w:val="left" w:leader="none" w:pos="8789"/>
              </w:tabs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При наличии замечаний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ДПОиМ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вправе направить проекты ГПЗ ПАО «Компания 1» и Обществ Компания 1 на доработку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Заказчику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C">
            <w:pPr>
              <w:widowControl w:val="0"/>
              <w:tabs>
                <w:tab w:val="left" w:leader="none" w:pos="1134"/>
                <w:tab w:val="left" w:leader="none" w:pos="8789"/>
              </w:tabs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ДПОиМ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направляет проект консолидированного ГПЗ на утверждение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Руководителю ЦОУЗ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Выход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Завершено если: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После завершения данной операции переход к выполнению операции 03 Утверждение консолидированного ГПЗ.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Результаты: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 Консолидированный ГПЗ (проект передан на утверждение) - запись в АС «Планирование закупок»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соответствии со сроками, доведенными ЦОУЗ.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c4de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  <w:rtl w:val="0"/>
              </w:rPr>
              <w:t xml:space="preserve">03 Утверждение  консолидированного ГПЗ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  <w:rtl w:val="0"/>
              </w:rPr>
              <w:t xml:space="preserve">Исполнитель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cccc" w:val="clear"/>
                <w:vertAlign w:val="baseline"/>
                <w:rtl w:val="0"/>
              </w:rPr>
              <w:t xml:space="preserve">Руководитель ЦОУЗ - ответственный за выполнение.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Вход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Использует: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 Консолидированный  ГПЗ (проект передан на утверждение) - запись в АС «Планирование закупок».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ИТ-системы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Выполнение данной операции осуществляется с применением бизнес-решений(ия):</w:t>
              <w:br w:type="textWrapping"/>
              <w:t xml:space="preserve"> - АС Планирования закупок.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Требования к операции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Руководитель ЦОУЗ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утверждает консолидированный ГПЗ.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Выход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Завершено если: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 Консолидированный ГПЗ утвержден Руководителем ЦОУЗ, переход к выполнению процесса 03.04.01 Формирование отчетности по закупочной деятельности И процесса 08.02.01 Подготовка, согласование, подписание и регистрация договорных документов в системе электронного документооборота И процесса 03.03.02 Проведение неконкурентных закупок товаров, работ, услуг И процесса 03.03.01 Проведение конкурентных закупок товаров, работ, услуг.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Результаты: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 Запись в утвержденном ГПЗ - информация в свободной форме;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02. Консолидированный  ГПЗ (утвержден руководителем  ЦОУЗ) - запись в АС «Планирование закупок».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 позднее 31 декабря года, предшествующего планируемому.</w:t>
            </w:r>
          </w:p>
        </w:tc>
      </w:tr>
    </w:tbl>
    <w:p w:rsidR="00000000" w:rsidDel="00000000" w:rsidP="00000000" w:rsidRDefault="00000000" w:rsidRPr="00000000" w14:paraId="00000139">
      <w:pPr>
        <w:rPr/>
        <w:sectPr>
          <w:type w:val="nextPage"/>
          <w:pgSz w:h="16839" w:w="11907" w:orient="portrait"/>
          <w:pgMar w:bottom="1134" w:top="1134" w:left="1701" w:right="850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keepLines w:val="1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Матрица ответственности по процессу «Формирование Годового плана закупок»</w:t>
      </w:r>
    </w:p>
    <w:p w:rsidR="00000000" w:rsidDel="00000000" w:rsidP="00000000" w:rsidRDefault="00000000" w:rsidRPr="00000000" w14:paraId="000001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5. Закрепление ответственности за выполнение операций.</w:t>
      </w:r>
    </w:p>
    <w:tbl>
      <w:tblPr>
        <w:tblStyle w:val="Table6"/>
        <w:tblW w:w="9621.99999999999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5954"/>
        <w:gridCol w:w="568"/>
        <w:gridCol w:w="708"/>
        <w:gridCol w:w="708"/>
        <w:gridCol w:w="568"/>
        <w:gridCol w:w="558"/>
        <w:tblGridChange w:id="0">
          <w:tblGrid>
            <w:gridCol w:w="558"/>
            <w:gridCol w:w="5954"/>
            <w:gridCol w:w="568"/>
            <w:gridCol w:w="708"/>
            <w:gridCol w:w="708"/>
            <w:gridCol w:w="568"/>
            <w:gridCol w:w="558"/>
          </w:tblGrid>
        </w:tblGridChange>
      </w:tblGrid>
      <w:tr>
        <w:trPr>
          <w:cantSplit w:val="0"/>
          <w:trHeight w:val="1549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c4de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c4de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  <w:rtl w:val="0"/>
              </w:rPr>
              <w:t xml:space="preserve">Наименование операции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c4de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  <w:rtl w:val="0"/>
              </w:rPr>
              <w:t xml:space="preserve">ДПОиМ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c4de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  <w:rtl w:val="0"/>
              </w:rPr>
              <w:t xml:space="preserve">Руководитель Блока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c4de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  <w:rtl w:val="0"/>
              </w:rPr>
              <w:t xml:space="preserve">Руководитель ЦОУЗ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c4de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  <w:rtl w:val="0"/>
              </w:rPr>
              <w:t xml:space="preserve">ЕОЛ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c4de" w:val="clear"/>
            <w:tcMar>
              <w:top w:w="0.0" w:type="dxa"/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0c4de" w:val="clear"/>
                <w:vertAlign w:val="baseline"/>
                <w:rtl w:val="0"/>
              </w:rPr>
              <w:t xml:space="preserve">Заказчик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Формирование и согласование проекта ГПЗ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Формирование проекта консолидированного ГПЗ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Утверждение  консолидированного ГПЗ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Обозначение типов связей: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 – ответственный за выполнение, С – является согласующим</w:t>
            </w:r>
          </w:p>
        </w:tc>
      </w:tr>
    </w:tbl>
    <w:p w:rsidR="00000000" w:rsidDel="00000000" w:rsidP="00000000" w:rsidRDefault="00000000" w:rsidRPr="00000000" w14:paraId="00000160">
      <w:pPr>
        <w:rPr/>
        <w:sectPr>
          <w:type w:val="nextPage"/>
          <w:pgSz w:h="16839" w:w="11907" w:orient="portrait"/>
          <w:pgMar w:bottom="1701" w:top="850" w:left="1134" w:right="1134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2085"/>
        </w:tabs>
        <w:rPr/>
        <w:sectPr>
          <w:type w:val="nextPage"/>
          <w:pgSz w:h="16839" w:w="11907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40" w:right="0" w:firstLine="34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1 (рекомендуемое)</w:t>
      </w:r>
    </w:p>
    <w:p w:rsidR="00000000" w:rsidDel="00000000" w:rsidP="00000000" w:rsidRDefault="00000000" w:rsidRPr="00000000" w14:paraId="0000016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160" w:line="240" w:lineRule="auto"/>
        <w:ind w:left="0" w:right="0" w:firstLine="34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Примеры расчета начальной максимальной цены (НМЦ)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ind w:firstLine="340"/>
        <w:jc w:val="both"/>
        <w:rPr/>
      </w:pPr>
      <w:r w:rsidDel="00000000" w:rsidR="00000000" w:rsidRPr="00000000">
        <w:rPr>
          <w:rtl w:val="0"/>
        </w:rPr>
        <w:t xml:space="preserve">Настоящие примеры могут быть изменены участником процесса при выполнении расчета начальной максимальной цены (НМЦ).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40" w:right="0" w:firstLine="3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5" style="width:76.5pt;height:49.5pt" o:ole="" type="#_x0000_t75">
            <v:imagedata r:id="rId1" o:title=""/>
          </v:shape>
          <o:OLEObject DrawAspect="Icon" r:id="rId2" ObjectID="_1716274296" ProgID="Excel.Sheet.12" ShapeID="_x0000_i1025" Type="Embed"/>
        </w:pic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34" style="width:76.5pt;height:49.5pt" o:ole="" type="#_x0000_t75">
            <v:imagedata r:id="rId3" o:title=""/>
          </v:shape>
          <o:OLEObject DrawAspect="Icon" r:id="rId4" ObjectID="_1716274297" ProgID="Excel.Sheet.12" ShapeID="_x0000_i1034" Type="Embed"/>
        </w:pic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7" style="width:76.5pt;height:49.5pt" o:ole="" type="#_x0000_t75">
            <v:imagedata r:id="rId5" o:title=""/>
          </v:shape>
          <o:OLEObject DrawAspect="Icon" r:id="rId6" ObjectID="_1716274298" ProgID="Excel.Sheet.12" ShapeID="_x0000_i1027" Type="Embed"/>
        </w:pic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38" style="width:76.5pt;height:50.25pt" o:ole="" type="#_x0000_t75">
            <v:imagedata r:id="rId7" o:title=""/>
          </v:shape>
          <o:OLEObject DrawAspect="Icon" r:id="rId8" ObjectID="_1716274299" ProgID="Excel.Sheet.12" ShapeID="_x0000_i1038" Type="Embed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40" w:right="0" w:firstLine="34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Библиография</w:t>
      </w:r>
    </w:p>
    <w:p w:rsidR="00000000" w:rsidDel="00000000" w:rsidP="00000000" w:rsidRDefault="00000000" w:rsidRPr="00000000" w14:paraId="0000016B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40" w:right="0" w:hanging="104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Федеральный закон от 18.07.2011 № 223-ФЗ «О закупках товаров, работ, услуг отдельными видами юридических лиц»</w:t>
      </w:r>
    </w:p>
    <w:p w:rsidR="00000000" w:rsidDel="00000000" w:rsidP="00000000" w:rsidRDefault="00000000" w:rsidRPr="00000000" w14:paraId="0000016C">
      <w:pPr>
        <w:rPr/>
        <w:sectPr>
          <w:type w:val="continuous"/>
          <w:pgSz w:h="16839" w:w="11907" w:orient="portrait"/>
          <w:pgMar w:bottom="1134" w:top="1134" w:left="1701" w:right="851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40" w:right="0" w:firstLine="34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История изменений документа</w:t>
      </w:r>
    </w:p>
    <w:p w:rsidR="00000000" w:rsidDel="00000000" w:rsidP="00000000" w:rsidRDefault="00000000" w:rsidRPr="00000000" w14:paraId="0000016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16.499999999999773" w:tblpY="135"/>
        <w:tblW w:w="932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93"/>
        <w:gridCol w:w="1560"/>
        <w:gridCol w:w="3969"/>
        <w:gridCol w:w="2100"/>
        <w:tblGridChange w:id="0">
          <w:tblGrid>
            <w:gridCol w:w="1693"/>
            <w:gridCol w:w="1560"/>
            <w:gridCol w:w="3969"/>
            <w:gridCol w:w="21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tabs>
                <w:tab w:val="left" w:leader="none" w:pos="284"/>
              </w:tabs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 </w:t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left" w:leader="none" w:pos="284"/>
              </w:tabs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leader="none" w:pos="284"/>
              </w:tabs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изменений/разработан взамен </w:t>
            </w:r>
          </w:p>
        </w:tc>
        <w:tc>
          <w:tcPr/>
          <w:p w:rsidR="00000000" w:rsidDel="00000000" w:rsidP="00000000" w:rsidRDefault="00000000" w:rsidRPr="00000000" w14:paraId="00000172">
            <w:pPr>
              <w:tabs>
                <w:tab w:val="left" w:leader="none" w:pos="284"/>
              </w:tabs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284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30.06.2020</w:t>
            </w:r>
          </w:p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284"/>
              </w:tabs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left" w:leader="none" w:pos="284"/>
              </w:tabs>
              <w:spacing w:after="60" w:before="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left" w:leader="none" w:pos="284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Начальная версия. Для обсуждения и согласования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284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Иващишин В.В., </w:t>
            </w:r>
          </w:p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284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Начальник Управления методологии Департамента планирования, отчетности и методологии </w:t>
            </w:r>
          </w:p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284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ПАО «Компания 1»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284"/>
              </w:tabs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09.07.2021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left" w:leader="none" w:pos="284"/>
              </w:tabs>
              <w:spacing w:after="60" w:before="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left" w:leader="none" w:pos="284"/>
              </w:tabs>
              <w:spacing w:after="60" w:before="60" w:lineRule="auto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Внесение изменений в разделы 1-5 стандарта, модель процесса, шаблоны и приложения к стандарту в связи с актуализацией применяемых терминов, изменением подходов к процессу формирования Годового плана закупок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284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Жидкова В.В., </w:t>
            </w:r>
          </w:p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284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Начальник Управления методологии Департамента планирования, отчетности и методологии </w:t>
            </w:r>
          </w:p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284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ПАО «Компания 1»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284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25.05.2022</w:t>
            </w:r>
          </w:p>
        </w:tc>
        <w:tc>
          <w:tcPr/>
          <w:p w:rsidR="00000000" w:rsidDel="00000000" w:rsidP="00000000" w:rsidRDefault="00000000" w:rsidRPr="00000000" w14:paraId="00000181">
            <w:pPr>
              <w:tabs>
                <w:tab w:val="left" w:leader="none" w:pos="284"/>
              </w:tabs>
              <w:spacing w:after="60" w:before="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182">
            <w:pPr>
              <w:tabs>
                <w:tab w:val="left" w:leader="none" w:pos="284"/>
              </w:tabs>
              <w:spacing w:after="60" w:before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Внесение изменений в разделы 1-5 стандарта и приложения, исключены шаблоны к стандарту в связи с актуализацией применяемых терминов, изменением подходов к процессу формирования Годового плана закупок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284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Жидкова В.В., </w:t>
            </w:r>
          </w:p>
          <w:p w:rsidR="00000000" w:rsidDel="00000000" w:rsidP="00000000" w:rsidRDefault="00000000" w:rsidRPr="00000000" w14:paraId="00000184">
            <w:pPr>
              <w:widowControl w:val="0"/>
              <w:tabs>
                <w:tab w:val="left" w:leader="none" w:pos="284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Начальник Управления методологии Департамента планирования, отчетности и методологии </w:t>
            </w:r>
          </w:p>
          <w:p w:rsidR="00000000" w:rsidDel="00000000" w:rsidP="00000000" w:rsidRDefault="00000000" w:rsidRPr="00000000" w14:paraId="00000185">
            <w:pPr>
              <w:widowControl w:val="0"/>
              <w:tabs>
                <w:tab w:val="left" w:leader="none" w:pos="284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ПАО «Компания 1»</w:t>
            </w:r>
          </w:p>
        </w:tc>
      </w:tr>
    </w:tbl>
    <w:p w:rsidR="00000000" w:rsidDel="00000000" w:rsidP="00000000" w:rsidRDefault="00000000" w:rsidRPr="00000000" w14:paraId="00000186">
      <w:pPr>
        <w:rPr/>
        <w:sectPr>
          <w:type w:val="nextPage"/>
          <w:pgSz w:h="16839" w:w="11907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9" w:w="11907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6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За исключением чрезвычайных/нестандартных ситуаций, способных оказать негативное влияние на производственные и/или коммерческие процессы ПАО «</w:t>
      </w:r>
      <w:r w:rsidDel="00000000" w:rsidR="00000000" w:rsidRPr="00000000">
        <w:rPr>
          <w:sz w:val="16"/>
          <w:szCs w:val="16"/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 и/или Обществ </w:t>
      </w:r>
      <w:r w:rsidDel="00000000" w:rsidR="00000000" w:rsidRPr="00000000">
        <w:rPr>
          <w:sz w:val="16"/>
          <w:szCs w:val="16"/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</w:t>
      </w:r>
    </w:p>
  </w:footnote>
  <w:footnote w:id="1"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Примечание – при пользовании настоящим стандартом целесообразно проверить действие документов, приведенных в разделе «Нормативные ссылки» и «Библиография». Если ссылочный документ заменен (изменен), то при пользовании настоящим стандартом следует руководствоваться замененным (измененным) документом. Если ссылочный документ отменен без замены, то положение, в котором дана ссылка на него, применяется в части, не затрагивающей эту ссылку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Примечание - при пользовании настоящим стандартом целесообразно проверить наличие термина в КТ-004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</w:footnote>
  <w:footnote w:id="4"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Лимит применяется ко всем закупкам, независимо от применимого к ним вида налога, ставок или налогового режима поставщика (подрядчика, исполнителя). Если поставщик (подрядчик, исполнитель) не обязан исчислять НДС, то сумма лимита не изменяется. </w:t>
      </w:r>
    </w:p>
  </w:footnote>
  <w:footnote w:id="5"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Изменения с бумажной на электронную форму проведения закупок и наоборот. Изменения с открытой на закрытую форму проведения закупок и наоборот.</w:t>
      </w:r>
    </w:p>
  </w:footnote>
  <w:footnote w:id="6"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ЦОУЗ направляет уведомление о старте формирования ГПЗ.</w:t>
      </w:r>
    </w:p>
  </w:footnote>
  <w:footnote w:id="7"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Процессы на данном этапе выполняются в соответствии с особенностями структуры Заказчика.</w:t>
      </w:r>
    </w:p>
  </w:footnote>
  <w:footnote w:id="8"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При формировании потребности закупок, касающихся систем безопасности, необходимо приложить дополнительные документы в соответствии с установленным порядком для включения таких закупок в ГПЗ, в т.ч. подтверждение (согласование) планируемой закупки со стороны ДКЗ ПАО «</w:t>
      </w:r>
      <w:r w:rsidDel="00000000" w:rsidR="00000000" w:rsidRPr="00000000">
        <w:rPr>
          <w:sz w:val="16"/>
          <w:szCs w:val="16"/>
          <w:rtl w:val="0"/>
        </w:rPr>
        <w:t xml:space="preserve">Компания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».</w:t>
      </w:r>
    </w:p>
  </w:footnote>
  <w:footnote w:id="9"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Примеры расчета НМЦ содержатся в Приложении 1 к настоящему стандарту</w:t>
      </w:r>
    </w:p>
  </w:footnote>
  <w:footnote w:id="10"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Только для конкурентных закупок и маркетинговых исследований</w:t>
      </w:r>
      <w:r w:rsidDel="00000000" w:rsidR="00000000" w:rsidRPr="00000000">
        <w:rPr>
          <w:rtl w:val="0"/>
        </w:rPr>
      </w:r>
    </w:p>
  </w:footnote>
  <w:footnote w:id="11"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Не применимо для Дирекции по закупкам и капитальному строительству</w:t>
      </w:r>
    </w:p>
  </w:footnote>
  <w:footnote w:id="12"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 пользовании настоящим стандартом целесообразно проверить актуальность примеров расчета НМЦ в Интерактивном методологическом ресурсе ЦОУЗ.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60" w:line="240" w:lineRule="auto"/>
      <w:ind w:left="0" w:right="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/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0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/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[%1]"/>
      <w:lvlJc w:val="left"/>
      <w:pPr>
        <w:ind w:left="1040" w:hanging="10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0" w:firstLine="34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0" w:firstLine="340"/>
      </w:pPr>
      <w:rPr>
        <w:b w:val="1"/>
        <w:i w:val="0"/>
      </w:rPr>
    </w:lvl>
    <w:lvl w:ilvl="2">
      <w:start w:val="1"/>
      <w:numFmt w:val="decimal"/>
      <w:lvlText w:val="%1.%2.%3"/>
      <w:lvlJc w:val="left"/>
      <w:pPr>
        <w:ind w:left="653" w:firstLine="340"/>
      </w:pPr>
      <w:rPr/>
    </w:lvl>
    <w:lvl w:ilvl="3">
      <w:start w:val="1"/>
      <w:numFmt w:val="decimal"/>
      <w:lvlText w:val="%1.%2.%3.%4"/>
      <w:lvlJc w:val="left"/>
      <w:pPr>
        <w:ind w:left="0" w:firstLine="340"/>
      </w:pPr>
      <w:rPr/>
    </w:lvl>
    <w:lvl w:ilvl="4">
      <w:start w:val="1"/>
      <w:numFmt w:val="decimal"/>
      <w:lvlText w:val="%5)"/>
      <w:lvlJc w:val="left"/>
      <w:pPr>
        <w:ind w:left="0" w:firstLine="340"/>
      </w:pPr>
      <w:rPr/>
    </w:lvl>
    <w:lvl w:ilvl="5">
      <w:start w:val="1"/>
      <w:numFmt w:val="decimal"/>
      <w:lvlText w:val="%6)"/>
      <w:lvlJc w:val="left"/>
      <w:pPr>
        <w:ind w:left="680" w:firstLine="0"/>
      </w:pPr>
      <w:rPr/>
    </w:lvl>
    <w:lvl w:ilvl="6">
      <w:start w:val="1"/>
      <w:numFmt w:val="decimalZero"/>
      <w:lvlText w:val="%7"/>
      <w:lvlJc w:val="left"/>
      <w:pPr>
        <w:ind w:left="340" w:hanging="340"/>
      </w:pPr>
      <w:rPr/>
    </w:lvl>
    <w:lvl w:ilvl="7">
      <w:start w:val="1"/>
      <w:numFmt w:val="decimalZero"/>
      <w:lvlText w:val="%8."/>
      <w:lvlJc w:val="left"/>
      <w:pPr>
        <w:ind w:left="567" w:hanging="340"/>
      </w:pPr>
      <w:rPr/>
    </w:lvl>
    <w:lvl w:ilvl="8">
      <w:start w:val="1"/>
      <w:numFmt w:val="decimalZero"/>
      <w:lvlText w:val="%7.%9"/>
      <w:lvlJc w:val="left"/>
      <w:pPr>
        <w:ind w:left="567" w:firstLine="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−"/>
      <w:lvlJc w:val="left"/>
      <w:pPr>
        <w:ind w:left="120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926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64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6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360" w:lineRule="auto"/>
      <w:ind w:left="34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widowControl w:val="0"/>
      <w:spacing w:before="60" w:lineRule="auto"/>
      <w:ind w:left="454" w:hanging="454"/>
      <w:jc w:val="both"/>
    </w:pPr>
    <w:rPr>
      <w:b w:val="1"/>
    </w:rPr>
  </w:style>
  <w:style w:type="paragraph" w:styleId="Heading3">
    <w:name w:val="heading 3"/>
    <w:basedOn w:val="Normal"/>
    <w:next w:val="Normal"/>
    <w:pPr>
      <w:widowControl w:val="0"/>
      <w:spacing w:before="60" w:lineRule="auto"/>
      <w:ind w:left="1021" w:hanging="681"/>
      <w:jc w:val="both"/>
    </w:pPr>
    <w:rPr/>
  </w:style>
  <w:style w:type="paragraph" w:styleId="Heading4">
    <w:name w:val="heading 4"/>
    <w:basedOn w:val="Normal"/>
    <w:next w:val="Normal"/>
    <w:pPr>
      <w:widowControl w:val="0"/>
      <w:spacing w:before="60" w:lineRule="auto"/>
      <w:ind w:left="1728" w:hanging="648"/>
      <w:jc w:val="both"/>
    </w:pPr>
    <w:rPr/>
  </w:style>
  <w:style w:type="paragraph" w:styleId="Heading5">
    <w:name w:val="heading 5"/>
    <w:basedOn w:val="Normal"/>
    <w:next w:val="Normal"/>
    <w:pPr>
      <w:widowControl w:val="0"/>
      <w:spacing w:before="60" w:lineRule="auto"/>
      <w:ind w:left="2232" w:hanging="791.9999999999999"/>
      <w:jc w:val="both"/>
    </w:pPr>
    <w:rPr/>
  </w:style>
  <w:style w:type="paragraph" w:styleId="Heading6">
    <w:name w:val="heading 6"/>
    <w:basedOn w:val="Normal"/>
    <w:next w:val="Normal"/>
    <w:pPr>
      <w:widowControl w:val="0"/>
      <w:spacing w:before="60" w:lineRule="auto"/>
      <w:ind w:left="2736" w:hanging="936"/>
      <w:jc w:val="both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14162"/>
    <w:rPr>
      <w:rFonts w:ascii="Arial" w:hAnsi="Arial"/>
      <w:sz w:val="22"/>
      <w:szCs w:val="24"/>
    </w:rPr>
  </w:style>
  <w:style w:type="paragraph" w:styleId="1">
    <w:name w:val="heading 1"/>
    <w:basedOn w:val="a"/>
    <w:next w:val="2"/>
    <w:uiPriority w:val="9"/>
    <w:qFormat w:val="1"/>
    <w:locked w:val="1"/>
    <w:pPr>
      <w:keepNext w:val="1"/>
      <w:keepLines w:val="1"/>
      <w:widowControl w:val="0"/>
      <w:numPr>
        <w:numId w:val="1"/>
      </w:numPr>
      <w:overflowPunct w:val="0"/>
      <w:autoSpaceDE w:val="0"/>
      <w:autoSpaceDN w:val="0"/>
      <w:adjustRightInd w:val="0"/>
      <w:spacing w:after="60" w:before="360"/>
      <w:textAlignment w:val="baseline"/>
      <w:outlineLvl w:val="0"/>
    </w:pPr>
    <w:rPr>
      <w:b w:val="1"/>
      <w:bCs w:val="1"/>
      <w:kern w:val="28"/>
      <w:sz w:val="28"/>
    </w:rPr>
  </w:style>
  <w:style w:type="paragraph" w:styleId="2">
    <w:name w:val="heading 2"/>
    <w:basedOn w:val="a"/>
    <w:uiPriority w:val="9"/>
    <w:qFormat w:val="1"/>
    <w:locked w:val="1"/>
    <w:pPr>
      <w:widowControl w:val="0"/>
      <w:numPr>
        <w:ilvl w:val="1"/>
        <w:numId w:val="2"/>
      </w:numPr>
      <w:tabs>
        <w:tab w:val="clear" w:pos="794"/>
      </w:tabs>
      <w:overflowPunct w:val="0"/>
      <w:autoSpaceDE w:val="0"/>
      <w:autoSpaceDN w:val="0"/>
      <w:adjustRightInd w:val="0"/>
      <w:spacing w:before="60"/>
      <w:ind w:left="454"/>
      <w:jc w:val="both"/>
      <w:textAlignment w:val="baseline"/>
      <w:outlineLvl w:val="1"/>
    </w:pPr>
    <w:rPr>
      <w:b w:val="1"/>
      <w:szCs w:val="20"/>
    </w:rPr>
  </w:style>
  <w:style w:type="paragraph" w:styleId="3">
    <w:name w:val="heading 3"/>
    <w:basedOn w:val="a"/>
    <w:qFormat w:val="1"/>
    <w:locked w:val="1"/>
    <w:pPr>
      <w:widowControl w:val="0"/>
      <w:numPr>
        <w:ilvl w:val="2"/>
        <w:numId w:val="3"/>
      </w:numPr>
      <w:overflowPunct w:val="0"/>
      <w:autoSpaceDE w:val="0"/>
      <w:autoSpaceDN w:val="0"/>
      <w:adjustRightInd w:val="0"/>
      <w:spacing w:before="60"/>
      <w:jc w:val="both"/>
      <w:textAlignment w:val="baseline"/>
      <w:outlineLvl w:val="2"/>
    </w:pPr>
    <w:rPr>
      <w:szCs w:val="20"/>
    </w:rPr>
  </w:style>
  <w:style w:type="paragraph" w:styleId="4">
    <w:name w:val="heading 4"/>
    <w:basedOn w:val="a"/>
    <w:qFormat w:val="1"/>
    <w:locked w:val="1"/>
    <w:pPr>
      <w:widowControl w:val="0"/>
      <w:numPr>
        <w:ilvl w:val="3"/>
        <w:numId w:val="13"/>
      </w:numPr>
      <w:overflowPunct w:val="0"/>
      <w:autoSpaceDE w:val="0"/>
      <w:autoSpaceDN w:val="0"/>
      <w:adjustRightInd w:val="0"/>
      <w:spacing w:before="60"/>
      <w:jc w:val="both"/>
      <w:textAlignment w:val="baseline"/>
      <w:outlineLvl w:val="3"/>
    </w:pPr>
    <w:rPr>
      <w:szCs w:val="20"/>
    </w:rPr>
  </w:style>
  <w:style w:type="paragraph" w:styleId="5">
    <w:name w:val="heading 5"/>
    <w:basedOn w:val="a"/>
    <w:next w:val="a"/>
    <w:qFormat w:val="1"/>
    <w:locked w:val="1"/>
    <w:pPr>
      <w:widowControl w:val="0"/>
      <w:numPr>
        <w:ilvl w:val="4"/>
        <w:numId w:val="13"/>
      </w:numPr>
      <w:overflowPunct w:val="0"/>
      <w:autoSpaceDE w:val="0"/>
      <w:autoSpaceDN w:val="0"/>
      <w:adjustRightInd w:val="0"/>
      <w:spacing w:before="60"/>
      <w:jc w:val="both"/>
      <w:textAlignment w:val="baseline"/>
      <w:outlineLvl w:val="4"/>
    </w:pPr>
    <w:rPr>
      <w:szCs w:val="20"/>
    </w:rPr>
  </w:style>
  <w:style w:type="paragraph" w:styleId="6">
    <w:name w:val="heading 6"/>
    <w:basedOn w:val="a"/>
    <w:next w:val="a"/>
    <w:qFormat w:val="1"/>
    <w:locked w:val="1"/>
    <w:pPr>
      <w:widowControl w:val="0"/>
      <w:numPr>
        <w:ilvl w:val="5"/>
        <w:numId w:val="13"/>
      </w:numPr>
      <w:overflowPunct w:val="0"/>
      <w:autoSpaceDE w:val="0"/>
      <w:autoSpaceDN w:val="0"/>
      <w:adjustRightInd w:val="0"/>
      <w:spacing w:before="60"/>
      <w:jc w:val="both"/>
      <w:textAlignment w:val="baseline"/>
      <w:outlineLvl w:val="5"/>
    </w:pPr>
    <w:rPr>
      <w:szCs w:val="20"/>
    </w:rPr>
  </w:style>
  <w:style w:type="paragraph" w:styleId="7">
    <w:name w:val="heading 7"/>
    <w:basedOn w:val="a"/>
    <w:next w:val="a"/>
    <w:qFormat w:val="1"/>
    <w:locked w:val="1"/>
    <w:pPr>
      <w:widowControl w:val="0"/>
      <w:numPr>
        <w:ilvl w:val="6"/>
        <w:numId w:val="13"/>
      </w:numPr>
      <w:overflowPunct w:val="0"/>
      <w:autoSpaceDE w:val="0"/>
      <w:autoSpaceDN w:val="0"/>
      <w:adjustRightInd w:val="0"/>
      <w:spacing w:before="60"/>
      <w:jc w:val="both"/>
      <w:textAlignment w:val="baseline"/>
      <w:outlineLvl w:val="6"/>
    </w:pPr>
    <w:rPr>
      <w:szCs w:val="20"/>
    </w:rPr>
  </w:style>
  <w:style w:type="paragraph" w:styleId="8">
    <w:name w:val="heading 8"/>
    <w:basedOn w:val="a"/>
    <w:next w:val="a"/>
    <w:qFormat w:val="1"/>
    <w:locked w:val="1"/>
    <w:pPr>
      <w:widowControl w:val="0"/>
      <w:numPr>
        <w:ilvl w:val="7"/>
        <w:numId w:val="13"/>
      </w:numPr>
      <w:overflowPunct w:val="0"/>
      <w:autoSpaceDE w:val="0"/>
      <w:autoSpaceDN w:val="0"/>
      <w:adjustRightInd w:val="0"/>
      <w:spacing w:before="60"/>
      <w:jc w:val="both"/>
      <w:textAlignment w:val="baseline"/>
      <w:outlineLvl w:val="7"/>
    </w:pPr>
    <w:rPr>
      <w:szCs w:val="20"/>
    </w:rPr>
  </w:style>
  <w:style w:type="paragraph" w:styleId="9">
    <w:name w:val="heading 9"/>
    <w:basedOn w:val="a"/>
    <w:next w:val="a"/>
    <w:qFormat w:val="1"/>
    <w:locked w:val="1"/>
    <w:pPr>
      <w:widowControl w:val="0"/>
      <w:numPr>
        <w:ilvl w:val="8"/>
        <w:numId w:val="13"/>
      </w:numPr>
      <w:overflowPunct w:val="0"/>
      <w:autoSpaceDE w:val="0"/>
      <w:autoSpaceDN w:val="0"/>
      <w:adjustRightInd w:val="0"/>
      <w:spacing w:before="60"/>
      <w:jc w:val="both"/>
      <w:textAlignment w:val="baseline"/>
      <w:outlineLvl w:val="8"/>
    </w:pPr>
    <w:rPr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21" w:customStyle="1">
    <w:name w:val="s21 рисунок №"/>
    <w:basedOn w:val="s00"/>
    <w:next w:val="s00"/>
    <w:pPr>
      <w:keepLines w:val="1"/>
      <w:widowControl w:val="1"/>
      <w:spacing w:after="120" w:before="120"/>
      <w:ind w:firstLine="0"/>
      <w:jc w:val="center"/>
    </w:pPr>
  </w:style>
  <w:style w:type="paragraph" w:styleId="s00" w:customStyle="1">
    <w:name w:val="s00 Текст"/>
    <w:basedOn w:val="a"/>
    <w:link w:val="s000"/>
    <w:rsid w:val="00B54138"/>
    <w:pPr>
      <w:keepNext w:val="1"/>
      <w:widowControl w:val="0"/>
      <w:overflowPunct w:val="0"/>
      <w:autoSpaceDE w:val="0"/>
      <w:autoSpaceDN w:val="0"/>
      <w:adjustRightInd w:val="0"/>
      <w:spacing w:before="60"/>
      <w:ind w:firstLine="340"/>
      <w:jc w:val="both"/>
      <w:textAlignment w:val="baseline"/>
    </w:pPr>
  </w:style>
  <w:style w:type="paragraph" w:styleId="s03" w:customStyle="1">
    <w:name w:val="s03 Пункт"/>
    <w:basedOn w:val="s02"/>
    <w:link w:val="s030"/>
    <w:rsid w:val="00B27E1A"/>
    <w:pPr>
      <w:keepLines w:val="0"/>
      <w:numPr>
        <w:ilvl w:val="2"/>
      </w:numPr>
      <w:tabs>
        <w:tab w:val="clear" w:pos="1713"/>
        <w:tab w:val="num" w:pos="1997"/>
      </w:tabs>
      <w:spacing w:before="80"/>
      <w:ind w:left="937"/>
      <w:outlineLvl w:val="2"/>
    </w:pPr>
    <w:rPr>
      <w:b w:val="0"/>
    </w:rPr>
  </w:style>
  <w:style w:type="paragraph" w:styleId="s02" w:customStyle="1">
    <w:name w:val="s02 подРАЗДЕЛ"/>
    <w:basedOn w:val="s01"/>
    <w:next w:val="s03"/>
    <w:link w:val="s020"/>
    <w:rsid w:val="00B27E1A"/>
    <w:pPr>
      <w:numPr>
        <w:ilvl w:val="1"/>
      </w:numPr>
      <w:tabs>
        <w:tab w:val="left" w:pos="1134"/>
      </w:tabs>
      <w:spacing w:after="0" w:before="160"/>
      <w:outlineLvl w:val="1"/>
    </w:pPr>
    <w:rPr>
      <w:sz w:val="22"/>
    </w:rPr>
  </w:style>
  <w:style w:type="paragraph" w:styleId="s01" w:customStyle="1">
    <w:name w:val="s01 РАЗДЕЛ"/>
    <w:basedOn w:val="s00"/>
    <w:next w:val="s02"/>
    <w:rsid w:val="00B27E1A"/>
    <w:pPr>
      <w:keepLines w:val="1"/>
      <w:numPr>
        <w:numId w:val="8"/>
      </w:numPr>
      <w:spacing w:after="120" w:before="240"/>
      <w:outlineLvl w:val="0"/>
    </w:pPr>
    <w:rPr>
      <w:b w:val="1"/>
      <w:bCs w:val="1"/>
      <w:sz w:val="24"/>
      <w:szCs w:val="28"/>
    </w:rPr>
  </w:style>
  <w:style w:type="paragraph" w:styleId="s08" w:customStyle="1">
    <w:name w:val="s08 Список а)"/>
    <w:basedOn w:val="s03"/>
    <w:rsid w:val="00B27E1A"/>
    <w:pPr>
      <w:numPr>
        <w:ilvl w:val="4"/>
      </w:numPr>
      <w:outlineLvl w:val="4"/>
    </w:pPr>
  </w:style>
  <w:style w:type="paragraph" w:styleId="s04" w:customStyle="1">
    <w:name w:val="s04 подПункт"/>
    <w:basedOn w:val="s03"/>
    <w:rsid w:val="00B27E1A"/>
    <w:pPr>
      <w:numPr>
        <w:ilvl w:val="3"/>
      </w:numPr>
      <w:tabs>
        <w:tab w:val="left" w:pos="1276"/>
      </w:tabs>
      <w:outlineLvl w:val="3"/>
    </w:pPr>
  </w:style>
  <w:style w:type="paragraph" w:styleId="s26" w:customStyle="1">
    <w:name w:val="s26 Заголовок приложения"/>
    <w:basedOn w:val="s00"/>
    <w:next w:val="s00"/>
    <w:rsid w:val="00B1196A"/>
    <w:pPr>
      <w:spacing w:after="120"/>
      <w:ind w:firstLine="0"/>
      <w:jc w:val="center"/>
      <w:outlineLvl w:val="0"/>
    </w:pPr>
    <w:rPr>
      <w:b w:val="1"/>
      <w:sz w:val="24"/>
      <w:szCs w:val="20"/>
    </w:rPr>
  </w:style>
  <w:style w:type="paragraph" w:styleId="10">
    <w:name w:val="toc 1"/>
    <w:basedOn w:val="a"/>
    <w:next w:val="a"/>
    <w:uiPriority w:val="39"/>
    <w:locked w:val="1"/>
    <w:pPr>
      <w:widowControl w:val="0"/>
      <w:tabs>
        <w:tab w:val="left" w:pos="567"/>
        <w:tab w:val="decimal" w:leader="dot" w:pos="9356"/>
      </w:tabs>
      <w:overflowPunct w:val="0"/>
      <w:autoSpaceDE w:val="0"/>
      <w:autoSpaceDN w:val="0"/>
      <w:adjustRightInd w:val="0"/>
      <w:spacing w:before="60"/>
      <w:ind w:left="567" w:right="340" w:hanging="567"/>
      <w:jc w:val="both"/>
      <w:textAlignment w:val="baseline"/>
    </w:pPr>
    <w:rPr>
      <w:b w:val="1"/>
      <w:bCs w:val="1"/>
      <w:noProof w:val="1"/>
    </w:rPr>
  </w:style>
  <w:style w:type="paragraph" w:styleId="21">
    <w:name w:val="toc 2"/>
    <w:basedOn w:val="a"/>
    <w:next w:val="a"/>
    <w:uiPriority w:val="39"/>
    <w:locked w:val="1"/>
    <w:pPr>
      <w:widowControl w:val="0"/>
      <w:tabs>
        <w:tab w:val="left" w:pos="960"/>
        <w:tab w:val="right" w:leader="dot" w:pos="9356"/>
      </w:tabs>
      <w:overflowPunct w:val="0"/>
      <w:autoSpaceDE w:val="0"/>
      <w:autoSpaceDN w:val="0"/>
      <w:adjustRightInd w:val="0"/>
      <w:spacing w:before="60"/>
      <w:ind w:left="992" w:right="340" w:hanging="765"/>
      <w:jc w:val="both"/>
      <w:textAlignment w:val="baseline"/>
    </w:pPr>
    <w:rPr>
      <w:noProof w:val="1"/>
      <w:szCs w:val="20"/>
    </w:rPr>
  </w:style>
  <w:style w:type="paragraph" w:styleId="a3">
    <w:name w:val="endnote text"/>
    <w:basedOn w:val="a"/>
    <w:semiHidden w:val="1"/>
    <w:locked w:val="1"/>
    <w:pPr>
      <w:widowControl w:val="0"/>
      <w:overflowPunct w:val="0"/>
      <w:autoSpaceDE w:val="0"/>
      <w:autoSpaceDN w:val="0"/>
      <w:adjustRightInd w:val="0"/>
      <w:spacing w:before="60"/>
      <w:jc w:val="both"/>
      <w:textAlignment w:val="baseline"/>
    </w:pPr>
    <w:rPr>
      <w:sz w:val="20"/>
      <w:szCs w:val="20"/>
    </w:rPr>
  </w:style>
  <w:style w:type="character" w:styleId="a4">
    <w:name w:val="Hyperlink"/>
    <w:basedOn w:val="a0"/>
    <w:uiPriority w:val="99"/>
    <w:rsid w:val="009C3750"/>
    <w:rPr>
      <w:rFonts w:ascii="Arial" w:hAnsi="Arial"/>
      <w:color w:val="0000ff"/>
      <w:sz w:val="22"/>
      <w:szCs w:val="22"/>
      <w:u w:val="single"/>
    </w:rPr>
  </w:style>
  <w:style w:type="paragraph" w:styleId="s23" w:customStyle="1">
    <w:name w:val="s23 Подзаголовок"/>
    <w:basedOn w:val="s00"/>
    <w:next w:val="s28-"/>
    <w:rsid w:val="0034612C"/>
    <w:pPr>
      <w:spacing w:after="120" w:before="240"/>
      <w:ind w:firstLine="0"/>
    </w:pPr>
    <w:rPr>
      <w:b w:val="1"/>
      <w:bCs w:val="1"/>
      <w:sz w:val="24"/>
    </w:rPr>
  </w:style>
  <w:style w:type="paragraph" w:styleId="s28-" w:customStyle="1">
    <w:name w:val="s28 Предисловие-Пункты"/>
    <w:basedOn w:val="s00"/>
    <w:rsid w:val="00176D56"/>
    <w:pPr>
      <w:numPr>
        <w:numId w:val="4"/>
      </w:numPr>
      <w:spacing w:after="120" w:before="120"/>
    </w:pPr>
  </w:style>
  <w:style w:type="paragraph" w:styleId="s06-" w:customStyle="1">
    <w:name w:val="s06 Список -"/>
    <w:basedOn w:val="s03"/>
    <w:rsid w:val="00773507"/>
    <w:pPr>
      <w:numPr>
        <w:ilvl w:val="0"/>
        <w:numId w:val="10"/>
      </w:numPr>
    </w:pPr>
  </w:style>
  <w:style w:type="paragraph" w:styleId="s24" w:customStyle="1">
    <w:name w:val="s24 Титульный лист"/>
    <w:basedOn w:val="s00"/>
    <w:link w:val="s240"/>
    <w:rsid w:val="00DC4B5E"/>
    <w:pPr>
      <w:spacing w:after="240" w:before="120"/>
      <w:ind w:firstLine="0"/>
      <w:jc w:val="center"/>
    </w:pPr>
    <w:rPr>
      <w:b w:val="1"/>
      <w:sz w:val="32"/>
      <w:szCs w:val="20"/>
    </w:rPr>
  </w:style>
  <w:style w:type="character" w:styleId="a5">
    <w:name w:val="FollowedHyperlink"/>
    <w:basedOn w:val="a0"/>
    <w:locked w:val="1"/>
    <w:rsid w:val="00A35DF3"/>
    <w:rPr>
      <w:rFonts w:ascii="Arial" w:hAnsi="Arial"/>
      <w:color w:val="800080"/>
      <w:sz w:val="22"/>
      <w:u w:val="single"/>
    </w:rPr>
  </w:style>
  <w:style w:type="paragraph" w:styleId="s13" w:customStyle="1">
    <w:name w:val="s13 Т Жирн Отст"/>
    <w:basedOn w:val="s12101"/>
    <w:next w:val="s14"/>
    <w:rsid w:val="00F5540E"/>
    <w:pPr>
      <w:numPr>
        <w:ilvl w:val="0"/>
        <w:numId w:val="0"/>
      </w:numPr>
      <w:spacing w:before="120"/>
      <w:ind w:left="340"/>
    </w:pPr>
    <w:rPr>
      <w:szCs w:val="20"/>
    </w:rPr>
  </w:style>
  <w:style w:type="paragraph" w:styleId="a6">
    <w:name w:val="header"/>
    <w:basedOn w:val="s00"/>
    <w:link w:val="a7"/>
    <w:rsid w:val="00176D56"/>
    <w:pPr>
      <w:ind w:firstLine="0"/>
      <w:jc w:val="right"/>
    </w:pPr>
    <w:rPr>
      <w:sz w:val="20"/>
      <w:szCs w:val="20"/>
    </w:rPr>
  </w:style>
  <w:style w:type="paragraph" w:styleId="s14" w:customStyle="1">
    <w:name w:val="s14 Т Обычн Отст"/>
    <w:basedOn w:val="s13"/>
    <w:rsid w:val="00EA2469"/>
    <w:pPr>
      <w:spacing w:before="20"/>
    </w:pPr>
    <w:rPr>
      <w:b w:val="0"/>
    </w:rPr>
  </w:style>
  <w:style w:type="paragraph" w:styleId="s15" w:customStyle="1">
    <w:name w:val="s15 Т Жирн"/>
    <w:basedOn w:val="s13"/>
    <w:rsid w:val="00F5540E"/>
    <w:pPr>
      <w:spacing w:before="60"/>
      <w:ind w:left="0"/>
    </w:pPr>
  </w:style>
  <w:style w:type="paragraph" w:styleId="s12101" w:customStyle="1">
    <w:name w:val="s12 Т  Кол1 Ном01 Жирн"/>
    <w:basedOn w:val="s00"/>
    <w:next w:val="s13"/>
    <w:rsid w:val="00B27E1A"/>
    <w:pPr>
      <w:keepLines w:val="1"/>
      <w:widowControl w:val="1"/>
      <w:numPr>
        <w:ilvl w:val="6"/>
        <w:numId w:val="8"/>
      </w:numPr>
      <w:spacing w:before="20"/>
      <w:jc w:val="left"/>
      <w:outlineLvl w:val="6"/>
    </w:pPr>
    <w:rPr>
      <w:b w:val="1"/>
      <w:sz w:val="20"/>
    </w:rPr>
  </w:style>
  <w:style w:type="paragraph" w:styleId="s22" w:customStyle="1">
    <w:name w:val="s22 Заголовок"/>
    <w:basedOn w:val="s00"/>
    <w:link w:val="s220"/>
    <w:rsid w:val="00B85D40"/>
    <w:pPr>
      <w:keepLines w:val="1"/>
      <w:spacing w:after="120" w:before="360"/>
      <w:ind w:firstLine="0"/>
      <w:jc w:val="center"/>
    </w:pPr>
    <w:rPr>
      <w:b w:val="1"/>
      <w:bCs w:val="1"/>
      <w:sz w:val="24"/>
      <w:szCs w:val="28"/>
    </w:rPr>
  </w:style>
  <w:style w:type="paragraph" w:styleId="s20" w:customStyle="1">
    <w:name w:val="s20 Примеры"/>
    <w:rsid w:val="00FA322F"/>
    <w:pPr>
      <w:keepNext w:val="1"/>
      <w:ind w:firstLine="340"/>
    </w:pPr>
    <w:rPr>
      <w:rFonts w:ascii="Arial" w:hAnsi="Arial"/>
      <w:i w:val="1"/>
      <w:iCs w:val="1"/>
      <w:sz w:val="22"/>
      <w:szCs w:val="22"/>
    </w:rPr>
  </w:style>
  <w:style w:type="paragraph" w:styleId="s05" w:customStyle="1">
    <w:name w:val="s05 Пункт РАЗДЕЛА"/>
    <w:basedOn w:val="s02"/>
    <w:link w:val="s050"/>
    <w:rsid w:val="00B54138"/>
    <w:pPr>
      <w:keepLines w:val="0"/>
      <w:outlineLvl w:val="6"/>
    </w:pPr>
    <w:rPr>
      <w:b w:val="0"/>
    </w:rPr>
  </w:style>
  <w:style w:type="paragraph" w:styleId="30">
    <w:name w:val="toc 3"/>
    <w:basedOn w:val="a"/>
    <w:next w:val="a"/>
    <w:uiPriority w:val="39"/>
    <w:locked w:val="1"/>
    <w:pPr>
      <w:numPr>
        <w:numId w:val="6"/>
      </w:numPr>
      <w:tabs>
        <w:tab w:val="right" w:leader="dot" w:pos="9356"/>
      </w:tabs>
      <w:spacing w:before="60"/>
      <w:ind w:right="340"/>
      <w:jc w:val="both"/>
    </w:pPr>
  </w:style>
  <w:style w:type="paragraph" w:styleId="a8">
    <w:name w:val="footer"/>
    <w:basedOn w:val="s00"/>
    <w:rsid w:val="002D26D5"/>
    <w:pPr>
      <w:tabs>
        <w:tab w:val="center" w:pos="4677"/>
        <w:tab w:val="right" w:pos="9355"/>
      </w:tabs>
      <w:ind w:firstLine="0"/>
    </w:pPr>
    <w:rPr>
      <w:sz w:val="20"/>
    </w:rPr>
  </w:style>
  <w:style w:type="paragraph" w:styleId="a9">
    <w:name w:val="footnote text"/>
    <w:basedOn w:val="a"/>
    <w:link w:val="aa"/>
    <w:uiPriority w:val="99"/>
    <w:locked w:val="1"/>
    <w:pPr>
      <w:widowControl w:val="0"/>
      <w:overflowPunct w:val="0"/>
      <w:autoSpaceDE w:val="0"/>
      <w:autoSpaceDN w:val="0"/>
      <w:adjustRightInd w:val="0"/>
      <w:spacing w:before="60"/>
      <w:jc w:val="both"/>
      <w:textAlignment w:val="baseline"/>
    </w:pPr>
    <w:rPr>
      <w:sz w:val="20"/>
      <w:szCs w:val="20"/>
    </w:rPr>
  </w:style>
  <w:style w:type="character" w:styleId="ab">
    <w:name w:val="page number"/>
    <w:basedOn w:val="a0"/>
    <w:rsid w:val="00A35DF3"/>
    <w:rPr>
      <w:rFonts w:ascii="Arial" w:hAnsi="Arial"/>
      <w:sz w:val="20"/>
    </w:rPr>
  </w:style>
  <w:style w:type="character" w:styleId="ac">
    <w:name w:val="footnote reference"/>
    <w:basedOn w:val="a0"/>
    <w:uiPriority w:val="99"/>
    <w:rPr>
      <w:sz w:val="20"/>
      <w:vertAlign w:val="superscript"/>
    </w:rPr>
  </w:style>
  <w:style w:type="paragraph" w:styleId="40">
    <w:name w:val="toc 4"/>
    <w:basedOn w:val="a"/>
    <w:next w:val="a"/>
    <w:autoRedefine w:val="1"/>
    <w:semiHidden w:val="1"/>
    <w:locked w:val="1"/>
    <w:pPr>
      <w:widowControl w:val="0"/>
      <w:overflowPunct w:val="0"/>
      <w:autoSpaceDE w:val="0"/>
      <w:autoSpaceDN w:val="0"/>
      <w:adjustRightInd w:val="0"/>
      <w:spacing w:before="60"/>
      <w:ind w:left="720"/>
      <w:jc w:val="both"/>
      <w:textAlignment w:val="baseline"/>
    </w:pPr>
    <w:rPr>
      <w:szCs w:val="20"/>
    </w:rPr>
  </w:style>
  <w:style w:type="paragraph" w:styleId="50">
    <w:name w:val="toc 5"/>
    <w:basedOn w:val="a"/>
    <w:next w:val="a"/>
    <w:autoRedefine w:val="1"/>
    <w:semiHidden w:val="1"/>
    <w:locked w:val="1"/>
    <w:pPr>
      <w:widowControl w:val="0"/>
      <w:overflowPunct w:val="0"/>
      <w:autoSpaceDE w:val="0"/>
      <w:autoSpaceDN w:val="0"/>
      <w:adjustRightInd w:val="0"/>
      <w:spacing w:before="60"/>
      <w:ind w:left="960"/>
      <w:jc w:val="both"/>
      <w:textAlignment w:val="baseline"/>
    </w:pPr>
    <w:rPr>
      <w:szCs w:val="20"/>
    </w:rPr>
  </w:style>
  <w:style w:type="paragraph" w:styleId="60">
    <w:name w:val="toc 6"/>
    <w:basedOn w:val="a"/>
    <w:next w:val="a"/>
    <w:autoRedefine w:val="1"/>
    <w:semiHidden w:val="1"/>
    <w:locked w:val="1"/>
    <w:pPr>
      <w:widowControl w:val="0"/>
      <w:overflowPunct w:val="0"/>
      <w:autoSpaceDE w:val="0"/>
      <w:autoSpaceDN w:val="0"/>
      <w:adjustRightInd w:val="0"/>
      <w:spacing w:before="60"/>
      <w:ind w:left="1200"/>
      <w:jc w:val="both"/>
      <w:textAlignment w:val="baseline"/>
    </w:pPr>
    <w:rPr>
      <w:szCs w:val="20"/>
    </w:rPr>
  </w:style>
  <w:style w:type="paragraph" w:styleId="70">
    <w:name w:val="toc 7"/>
    <w:basedOn w:val="a"/>
    <w:next w:val="a"/>
    <w:autoRedefine w:val="1"/>
    <w:semiHidden w:val="1"/>
    <w:locked w:val="1"/>
    <w:pPr>
      <w:widowControl w:val="0"/>
      <w:overflowPunct w:val="0"/>
      <w:autoSpaceDE w:val="0"/>
      <w:autoSpaceDN w:val="0"/>
      <w:adjustRightInd w:val="0"/>
      <w:spacing w:before="60"/>
      <w:ind w:left="1440"/>
      <w:jc w:val="both"/>
      <w:textAlignment w:val="baseline"/>
    </w:pPr>
    <w:rPr>
      <w:szCs w:val="20"/>
    </w:rPr>
  </w:style>
  <w:style w:type="paragraph" w:styleId="80">
    <w:name w:val="toc 8"/>
    <w:basedOn w:val="a"/>
    <w:next w:val="a"/>
    <w:autoRedefine w:val="1"/>
    <w:semiHidden w:val="1"/>
    <w:locked w:val="1"/>
    <w:pPr>
      <w:widowControl w:val="0"/>
      <w:overflowPunct w:val="0"/>
      <w:autoSpaceDE w:val="0"/>
      <w:autoSpaceDN w:val="0"/>
      <w:adjustRightInd w:val="0"/>
      <w:spacing w:before="60"/>
      <w:ind w:left="1680"/>
      <w:jc w:val="both"/>
      <w:textAlignment w:val="baseline"/>
    </w:pPr>
    <w:rPr>
      <w:szCs w:val="20"/>
    </w:rPr>
  </w:style>
  <w:style w:type="paragraph" w:styleId="90">
    <w:name w:val="toc 9"/>
    <w:basedOn w:val="a"/>
    <w:next w:val="a"/>
    <w:autoRedefine w:val="1"/>
    <w:semiHidden w:val="1"/>
    <w:locked w:val="1"/>
    <w:pPr>
      <w:widowControl w:val="0"/>
      <w:overflowPunct w:val="0"/>
      <w:autoSpaceDE w:val="0"/>
      <w:autoSpaceDN w:val="0"/>
      <w:adjustRightInd w:val="0"/>
      <w:spacing w:before="60"/>
      <w:ind w:left="1920"/>
      <w:jc w:val="both"/>
      <w:textAlignment w:val="baseline"/>
    </w:pPr>
    <w:rPr>
      <w:szCs w:val="20"/>
    </w:rPr>
  </w:style>
  <w:style w:type="character" w:styleId="ad">
    <w:name w:val="endnote reference"/>
    <w:basedOn w:val="a0"/>
    <w:semiHidden w:val="1"/>
    <w:locked w:val="1"/>
    <w:rPr>
      <w:vertAlign w:val="superscript"/>
    </w:rPr>
  </w:style>
  <w:style w:type="character" w:styleId="ae">
    <w:name w:val="annotation reference"/>
    <w:basedOn w:val="a0"/>
    <w:uiPriority w:val="99"/>
    <w:semiHidden w:val="1"/>
    <w:locked w:val="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 w:val="1"/>
    <w:locked w:val="1"/>
    <w:pPr>
      <w:widowControl w:val="0"/>
      <w:overflowPunct w:val="0"/>
      <w:autoSpaceDE w:val="0"/>
      <w:autoSpaceDN w:val="0"/>
      <w:adjustRightInd w:val="0"/>
      <w:spacing w:before="60"/>
      <w:ind w:left="340" w:firstLine="511"/>
      <w:jc w:val="both"/>
      <w:textAlignment w:val="baseline"/>
    </w:pPr>
    <w:rPr>
      <w:szCs w:val="20"/>
    </w:rPr>
  </w:style>
  <w:style w:type="paragraph" w:styleId="s25" w:customStyle="1">
    <w:name w:val="s25 приложение №"/>
    <w:basedOn w:val="s00"/>
    <w:rsid w:val="002F7CCC"/>
    <w:pPr>
      <w:pageBreakBefore w:val="1"/>
      <w:ind w:firstLine="0"/>
      <w:jc w:val="center"/>
    </w:pPr>
    <w:rPr>
      <w:b w:val="1"/>
      <w:bCs w:val="1"/>
    </w:rPr>
  </w:style>
  <w:style w:type="paragraph" w:styleId="s29-" w:customStyle="1">
    <w:name w:val="s29 библиография-Список"/>
    <w:basedOn w:val="s00"/>
    <w:pPr>
      <w:numPr>
        <w:numId w:val="7"/>
      </w:numPr>
    </w:pPr>
  </w:style>
  <w:style w:type="paragraph" w:styleId="s170101" w:customStyle="1">
    <w:name w:val="s17 Т Ном01.01"/>
    <w:basedOn w:val="s1601"/>
    <w:rsid w:val="00B27E1A"/>
    <w:pPr>
      <w:numPr>
        <w:ilvl w:val="8"/>
      </w:numPr>
    </w:pPr>
  </w:style>
  <w:style w:type="paragraph" w:styleId="s10" w:customStyle="1">
    <w:name w:val="s10 заголовок таблицы"/>
    <w:basedOn w:val="s00"/>
    <w:link w:val="s100"/>
    <w:pPr>
      <w:keepLines w:val="1"/>
      <w:widowControl w:val="1"/>
      <w:ind w:firstLine="0"/>
    </w:pPr>
  </w:style>
  <w:style w:type="paragraph" w:styleId="s11" w:customStyle="1">
    <w:name w:val="s11 Т Обычн"/>
    <w:basedOn w:val="s10"/>
    <w:link w:val="s110"/>
    <w:rsid w:val="00EA2469"/>
    <w:pPr>
      <w:spacing w:before="20"/>
      <w:jc w:val="left"/>
    </w:pPr>
    <w:rPr>
      <w:sz w:val="20"/>
    </w:rPr>
  </w:style>
  <w:style w:type="paragraph" w:styleId="s1601" w:customStyle="1">
    <w:name w:val="s16 Т Ном01. Отст"/>
    <w:basedOn w:val="s08"/>
    <w:rsid w:val="008227A1"/>
    <w:pPr>
      <w:widowControl w:val="1"/>
      <w:numPr>
        <w:ilvl w:val="7"/>
      </w:numPr>
      <w:spacing w:before="20"/>
      <w:outlineLvl w:val="8"/>
    </w:pPr>
    <w:rPr>
      <w:sz w:val="20"/>
    </w:rPr>
  </w:style>
  <w:style w:type="paragraph" w:styleId="s091" w:customStyle="1">
    <w:name w:val="s09 Список а1)"/>
    <w:basedOn w:val="s00"/>
    <w:rsid w:val="00B27E1A"/>
    <w:pPr>
      <w:numPr>
        <w:ilvl w:val="5"/>
        <w:numId w:val="8"/>
      </w:numPr>
      <w:spacing w:before="0"/>
    </w:pPr>
  </w:style>
  <w:style w:type="paragraph" w:styleId="s07--" w:customStyle="1">
    <w:name w:val="s07 Список - -"/>
    <w:basedOn w:val="s06-"/>
    <w:rsid w:val="009B061B"/>
    <w:pPr>
      <w:numPr>
        <w:numId w:val="9"/>
      </w:numPr>
      <w:ind w:left="1020" w:hanging="340"/>
    </w:pPr>
  </w:style>
  <w:style w:type="paragraph" w:styleId="af1">
    <w:name w:val="Balloon Text"/>
    <w:basedOn w:val="a"/>
    <w:semiHidden w:val="1"/>
    <w:locked w:val="1"/>
    <w:rsid w:val="0064427C"/>
    <w:rPr>
      <w:rFonts w:ascii="Tahoma" w:cs="Tahoma" w:hAnsi="Tahoma"/>
      <w:sz w:val="16"/>
      <w:szCs w:val="16"/>
    </w:rPr>
  </w:style>
  <w:style w:type="paragraph" w:styleId="s19-" w:customStyle="1">
    <w:name w:val="s19 Т Список -"/>
    <w:basedOn w:val="s06-"/>
    <w:rsid w:val="003B09FB"/>
    <w:pPr>
      <w:numPr>
        <w:numId w:val="5"/>
      </w:numPr>
      <w:spacing w:before="20"/>
      <w:outlineLvl w:val="8"/>
    </w:pPr>
    <w:rPr>
      <w:sz w:val="20"/>
    </w:rPr>
  </w:style>
  <w:style w:type="character" w:styleId="s220" w:customStyle="1">
    <w:name w:val="s22 Заголовок Знак Знак"/>
    <w:basedOn w:val="a0"/>
    <w:link w:val="s22"/>
    <w:rsid w:val="00B85D40"/>
    <w:rPr>
      <w:rFonts w:ascii="Arial" w:hAnsi="Arial"/>
      <w:b w:val="1"/>
      <w:bCs w:val="1"/>
      <w:sz w:val="24"/>
      <w:szCs w:val="28"/>
      <w:lang w:bidi="ar-SA" w:eastAsia="ru-RU" w:val="ru-RU"/>
    </w:rPr>
  </w:style>
  <w:style w:type="table" w:styleId="af2">
    <w:name w:val="Table Grid"/>
    <w:basedOn w:val="a1"/>
    <w:uiPriority w:val="39"/>
    <w:locked w:val="1"/>
    <w:rsid w:val="00A35DF3"/>
    <w:rPr>
      <w:rFonts w:ascii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221" w:customStyle="1">
    <w:name w:val="s22 Титульный лист"/>
    <w:basedOn w:val="a"/>
    <w:rsid w:val="00A040F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 w:val="1"/>
      <w:sz w:val="36"/>
      <w:szCs w:val="20"/>
    </w:rPr>
  </w:style>
  <w:style w:type="character" w:styleId="s000" w:customStyle="1">
    <w:name w:val="s00 Текст Знак"/>
    <w:basedOn w:val="a0"/>
    <w:link w:val="s00"/>
    <w:rsid w:val="008D622B"/>
    <w:rPr>
      <w:rFonts w:ascii="Arial" w:hAnsi="Arial"/>
      <w:sz w:val="22"/>
      <w:szCs w:val="24"/>
      <w:lang w:bidi="ar-SA" w:eastAsia="ru-RU" w:val="ru-RU"/>
    </w:rPr>
  </w:style>
  <w:style w:type="paragraph" w:styleId="s111" w:customStyle="1">
    <w:name w:val="s11 Табл Обычн"/>
    <w:basedOn w:val="s10"/>
    <w:rsid w:val="00A44F33"/>
    <w:pPr>
      <w:spacing w:before="20"/>
      <w:jc w:val="left"/>
    </w:pPr>
    <w:rPr>
      <w:sz w:val="20"/>
    </w:rPr>
  </w:style>
  <w:style w:type="paragraph" w:styleId="af3">
    <w:name w:val="annotation subject"/>
    <w:basedOn w:val="af"/>
    <w:next w:val="af"/>
    <w:semiHidden w:val="1"/>
    <w:locked w:val="1"/>
    <w:rsid w:val="009C1699"/>
    <w:pPr>
      <w:widowControl w:val="1"/>
      <w:overflowPunct w:val="1"/>
      <w:autoSpaceDE w:val="1"/>
      <w:autoSpaceDN w:val="1"/>
      <w:adjustRightInd w:val="1"/>
      <w:spacing w:before="0"/>
      <w:ind w:left="0" w:firstLine="0"/>
      <w:jc w:val="left"/>
      <w:textAlignment w:val="auto"/>
    </w:pPr>
    <w:rPr>
      <w:b w:val="1"/>
      <w:bCs w:val="1"/>
      <w:sz w:val="20"/>
    </w:rPr>
  </w:style>
  <w:style w:type="paragraph" w:styleId="phconfirmstampstamp" w:customStyle="1">
    <w:name w:val="ph_confirmstamp_stamp"/>
    <w:basedOn w:val="a"/>
    <w:rsid w:val="00540EE6"/>
    <w:pPr>
      <w:spacing w:after="120" w:before="20"/>
    </w:pPr>
    <w:rPr>
      <w:sz w:val="24"/>
      <w:szCs w:val="20"/>
    </w:rPr>
  </w:style>
  <w:style w:type="paragraph" w:styleId="phconfirmstamptitle" w:customStyle="1">
    <w:name w:val="ph_confirmstamp_title"/>
    <w:basedOn w:val="a"/>
    <w:next w:val="phconfirmstampstamp"/>
    <w:rsid w:val="00540EE6"/>
    <w:pPr>
      <w:spacing w:after="120" w:before="20"/>
    </w:pPr>
    <w:rPr>
      <w:caps w:val="1"/>
      <w:sz w:val="24"/>
    </w:rPr>
  </w:style>
  <w:style w:type="table" w:styleId="11" w:customStyle="1">
    <w:name w:val="Сетка таблицы1"/>
    <w:basedOn w:val="a1"/>
    <w:next w:val="af2"/>
    <w:rsid w:val="00EC45CD"/>
    <w:pPr>
      <w:widowControl w:val="0"/>
      <w:spacing w:line="240" w:lineRule="atLeast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050" w:customStyle="1">
    <w:name w:val="s05 Пункт РАЗДЕЛА Знак"/>
    <w:link w:val="s05"/>
    <w:locked w:val="1"/>
    <w:rsid w:val="00E84AEA"/>
    <w:rPr>
      <w:rFonts w:ascii="Arial" w:hAnsi="Arial"/>
      <w:bCs w:val="1"/>
      <w:sz w:val="22"/>
      <w:szCs w:val="28"/>
    </w:rPr>
  </w:style>
  <w:style w:type="paragraph" w:styleId="af4" w:customStyle="1">
    <w:name w:val="Обычный ненумерованный"/>
    <w:basedOn w:val="a"/>
    <w:link w:val="af5"/>
    <w:qFormat w:val="1"/>
    <w:rsid w:val="001E3D24"/>
    <w:pPr>
      <w:spacing w:after="60"/>
      <w:ind w:left="851"/>
      <w:jc w:val="both"/>
    </w:pPr>
  </w:style>
  <w:style w:type="character" w:styleId="af5" w:customStyle="1">
    <w:name w:val="Обычный ненумерованный Знак"/>
    <w:link w:val="af4"/>
    <w:rsid w:val="001E3D24"/>
    <w:rPr>
      <w:rFonts w:ascii="Arial" w:hAnsi="Arial"/>
      <w:sz w:val="22"/>
      <w:szCs w:val="24"/>
    </w:rPr>
  </w:style>
  <w:style w:type="paragraph" w:styleId="TableTitle2" w:customStyle="1">
    <w:name w:val="Table_Title2"/>
    <w:rsid w:val="001E3D24"/>
    <w:pPr>
      <w:spacing w:after="57" w:before="57"/>
    </w:pPr>
    <w:rPr>
      <w:rFonts w:ascii="Arial" w:cs="Arial" w:eastAsia="Arial" w:hAnsi="Arial"/>
      <w:b w:val="1"/>
      <w:color w:val="000000"/>
      <w:sz w:val="22"/>
      <w:szCs w:val="22"/>
      <w:shd w:color="auto" w:fill="b0c4de" w:val="clear"/>
    </w:rPr>
  </w:style>
  <w:style w:type="paragraph" w:styleId="TableResp" w:customStyle="1">
    <w:name w:val="Table_Resp"/>
    <w:rsid w:val="001E3D24"/>
    <w:pPr>
      <w:spacing w:after="57" w:before="57"/>
    </w:pPr>
    <w:rPr>
      <w:rFonts w:ascii="Arial" w:cs="Arial" w:eastAsia="Arial" w:hAnsi="Arial"/>
      <w:color w:val="000000"/>
      <w:sz w:val="22"/>
      <w:szCs w:val="22"/>
      <w:shd w:color="auto" w:fill="cccccc" w:val="clear"/>
    </w:rPr>
  </w:style>
  <w:style w:type="paragraph" w:styleId="TableText" w:customStyle="1">
    <w:name w:val="Table_Text"/>
    <w:rsid w:val="001E3D24"/>
    <w:pPr>
      <w:spacing w:after="57" w:before="57"/>
    </w:pPr>
    <w:rPr>
      <w:rFonts w:ascii="Arial" w:cs="Arial" w:eastAsia="Arial" w:hAnsi="Arial"/>
      <w:color w:val="000000"/>
      <w:sz w:val="22"/>
      <w:szCs w:val="22"/>
    </w:rPr>
  </w:style>
  <w:style w:type="paragraph" w:styleId="af6">
    <w:name w:val="List Paragraph"/>
    <w:basedOn w:val="a"/>
    <w:link w:val="af7"/>
    <w:uiPriority w:val="34"/>
    <w:qFormat w:val="1"/>
    <w:rsid w:val="008300C2"/>
    <w:pPr>
      <w:ind w:left="720"/>
      <w:contextualSpacing w:val="1"/>
    </w:pPr>
  </w:style>
  <w:style w:type="paragraph" w:styleId="20" w:customStyle="1">
    <w:name w:val="Обычный 2"/>
    <w:basedOn w:val="af6"/>
    <w:link w:val="22"/>
    <w:qFormat w:val="1"/>
    <w:rsid w:val="008300C2"/>
    <w:pPr>
      <w:numPr>
        <w:ilvl w:val="1"/>
        <w:numId w:val="11"/>
      </w:numPr>
      <w:spacing w:after="60"/>
      <w:contextualSpacing w:val="0"/>
      <w:jc w:val="both"/>
    </w:pPr>
  </w:style>
  <w:style w:type="character" w:styleId="af7" w:customStyle="1">
    <w:name w:val="Абзац списка Знак"/>
    <w:link w:val="af6"/>
    <w:uiPriority w:val="34"/>
    <w:rsid w:val="008300C2"/>
    <w:rPr>
      <w:rFonts w:ascii="Arial" w:hAnsi="Arial"/>
      <w:sz w:val="22"/>
      <w:szCs w:val="24"/>
    </w:rPr>
  </w:style>
  <w:style w:type="character" w:styleId="22" w:customStyle="1">
    <w:name w:val="Обычный 2 Знак"/>
    <w:link w:val="20"/>
    <w:rsid w:val="008300C2"/>
    <w:rPr>
      <w:rFonts w:ascii="Arial" w:hAnsi="Arial"/>
      <w:sz w:val="22"/>
      <w:szCs w:val="24"/>
    </w:rPr>
  </w:style>
  <w:style w:type="paragraph" w:styleId="af8" w:customStyle="1">
    <w:name w:val="Для подписей"/>
    <w:basedOn w:val="a"/>
    <w:link w:val="af9"/>
    <w:qFormat w:val="1"/>
    <w:rsid w:val="008300C2"/>
    <w:pPr>
      <w:jc w:val="right"/>
    </w:pPr>
    <w:rPr>
      <w:i w:val="1"/>
    </w:rPr>
  </w:style>
  <w:style w:type="character" w:styleId="af9" w:customStyle="1">
    <w:name w:val="Для подписей Знак"/>
    <w:link w:val="af8"/>
    <w:rsid w:val="008300C2"/>
    <w:rPr>
      <w:rFonts w:ascii="Arial" w:hAnsi="Arial"/>
      <w:i w:val="1"/>
      <w:sz w:val="22"/>
      <w:szCs w:val="24"/>
    </w:rPr>
  </w:style>
  <w:style w:type="paragraph" w:styleId="TableTitle" w:customStyle="1">
    <w:name w:val="Table_Title"/>
    <w:rsid w:val="008300C2"/>
    <w:pPr>
      <w:spacing w:after="57" w:before="57"/>
      <w:jc w:val="center"/>
    </w:pPr>
    <w:rPr>
      <w:rFonts w:ascii="Arial" w:cs="Arial" w:eastAsia="Arial" w:hAnsi="Arial"/>
      <w:b w:val="1"/>
      <w:color w:val="000000"/>
      <w:sz w:val="22"/>
      <w:szCs w:val="22"/>
      <w:shd w:color="auto" w:fill="b0c4de" w:val="clear"/>
    </w:rPr>
  </w:style>
  <w:style w:type="paragraph" w:styleId="MatrixResp" w:customStyle="1">
    <w:name w:val="Matrix_Resp"/>
    <w:rsid w:val="008300C2"/>
    <w:rPr>
      <w:rFonts w:ascii="Arial" w:cs="Arial" w:eastAsia="Arial" w:hAnsi="Arial"/>
      <w:color w:val="000000"/>
      <w:sz w:val="16"/>
      <w:szCs w:val="22"/>
      <w:shd w:color="auto" w:fill="b0c4de" w:val="clear"/>
    </w:rPr>
  </w:style>
  <w:style w:type="paragraph" w:styleId="MatrixText" w:customStyle="1">
    <w:name w:val="Matrix_Text"/>
    <w:rsid w:val="008300C2"/>
    <w:pPr>
      <w:spacing w:after="57" w:before="57"/>
    </w:pPr>
    <w:rPr>
      <w:rFonts w:ascii="Arial" w:cs="Arial" w:eastAsia="Arial" w:hAnsi="Arial"/>
      <w:color w:val="000000"/>
      <w:sz w:val="16"/>
      <w:szCs w:val="22"/>
    </w:rPr>
  </w:style>
  <w:style w:type="paragraph" w:styleId="TableText2" w:customStyle="1">
    <w:name w:val="Table_Text2"/>
    <w:rsid w:val="007C4DDC"/>
    <w:pPr>
      <w:spacing w:after="57" w:before="57"/>
    </w:pPr>
    <w:rPr>
      <w:rFonts w:ascii="Arial" w:cs="Arial" w:eastAsia="Arial" w:hAnsi="Arial"/>
      <w:color w:val="ff0000"/>
      <w:sz w:val="22"/>
      <w:szCs w:val="22"/>
    </w:rPr>
  </w:style>
  <w:style w:type="paragraph" w:styleId="Tablesogldrptext" w:customStyle="1">
    <w:name w:val="Table_sogldrp_text"/>
    <w:rsid w:val="007C4DDC"/>
    <w:rPr>
      <w:rFonts w:ascii="Arial" w:cs="Arial" w:eastAsia="Arial" w:hAnsi="Arial"/>
      <w:color w:val="000000"/>
      <w:sz w:val="22"/>
      <w:szCs w:val="22"/>
    </w:rPr>
  </w:style>
  <w:style w:type="paragraph" w:styleId="31" w:customStyle="1">
    <w:name w:val="Обычный 3"/>
    <w:basedOn w:val="a"/>
    <w:link w:val="32"/>
    <w:qFormat w:val="1"/>
    <w:rsid w:val="00A92702"/>
    <w:pPr>
      <w:spacing w:after="60"/>
      <w:ind w:left="1276" w:hanging="850"/>
      <w:jc w:val="both"/>
    </w:pPr>
  </w:style>
  <w:style w:type="character" w:styleId="32" w:customStyle="1">
    <w:name w:val="Обычный 3 Знак"/>
    <w:link w:val="31"/>
    <w:rsid w:val="00A92702"/>
    <w:rPr>
      <w:rFonts w:ascii="Arial" w:hAnsi="Arial"/>
      <w:sz w:val="22"/>
      <w:szCs w:val="24"/>
    </w:rPr>
  </w:style>
  <w:style w:type="character" w:styleId="s110" w:customStyle="1">
    <w:name w:val="s11 Т Обычн Знак"/>
    <w:link w:val="s11"/>
    <w:locked w:val="1"/>
    <w:rsid w:val="00D027FB"/>
    <w:rPr>
      <w:rFonts w:ascii="Arial" w:hAnsi="Arial"/>
      <w:szCs w:val="24"/>
    </w:rPr>
  </w:style>
  <w:style w:type="character" w:styleId="s030" w:customStyle="1">
    <w:name w:val="s03 Пункт Знак"/>
    <w:basedOn w:val="a0"/>
    <w:link w:val="s03"/>
    <w:rsid w:val="00676C37"/>
    <w:rPr>
      <w:rFonts w:ascii="Arial" w:hAnsi="Arial"/>
      <w:bCs w:val="1"/>
      <w:sz w:val="22"/>
      <w:szCs w:val="28"/>
    </w:rPr>
  </w:style>
  <w:style w:type="paragraph" w:styleId="MatrixTD" w:customStyle="1">
    <w:name w:val="MatrixTD"/>
    <w:rsid w:val="009A3AEE"/>
    <w:rPr>
      <w:rFonts w:ascii="Arial" w:cs="Arial" w:eastAsia="Arial" w:hAnsi="Arial"/>
      <w:color w:val="000000"/>
    </w:rPr>
  </w:style>
  <w:style w:type="character" w:styleId="s100" w:customStyle="1">
    <w:name w:val="s10 заголовок таблицы Знак"/>
    <w:basedOn w:val="s000"/>
    <w:link w:val="s10"/>
    <w:rsid w:val="009B07BB"/>
    <w:rPr>
      <w:rFonts w:ascii="Arial" w:hAnsi="Arial"/>
      <w:sz w:val="22"/>
      <w:szCs w:val="24"/>
      <w:lang w:bidi="ar-SA" w:eastAsia="ru-RU" w:val="ru-RU"/>
    </w:rPr>
  </w:style>
  <w:style w:type="paragraph" w:styleId="DocHeader" w:customStyle="1">
    <w:name w:val="DocHeader"/>
    <w:basedOn w:val="a6"/>
    <w:link w:val="DocHeader0"/>
    <w:qFormat w:val="1"/>
    <w:rsid w:val="00D80C2D"/>
    <w:pPr>
      <w:tabs>
        <w:tab w:val="right" w:pos="9360"/>
      </w:tabs>
    </w:pPr>
  </w:style>
  <w:style w:type="paragraph" w:styleId="DocTitle" w:customStyle="1">
    <w:name w:val="DocTitle"/>
    <w:basedOn w:val="s24"/>
    <w:link w:val="DocTitle0"/>
    <w:qFormat w:val="1"/>
    <w:rsid w:val="00EB33BB"/>
    <w:pPr>
      <w:framePr w:lines="0" w:hSpace="180" w:wrap="around" w:hAnchor="margin" w:vAnchor="page" w:y="4659"/>
    </w:pPr>
  </w:style>
  <w:style w:type="character" w:styleId="a7" w:customStyle="1">
    <w:name w:val="Верхний колонтитул Знак"/>
    <w:basedOn w:val="s000"/>
    <w:link w:val="a6"/>
    <w:rsid w:val="00D80C2D"/>
    <w:rPr>
      <w:rFonts w:ascii="Arial" w:hAnsi="Arial"/>
      <w:sz w:val="22"/>
      <w:szCs w:val="24"/>
      <w:lang w:bidi="ar-SA" w:eastAsia="ru-RU" w:val="ru-RU"/>
    </w:rPr>
  </w:style>
  <w:style w:type="character" w:styleId="DocHeader0" w:customStyle="1">
    <w:name w:val="DocHeader Знак"/>
    <w:basedOn w:val="a7"/>
    <w:link w:val="DocHeader"/>
    <w:rsid w:val="00D80C2D"/>
    <w:rPr>
      <w:rFonts w:ascii="Arial" w:hAnsi="Arial"/>
      <w:sz w:val="22"/>
      <w:szCs w:val="24"/>
      <w:lang w:bidi="ar-SA" w:eastAsia="ru-RU" w:val="ru-RU"/>
    </w:rPr>
  </w:style>
  <w:style w:type="character" w:styleId="s240" w:customStyle="1">
    <w:name w:val="s24 Титульный лист Знак"/>
    <w:basedOn w:val="s000"/>
    <w:link w:val="s24"/>
    <w:rsid w:val="00EB33BB"/>
    <w:rPr>
      <w:rFonts w:ascii="Arial" w:hAnsi="Arial"/>
      <w:b w:val="1"/>
      <w:sz w:val="32"/>
      <w:szCs w:val="24"/>
      <w:lang w:bidi="ar-SA" w:eastAsia="ru-RU" w:val="ru-RU"/>
    </w:rPr>
  </w:style>
  <w:style w:type="character" w:styleId="DocTitle0" w:customStyle="1">
    <w:name w:val="DocTitle Знак"/>
    <w:basedOn w:val="s240"/>
    <w:link w:val="DocTitle"/>
    <w:rsid w:val="00EB33BB"/>
    <w:rPr>
      <w:rFonts w:ascii="Arial" w:hAnsi="Arial"/>
      <w:b w:val="1"/>
      <w:sz w:val="32"/>
      <w:szCs w:val="24"/>
      <w:lang w:bidi="ar-SA" w:eastAsia="ru-RU" w:val="ru-RU"/>
    </w:rPr>
  </w:style>
  <w:style w:type="paragraph" w:styleId="NormalText" w:customStyle="1">
    <w:name w:val="NormalText"/>
    <w:basedOn w:val="s00"/>
    <w:link w:val="NormalText0"/>
    <w:qFormat w:val="1"/>
    <w:rsid w:val="003E4C5E"/>
    <w:rPr>
      <w:szCs w:val="22"/>
    </w:rPr>
  </w:style>
  <w:style w:type="paragraph" w:styleId="ListBullet" w:customStyle="1">
    <w:name w:val="ListBullet"/>
    <w:basedOn w:val="s05"/>
    <w:link w:val="ListBullet0"/>
    <w:qFormat w:val="1"/>
    <w:rsid w:val="00D653A1"/>
    <w:pPr>
      <w:numPr>
        <w:ilvl w:val="0"/>
        <w:numId w:val="12"/>
      </w:numPr>
      <w:ind w:left="1054" w:hanging="357"/>
      <w:outlineLvl w:val="9"/>
    </w:pPr>
    <w:rPr>
      <w:noProof w:val="1"/>
      <w:lang w:val="en-US"/>
    </w:rPr>
  </w:style>
  <w:style w:type="character" w:styleId="NormalText0" w:customStyle="1">
    <w:name w:val="NormalText Знак"/>
    <w:basedOn w:val="s000"/>
    <w:link w:val="NormalText"/>
    <w:rsid w:val="003E4C5E"/>
    <w:rPr>
      <w:rFonts w:ascii="Arial" w:hAnsi="Arial"/>
      <w:sz w:val="22"/>
      <w:szCs w:val="22"/>
      <w:lang w:bidi="ar-SA" w:eastAsia="ru-RU" w:val="ru-RU"/>
    </w:rPr>
  </w:style>
  <w:style w:type="character" w:styleId="ListBullet0" w:customStyle="1">
    <w:name w:val="ListBullet Знак"/>
    <w:basedOn w:val="s050"/>
    <w:link w:val="ListBullet"/>
    <w:rsid w:val="00D653A1"/>
    <w:rPr>
      <w:rFonts w:ascii="Arial" w:hAnsi="Arial"/>
      <w:bCs w:val="1"/>
      <w:noProof w:val="1"/>
      <w:sz w:val="22"/>
      <w:szCs w:val="28"/>
      <w:lang w:val="en-US"/>
    </w:rPr>
  </w:style>
  <w:style w:type="paragraph" w:styleId="ListNum2" w:customStyle="1">
    <w:name w:val="ListNum2"/>
    <w:basedOn w:val="s05"/>
    <w:link w:val="ListNum20"/>
    <w:qFormat w:val="1"/>
    <w:rsid w:val="004C7948"/>
    <w:pPr>
      <w:outlineLvl w:val="1"/>
    </w:pPr>
    <w:rPr>
      <w:lang w:val="en-US"/>
    </w:rPr>
  </w:style>
  <w:style w:type="character" w:styleId="ListNum20" w:customStyle="1">
    <w:name w:val="ListNum2 Знак"/>
    <w:basedOn w:val="s050"/>
    <w:link w:val="ListNum2"/>
    <w:rsid w:val="004C7948"/>
    <w:rPr>
      <w:rFonts w:ascii="Arial" w:hAnsi="Arial"/>
      <w:bCs w:val="1"/>
      <w:sz w:val="22"/>
      <w:szCs w:val="28"/>
      <w:lang w:val="en-US"/>
    </w:rPr>
  </w:style>
  <w:style w:type="paragraph" w:styleId="ColorText" w:customStyle="1">
    <w:name w:val="ColorText"/>
    <w:basedOn w:val="s00"/>
    <w:link w:val="ColorText0"/>
    <w:qFormat w:val="1"/>
    <w:rsid w:val="0096733B"/>
    <w:rPr>
      <w:color w:val="0070c0"/>
    </w:rPr>
  </w:style>
  <w:style w:type="character" w:styleId="ColorText0" w:customStyle="1">
    <w:name w:val="ColorText Знак"/>
    <w:basedOn w:val="s000"/>
    <w:link w:val="ColorText"/>
    <w:rsid w:val="0096733B"/>
    <w:rPr>
      <w:rFonts w:ascii="Arial" w:hAnsi="Arial"/>
      <w:color w:val="0070c0"/>
      <w:sz w:val="22"/>
      <w:szCs w:val="24"/>
      <w:lang w:bidi="ar-SA" w:eastAsia="ru-RU" w:val="ru-RU"/>
    </w:rPr>
  </w:style>
  <w:style w:type="paragraph" w:styleId="TableTitle0" w:customStyle="1">
    <w:name w:val="TableTitle"/>
    <w:basedOn w:val="s10"/>
    <w:link w:val="TableTitle1"/>
    <w:qFormat w:val="1"/>
    <w:rsid w:val="00B95061"/>
    <w:rPr>
      <w:lang w:val="en-US"/>
    </w:rPr>
  </w:style>
  <w:style w:type="paragraph" w:styleId="ListNum3" w:customStyle="1">
    <w:name w:val="ListNum3"/>
    <w:basedOn w:val="s03"/>
    <w:link w:val="ListNum30"/>
    <w:qFormat w:val="1"/>
    <w:rsid w:val="00B95061"/>
    <w:pPr>
      <w:tabs>
        <w:tab w:val="clear" w:pos="1997"/>
        <w:tab w:val="num" w:pos="1713"/>
      </w:tabs>
      <w:spacing w:before="160"/>
      <w:ind w:left="653"/>
    </w:pPr>
  </w:style>
  <w:style w:type="character" w:styleId="TableTitle1" w:customStyle="1">
    <w:name w:val="TableTitle Знак"/>
    <w:basedOn w:val="s100"/>
    <w:link w:val="TableTitle0"/>
    <w:rsid w:val="00B95061"/>
    <w:rPr>
      <w:rFonts w:ascii="Arial" w:hAnsi="Arial"/>
      <w:sz w:val="22"/>
      <w:szCs w:val="24"/>
      <w:lang w:bidi="ar-SA" w:eastAsia="ru-RU" w:val="en-US"/>
    </w:rPr>
  </w:style>
  <w:style w:type="character" w:styleId="ListNum30" w:customStyle="1">
    <w:name w:val="ListNum3 Знак"/>
    <w:basedOn w:val="s030"/>
    <w:link w:val="ListNum3"/>
    <w:rsid w:val="00B95061"/>
    <w:rPr>
      <w:rFonts w:ascii="Arial" w:hAnsi="Arial"/>
      <w:bCs w:val="1"/>
      <w:sz w:val="22"/>
      <w:szCs w:val="28"/>
    </w:rPr>
  </w:style>
  <w:style w:type="paragraph" w:styleId="ItalicText" w:customStyle="1">
    <w:name w:val="ItalicText"/>
    <w:basedOn w:val="s00"/>
    <w:link w:val="ItalicText0"/>
    <w:qFormat w:val="1"/>
    <w:rsid w:val="00174F39"/>
    <w:rPr>
      <w:i w:val="1"/>
      <w:color w:val="a6a6a6" w:themeColor="background1" w:themeShade="0000A6"/>
      <w:szCs w:val="22"/>
    </w:rPr>
  </w:style>
  <w:style w:type="character" w:styleId="ItalicText0" w:customStyle="1">
    <w:name w:val="ItalicText Знак"/>
    <w:basedOn w:val="s000"/>
    <w:link w:val="ItalicText"/>
    <w:rsid w:val="00174F39"/>
    <w:rPr>
      <w:rFonts w:ascii="Arial" w:hAnsi="Arial"/>
      <w:i w:val="1"/>
      <w:color w:val="a6a6a6" w:themeColor="background1" w:themeShade="0000A6"/>
      <w:sz w:val="22"/>
      <w:szCs w:val="22"/>
      <w:lang w:bidi="ar-SA" w:eastAsia="ru-RU" w:val="ru-RU"/>
    </w:rPr>
  </w:style>
  <w:style w:type="paragraph" w:styleId="12" w:customStyle="1">
    <w:name w:val="Обычный1"/>
    <w:basedOn w:val="s00"/>
    <w:link w:val="Normal"/>
    <w:qFormat w:val="1"/>
    <w:rsid w:val="00826E2F"/>
    <w:pPr>
      <w:spacing w:before="80"/>
      <w:ind w:firstLine="0"/>
    </w:pPr>
    <w:rPr>
      <w:noProof w:val="1"/>
      <w:sz w:val="20"/>
    </w:rPr>
  </w:style>
  <w:style w:type="character" w:styleId="Normal" w:customStyle="1">
    <w:name w:val="Normal Знак"/>
    <w:basedOn w:val="s000"/>
    <w:link w:val="12"/>
    <w:rsid w:val="00826E2F"/>
    <w:rPr>
      <w:rFonts w:ascii="Arial" w:hAnsi="Arial"/>
      <w:noProof w:val="1"/>
      <w:sz w:val="22"/>
      <w:szCs w:val="24"/>
      <w:lang w:bidi="ar-SA" w:eastAsia="ru-RU" w:val="ru-RU"/>
    </w:rPr>
  </w:style>
  <w:style w:type="paragraph" w:styleId="Notice" w:customStyle="1">
    <w:name w:val="Notice"/>
    <w:basedOn w:val="s00"/>
    <w:link w:val="Notice0"/>
    <w:qFormat w:val="1"/>
    <w:rsid w:val="00893017"/>
    <w:pPr>
      <w:spacing w:before="80"/>
      <w:ind w:firstLine="0"/>
    </w:pPr>
    <w:rPr>
      <w:sz w:val="20"/>
      <w:szCs w:val="22"/>
      <w:lang w:val="en-US"/>
    </w:rPr>
  </w:style>
  <w:style w:type="character" w:styleId="Notice0" w:customStyle="1">
    <w:name w:val="Notice Знак"/>
    <w:basedOn w:val="s000"/>
    <w:link w:val="Notice"/>
    <w:rsid w:val="00893017"/>
    <w:rPr>
      <w:rFonts w:ascii="Arial" w:hAnsi="Arial"/>
      <w:sz w:val="22"/>
      <w:szCs w:val="22"/>
      <w:lang w:bidi="ar-SA" w:eastAsia="ru-RU" w:val="en-US"/>
    </w:rPr>
  </w:style>
  <w:style w:type="paragraph" w:styleId="NormalCenterText" w:customStyle="1">
    <w:name w:val="NormalCenterText"/>
    <w:basedOn w:val="NormalText"/>
    <w:link w:val="NormalCenterText0"/>
    <w:qFormat w:val="1"/>
    <w:rsid w:val="00F2307E"/>
    <w:pPr>
      <w:ind w:firstLine="0"/>
      <w:jc w:val="center"/>
    </w:pPr>
  </w:style>
  <w:style w:type="character" w:styleId="NormalCenterText0" w:customStyle="1">
    <w:name w:val="NormalCenterText Знак"/>
    <w:basedOn w:val="NormalText0"/>
    <w:link w:val="NormalCenterText"/>
    <w:rsid w:val="00F2307E"/>
    <w:rPr>
      <w:rFonts w:ascii="Arial" w:hAnsi="Arial"/>
      <w:sz w:val="22"/>
      <w:szCs w:val="22"/>
      <w:lang w:bidi="ar-SA" w:eastAsia="ru-RU" w:val="ru-RU"/>
    </w:rPr>
  </w:style>
  <w:style w:type="character" w:styleId="aa" w:customStyle="1">
    <w:name w:val="Текст сноски Знак"/>
    <w:basedOn w:val="a0"/>
    <w:link w:val="a9"/>
    <w:uiPriority w:val="99"/>
    <w:rsid w:val="009C4CC5"/>
    <w:rPr>
      <w:rFonts w:ascii="Arial" w:hAnsi="Arial"/>
    </w:rPr>
  </w:style>
  <w:style w:type="paragraph" w:styleId="TemplatesTH" w:customStyle="1">
    <w:name w:val="TemplatesTH"/>
    <w:rPr>
      <w:rFonts w:ascii="Arial" w:cs="Arial" w:eastAsia="Arial" w:hAnsi="Arial"/>
      <w:b w:val="1"/>
      <w:color w:val="000000"/>
    </w:rPr>
  </w:style>
  <w:style w:type="paragraph" w:styleId="TemplatesTD" w:customStyle="1">
    <w:name w:val="TemplatesTD"/>
    <w:rPr>
      <w:rFonts w:ascii="Arial" w:cs="Arial" w:eastAsia="Arial" w:hAnsi="Arial"/>
      <w:color w:val="000000"/>
    </w:rPr>
  </w:style>
  <w:style w:type="paragraph" w:styleId="NeighborsTH" w:customStyle="1">
    <w:name w:val="NeighborsTH"/>
    <w:pPr>
      <w:jc w:val="center"/>
    </w:pPr>
    <w:rPr>
      <w:rFonts w:ascii="Arial" w:cs="Arial" w:eastAsia="Arial" w:hAnsi="Arial"/>
      <w:b w:val="1"/>
      <w:color w:val="000000"/>
    </w:rPr>
  </w:style>
  <w:style w:type="paragraph" w:styleId="NeighborsTD" w:customStyle="1">
    <w:name w:val="NeighborsTD"/>
    <w:rPr>
      <w:rFonts w:ascii="Arial" w:cs="Arial" w:eastAsia="Arial" w:hAnsi="Arial"/>
      <w:color w:val="000000"/>
    </w:rPr>
  </w:style>
  <w:style w:type="paragraph" w:styleId="OperationsTH1" w:customStyle="1">
    <w:name w:val="OperationsTH1"/>
    <w:rPr>
      <w:rFonts w:ascii="Arial" w:cs="Arial" w:eastAsia="Arial" w:hAnsi="Arial"/>
      <w:b w:val="1"/>
      <w:color w:val="000000"/>
      <w:shd w:color="auto" w:fill="b0c4de" w:val="clear"/>
    </w:rPr>
  </w:style>
  <w:style w:type="paragraph" w:styleId="OperationsTH2" w:customStyle="1">
    <w:name w:val="OperationsTH2"/>
    <w:rPr>
      <w:rFonts w:ascii="Arial" w:cs="Arial" w:eastAsia="Arial" w:hAnsi="Arial"/>
      <w:color w:val="000000"/>
      <w:shd w:color="auto" w:fill="cccccc" w:val="clear"/>
    </w:rPr>
  </w:style>
  <w:style w:type="paragraph" w:styleId="OperationsTD" w:customStyle="1">
    <w:name w:val="OperationsTD"/>
    <w:rPr>
      <w:rFonts w:ascii="Arial" w:cs="Arial" w:eastAsia="Arial" w:hAnsi="Arial"/>
      <w:color w:val="000000"/>
    </w:rPr>
  </w:style>
  <w:style w:type="paragraph" w:styleId="OperationsBold" w:customStyle="1">
    <w:name w:val="OperationsBold"/>
    <w:rPr>
      <w:rFonts w:ascii="Arial" w:cs="Arial" w:eastAsia="Arial" w:hAnsi="Arial"/>
      <w:b w:val="1"/>
      <w:color w:val="000000"/>
    </w:rPr>
  </w:style>
  <w:style w:type="paragraph" w:styleId="OperationsBoldUnd" w:customStyle="1">
    <w:name w:val="OperationsBoldUnd"/>
    <w:rPr>
      <w:rFonts w:ascii="Arial" w:cs="Arial" w:eastAsia="Arial" w:hAnsi="Arial"/>
      <w:b w:val="1"/>
      <w:color w:val="000000"/>
      <w:u w:val="single"/>
    </w:rPr>
  </w:style>
  <w:style w:type="paragraph" w:styleId="OperationsColor" w:customStyle="1">
    <w:name w:val="OperationsColor"/>
    <w:rPr>
      <w:rFonts w:ascii="Arial" w:cs="Arial" w:eastAsia="Arial" w:hAnsi="Arial"/>
      <w:color w:val="0070c0"/>
    </w:rPr>
  </w:style>
  <w:style w:type="paragraph" w:styleId="OperationsGreyItalic" w:customStyle="1">
    <w:name w:val="OperationsGreyItalic"/>
    <w:rPr>
      <w:rFonts w:ascii="Arial" w:cs="Arial" w:eastAsia="Arial" w:hAnsi="Arial"/>
      <w:i w:val="1"/>
      <w:color w:val="a6a6a6"/>
    </w:rPr>
  </w:style>
  <w:style w:type="paragraph" w:styleId="MatrixTH1" w:customStyle="1">
    <w:name w:val="MatrixTH1"/>
    <w:pPr>
      <w:jc w:val="center"/>
    </w:pPr>
    <w:rPr>
      <w:rFonts w:ascii="Arial" w:cs="Arial" w:eastAsia="Arial" w:hAnsi="Arial"/>
      <w:b w:val="1"/>
      <w:color w:val="000000"/>
      <w:shd w:color="auto" w:fill="b0c4de" w:val="clear"/>
    </w:rPr>
  </w:style>
  <w:style w:type="paragraph" w:styleId="MatrixTH2" w:customStyle="1">
    <w:name w:val="MatrixTH2"/>
    <w:rPr>
      <w:rFonts w:ascii="Arial" w:cs="Arial" w:eastAsia="Arial" w:hAnsi="Arial"/>
      <w:color w:val="000000"/>
      <w:shd w:color="auto" w:fill="b0c4de" w:val="clear"/>
    </w:rPr>
  </w:style>
  <w:style w:type="paragraph" w:styleId="MatrixTH3" w:customStyle="1">
    <w:name w:val="MatrixTH3"/>
    <w:pPr>
      <w:jc w:val="center"/>
    </w:pPr>
    <w:rPr>
      <w:rFonts w:ascii="Arial" w:cs="Arial" w:eastAsia="Arial" w:hAnsi="Arial"/>
      <w:b w:val="1"/>
      <w:color w:val="3c3c3c"/>
      <w:shd w:color="auto" w:fill="ffffff" w:val="clear"/>
    </w:rPr>
  </w:style>
  <w:style w:type="paragraph" w:styleId="MatrixTH2White" w:customStyle="1">
    <w:name w:val="MatrixTH2White"/>
    <w:pPr>
      <w:jc w:val="center"/>
    </w:pPr>
    <w:rPr>
      <w:rFonts w:ascii="Arial" w:cs="Arial" w:eastAsia="Arial" w:hAnsi="Arial"/>
      <w:b w:val="1"/>
      <w:color w:val="3c3c3c"/>
      <w:shd w:color="auto" w:fill="ffffff" w:val="clear"/>
    </w:rPr>
  </w:style>
  <w:style w:type="paragraph" w:styleId="MatrixTH2WGrey" w:customStyle="1">
    <w:name w:val="MatrixTH2WGrey"/>
    <w:pPr>
      <w:jc w:val="center"/>
    </w:pPr>
    <w:rPr>
      <w:rFonts w:ascii="Arial" w:cs="Arial" w:eastAsia="Arial" w:hAnsi="Arial"/>
      <w:b w:val="1"/>
      <w:color w:val="3c3c3c"/>
      <w:shd w:color="auto" w:fill="f2f2f2" w:val="clear"/>
    </w:rPr>
  </w:style>
  <w:style w:type="paragraph" w:styleId="MatrixTD2White" w:customStyle="1">
    <w:name w:val="MatrixTD2White"/>
    <w:pPr>
      <w:jc w:val="center"/>
    </w:pPr>
    <w:rPr>
      <w:rFonts w:ascii="Arial" w:cs="Arial" w:eastAsia="Arial" w:hAnsi="Arial"/>
      <w:color w:val="3c3c3c"/>
      <w:shd w:color="auto" w:fill="ffffff" w:val="clear"/>
    </w:rPr>
  </w:style>
  <w:style w:type="paragraph" w:styleId="MatrixTD2WGrey" w:customStyle="1">
    <w:name w:val="MatrixTD2WGrey"/>
    <w:pPr>
      <w:jc w:val="center"/>
    </w:pPr>
    <w:rPr>
      <w:rFonts w:ascii="Arial" w:cs="Arial" w:eastAsia="Arial" w:hAnsi="Arial"/>
      <w:color w:val="3c3c3c"/>
      <w:shd w:color="auto" w:fill="f2f2f2" w:val="clear"/>
    </w:rPr>
  </w:style>
  <w:style w:type="paragraph" w:styleId="MatrixTD2" w:customStyle="1">
    <w:name w:val="MatrixTD2"/>
    <w:rPr>
      <w:rFonts w:ascii="Arial" w:cs="Arial" w:eastAsia="Arial" w:hAnsi="Arial"/>
      <w:color w:val="3c3c3c"/>
    </w:rPr>
  </w:style>
  <w:style w:type="paragraph" w:styleId="MatrixTT" w:customStyle="1">
    <w:name w:val="MatrixTT"/>
    <w:rPr>
      <w:rFonts w:ascii="Arial" w:cs="Arial" w:eastAsia="Arial" w:hAnsi="Arial"/>
      <w:color w:val="ffffff"/>
      <w:shd w:color="auto" w:fill="0070ba" w:val="clear"/>
    </w:rPr>
  </w:style>
  <w:style w:type="paragraph" w:styleId="CELLHEADUP" w:customStyle="1">
    <w:name w:val="CELL_HEAD_UP"/>
    <w:pPr>
      <w:spacing w:after="57" w:before="57"/>
    </w:pPr>
    <w:rPr>
      <w:rFonts w:ascii="Arial" w:cs="Arial" w:eastAsia="Arial" w:hAnsi="Arial"/>
      <w:color w:val="000000"/>
      <w:shd w:color="auto" w:fill="b0c4de" w:val="clear"/>
    </w:rPr>
  </w:style>
  <w:style w:type="paragraph" w:styleId="ParticipantsTH" w:customStyle="1">
    <w:name w:val="ParticipantsTH"/>
    <w:rPr>
      <w:rFonts w:ascii="Arial" w:cs="Arial" w:eastAsia="Arial" w:hAnsi="Arial"/>
      <w:b w:val="1"/>
      <w:color w:val="000000"/>
    </w:rPr>
  </w:style>
  <w:style w:type="paragraph" w:styleId="ParticipantsTD" w:customStyle="1">
    <w:name w:val="ParticipantsTD"/>
    <w:rPr>
      <w:rFonts w:ascii="Arial" w:cs="Arial" w:eastAsia="Arial" w:hAnsi="Arial"/>
      <w:color w:val="000000"/>
    </w:rPr>
  </w:style>
  <w:style w:type="paragraph" w:styleId="ParticipantsTDGreyItalic" w:customStyle="1">
    <w:name w:val="ParticipantsTDGreyItalic"/>
    <w:rPr>
      <w:rFonts w:ascii="Arial" w:cs="Arial" w:eastAsia="Arial" w:hAnsi="Arial"/>
      <w:i w:val="1"/>
      <w:color w:val="a6a6a6"/>
    </w:rPr>
  </w:style>
  <w:style w:type="paragraph" w:styleId="ParticipantsTDColor" w:customStyle="1">
    <w:name w:val="ParticipantsTDColor"/>
    <w:rPr>
      <w:rFonts w:ascii="Arial" w:cs="Arial" w:eastAsia="Arial" w:hAnsi="Arial"/>
      <w:color w:val="0070c0"/>
    </w:rPr>
  </w:style>
  <w:style w:type="character" w:styleId="s020" w:customStyle="1">
    <w:name w:val="s02 подРАЗДЕЛ Знак"/>
    <w:basedOn w:val="a0"/>
    <w:link w:val="s02"/>
    <w:locked w:val="1"/>
    <w:rsid w:val="00C46777"/>
    <w:rPr>
      <w:rFonts w:ascii="Arial" w:hAnsi="Arial"/>
      <w:b w:val="1"/>
      <w:bCs w:val="1"/>
      <w:sz w:val="22"/>
      <w:szCs w:val="28"/>
    </w:rPr>
  </w:style>
  <w:style w:type="character" w:styleId="13" w:customStyle="1">
    <w:name w:val="Основной текст Знак1"/>
    <w:basedOn w:val="a0"/>
    <w:link w:val="afa"/>
    <w:uiPriority w:val="99"/>
    <w:locked w:val="1"/>
    <w:rsid w:val="00A15C98"/>
    <w:rPr>
      <w:sz w:val="26"/>
      <w:szCs w:val="26"/>
      <w:shd w:color="auto" w:fill="ffffff" w:val="clear"/>
    </w:rPr>
  </w:style>
  <w:style w:type="paragraph" w:styleId="afa">
    <w:name w:val="Body Text"/>
    <w:basedOn w:val="a"/>
    <w:link w:val="13"/>
    <w:uiPriority w:val="99"/>
    <w:locked w:val="1"/>
    <w:rsid w:val="00A15C98"/>
    <w:pPr>
      <w:widowControl w:val="0"/>
      <w:shd w:color="auto" w:fill="ffffff" w:val="clear"/>
      <w:spacing w:after="600" w:before="600" w:line="331" w:lineRule="exact"/>
      <w:ind w:hanging="980"/>
      <w:jc w:val="both"/>
    </w:pPr>
    <w:rPr>
      <w:rFonts w:ascii="Times New Roman" w:hAnsi="Times New Roman"/>
      <w:sz w:val="26"/>
      <w:szCs w:val="26"/>
    </w:rPr>
  </w:style>
  <w:style w:type="character" w:styleId="afb" w:customStyle="1">
    <w:name w:val="Основной текст Знак"/>
    <w:basedOn w:val="a0"/>
    <w:semiHidden w:val="1"/>
    <w:rsid w:val="00A15C98"/>
    <w:rPr>
      <w:rFonts w:ascii="Arial" w:hAnsi="Arial"/>
      <w:sz w:val="22"/>
      <w:szCs w:val="24"/>
    </w:rPr>
  </w:style>
  <w:style w:type="character" w:styleId="af0" w:customStyle="1">
    <w:name w:val="Текст примечания Знак"/>
    <w:basedOn w:val="a0"/>
    <w:link w:val="af"/>
    <w:uiPriority w:val="99"/>
    <w:semiHidden w:val="1"/>
    <w:locked w:val="1"/>
    <w:rsid w:val="00754CAC"/>
    <w:rPr>
      <w:rFonts w:ascii="Arial" w:hAnsi="Arial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jc w:val="both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numbering" Target="numbering.xml"/><Relationship Id="rId12" Type="http://schemas.openxmlformats.org/officeDocument/2006/relationships/footnotes" Target="footnotes.xml"/><Relationship Id="rId1" Type="http://schemas.openxmlformats.org/officeDocument/2006/relationships/image" Target="media/image1.emf"/><Relationship Id="rId2" Type="http://schemas.openxmlformats.org/officeDocument/2006/relationships/package" Target="embeddings/Microsoft_Excel_Sheet1.xlsx"/><Relationship Id="rId3" Type="http://schemas.openxmlformats.org/officeDocument/2006/relationships/image" Target="media/image3.emf"/><Relationship Id="rId4" Type="http://schemas.openxmlformats.org/officeDocument/2006/relationships/package" Target="embeddings/Microsoft_Excel_Sheet3.xlsx"/><Relationship Id="rId9" Type="http://schemas.openxmlformats.org/officeDocument/2006/relationships/theme" Target="theme/theme1.xml"/><Relationship Id="rId15" Type="http://schemas.openxmlformats.org/officeDocument/2006/relationships/customXml" Target="../customXML/item1.xml"/><Relationship Id="rId14" Type="http://schemas.openxmlformats.org/officeDocument/2006/relationships/styles" Target="styles.xml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image" Target="media/image2.emf"/><Relationship Id="rId18" Type="http://schemas.openxmlformats.org/officeDocument/2006/relationships/footer" Target="footer1.xml"/><Relationship Id="rId6" Type="http://schemas.openxmlformats.org/officeDocument/2006/relationships/package" Target="embeddings/Microsoft_Excel_Sheet2.xlsx"/><Relationship Id="rId7" Type="http://schemas.openxmlformats.org/officeDocument/2006/relationships/image" Target="media/image4.emf"/><Relationship Id="rId8" Type="http://schemas.openxmlformats.org/officeDocument/2006/relationships/package" Target="embeddings/Microsoft_Excel_Sheet4.xlsx"/></Relationships>
</file>

<file path=word/_rels/fontTable.xml.rels><?xml version="1.0" encoding="UTF-8" standalone="yes"?><Relationships xmlns="http://schemas.openxmlformats.org/package/2006/relationships"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McibcmtpW8yKHT2vXHlnUf+kJ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DeGN0SlFyN1FBcWVURG1XNEYzbFlYMXlCUmZzOXh4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2022-05-27T14:07:00Z</dcterms:created>
  <dc:creator>Маслий Андрей Игоревич</dc:creator>
</cp:coreProperties>
</file>