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1</w:t>
      </w:r>
      <w:r w:rsidDel="00000000" w:rsidR="00000000" w:rsidRPr="00000000">
        <w:rPr>
          <w:rFonts w:ascii="Arial" w:cs="Arial" w:eastAsia="Arial" w:hAnsi="Arial"/>
          <w:color w:val="1f1f1f"/>
          <w:rtl w:val="0"/>
        </w:rPr>
        <w:t xml:space="preserve"> (24’’) (TOT: ca. 12,5’)</w:t>
      </w:r>
      <w:r w:rsidDel="00000000" w:rsidR="00000000" w:rsidRPr="00000000">
        <w:rPr>
          <w:rtl w:val="0"/>
        </w:rPr>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Today we present an experimental radiomics-based Computer-Aided Diagnosis pipeline to distinguish advanced diverticular disease from colorectal cancer (CRC) using 3D CT Colonography (CTC). The project develops and evaluates a classification model, trained on manually segmented ROIs, in a realistic multi-center scenario, while also considering inter-operator variability.</w:t>
      </w:r>
      <w:r w:rsidDel="00000000" w:rsidR="00000000" w:rsidRPr="00000000">
        <w:rPr>
          <w:rtl w:val="0"/>
        </w:rPr>
      </w:r>
    </w:p>
    <w:p w:rsidR="00000000" w:rsidDel="00000000" w:rsidP="00000000" w:rsidRDefault="00000000" w:rsidRPr="00000000" w14:paraId="00000003">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2</w:t>
      </w:r>
      <w:r w:rsidDel="00000000" w:rsidR="00000000" w:rsidRPr="00000000">
        <w:rPr>
          <w:rFonts w:ascii="Arial" w:cs="Arial" w:eastAsia="Arial" w:hAnsi="Arial"/>
          <w:b w:val="1"/>
          <w:bCs w:val="1"/>
          <w:color w:val="1f1f1f"/>
          <w:rtl w:val="0"/>
        </w:rPr>
        <w:t xml:space="preserve">: Patient Selection</w:t>
      </w:r>
      <w:r w:rsidDel="00000000" w:rsidR="00000000" w:rsidRPr="00000000">
        <w:rPr>
          <w:rFonts w:ascii="Arial" w:cs="Arial" w:eastAsia="Arial" w:hAnsi="Arial"/>
          <w:color w:val="1f1f1f"/>
          <w:rtl w:val="0"/>
        </w:rPr>
        <w:t xml:space="preserve"> (49’’)</w:t>
      </w:r>
      <w:r w:rsidDel="00000000" w:rsidR="00000000" w:rsidRPr="00000000">
        <w:rPr>
          <w:rtl w:val="0"/>
        </w:rPr>
      </w:r>
    </w:p>
    <w:p w:rsidR="00000000" w:rsidDel="00000000" w:rsidP="00000000" w:rsidRDefault="00000000" w:rsidRPr="00000000" w14:paraId="00000005">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consists of 148 3D CT Colonography (CTC) volumes acquired at two centers. For each patient, we were provided with the 3D CT scan and a manual mask delineating the volume to be analyzed - from which radiomic features are extracted.</w:t>
      </w:r>
    </w:p>
    <w:p w:rsidR="00000000" w:rsidDel="00000000" w:rsidP="00000000" w:rsidRDefault="00000000" w:rsidRPr="00000000" w14:paraId="00000006">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The reference standard for the classification task is the diagnostic label associated with each case - diverticular disease vs. colorectal cancer - which is provided separately as the outcome label and used to train and evaluate the classifiers.</w:t>
      </w:r>
    </w:p>
    <w:p w:rsidR="00000000" w:rsidDel="00000000" w:rsidP="00000000" w:rsidRDefault="00000000" w:rsidRPr="00000000" w14:paraId="00000007">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Finally, for a subset of patients from Center A, a second independent manual segmentation performed by a second radiologist is available (Dataset 2). This enables the quantification of inter-observer variability and the assessment of how delineation differences impact the extracted features and, consequently, classification robustness.</w:t>
      </w:r>
      <w:r w:rsidDel="00000000" w:rsidR="00000000" w:rsidRPr="00000000">
        <w:rPr>
          <w:rtl w:val="0"/>
        </w:rPr>
      </w:r>
    </w:p>
    <w:p w:rsidR="00000000" w:rsidDel="00000000" w:rsidP="00000000" w:rsidRDefault="00000000" w:rsidRPr="00000000" w14:paraId="00000008">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3: (Lab 1) </w:t>
      </w:r>
      <w:r w:rsidDel="00000000" w:rsidR="00000000" w:rsidRPr="00000000">
        <w:rPr>
          <w:rFonts w:ascii="Arial" w:cs="Arial" w:eastAsia="Arial" w:hAnsi="Arial"/>
          <w:b w:val="1"/>
          <w:bCs w:val="1"/>
          <w:color w:val="1f1f1f"/>
          <w:rtl w:val="0"/>
        </w:rPr>
        <w:t xml:space="preserve">Definition of CS and TS, Image pre-processing (non </w:t>
      </w:r>
      <w:r w:rsidDel="00000000" w:rsidR="00000000" w:rsidRPr="00000000">
        <w:rPr>
          <w:rFonts w:ascii="Arial" w:cs="Arial" w:eastAsia="Arial" w:hAnsi="Arial"/>
          <w:b w:val="1"/>
          <w:bCs w:val="1"/>
          <w:color w:val="1f1f1f"/>
          <w:rtl w:val="0"/>
        </w:rPr>
        <w:t xml:space="preserve">applicato</w:t>
      </w:r>
      <w:r w:rsidDel="00000000" w:rsidR="00000000" w:rsidRPr="00000000">
        <w:rPr>
          <w:rFonts w:ascii="Arial" w:cs="Arial" w:eastAsia="Arial" w:hAnsi="Arial"/>
          <w:b w:val="1"/>
          <w:bCs w:val="1"/>
          <w:color w:val="1f1f1f"/>
          <w:rtl w:val="0"/>
        </w:rPr>
        <w:t xml:space="preserve">), identification of ROIs and corresponding labels</w:t>
      </w:r>
      <w:r w:rsidDel="00000000" w:rsidR="00000000" w:rsidRPr="00000000">
        <w:rPr>
          <w:rFonts w:ascii="Arial" w:cs="Arial" w:eastAsia="Arial" w:hAnsi="Arial"/>
          <w:color w:val="1f1f1f"/>
          <w:rtl w:val="0"/>
        </w:rPr>
        <w:t xml:space="preserve"> (1’21”)</w:t>
      </w:r>
      <w:r w:rsidDel="00000000" w:rsidR="00000000" w:rsidRPr="00000000">
        <w:rPr>
          <w:rtl w:val="0"/>
        </w:rPr>
      </w:r>
    </w:p>
    <w:p w:rsidR="00000000" w:rsidDel="00000000" w:rsidP="00000000" w:rsidRDefault="00000000" w:rsidRPr="00000000" w14:paraId="0000000A">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One of the most critical decisions in the CAD system design was the splitting of patients into a Construction Set and a Test Set, as this choice influences the credibility and generalizability of all subsequent analyses.</w:t>
      </w:r>
    </w:p>
    <w:p w:rsidR="00000000" w:rsidDel="00000000" w:rsidP="00000000" w:rsidRDefault="00000000" w:rsidRPr="00000000" w14:paraId="0000000B">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Before defining the split, we performed a descriptive characterization of the data by calculating simple yet highly informative statistics directly on the images, using the manual masks as ROIs. Specifically, for each lesion, we calculated the mean intensity, standard deviation, and voxel count, which summarize the mean intensity level, heterogeneity, and size of the segmented region, respectively.</w:t>
      </w:r>
    </w:p>
    <w:p w:rsidR="00000000" w:rsidDel="00000000" w:rsidP="00000000" w:rsidRDefault="00000000" w:rsidRPr="00000000" w14:paraId="0000000C">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The results immediately reveal that ROI size is extremely variable: indeed, the voxel count ranges from a minimum of a few hundred voxels to tens of thousands of voxels. This parameter is crucial, as the same means or standard deviations—which are also highly heterogeneous—estimated on a few hundred voxels have a very different reliability compared to those estimated on ROIs with thousands of voxels.</w:t>
      </w:r>
    </w:p>
    <w:p w:rsidR="00000000" w:rsidDel="00000000" w:rsidP="00000000" w:rsidRDefault="00000000" w:rsidRPr="00000000" w14:paraId="0000000D">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risk of variability related to the acquisition center, we chose not to mix the centers and to adopt a block sampling approach: Center A as the Construction Set and Center B as the independent Test Set. This setup specifically allows for the evaluation of the system's generalizability in a realistic and heterogeneous context.</w:t>
      </w:r>
    </w:p>
    <w:p w:rsidR="00000000" w:rsidDel="00000000" w:rsidP="00000000" w:rsidRDefault="00000000" w:rsidRPr="00000000" w14:paraId="0000000E">
      <w:pPr>
        <w:pBdr>
          <w:top w:color="auto" w:space="0" w:sz="0" w:val="none"/>
          <w:bottom w:color="auto" w:space="0" w:sz="0" w:val="none"/>
          <w:between w:color="auto" w:space="0" w:sz="0" w:val="none"/>
        </w:pBdr>
        <w:spacing w:after="240" w:before="240" w:lineRule="auto"/>
        <w:rPr>
          <w:rFonts w:ascii="Arial" w:cs="Arial" w:eastAsia="Arial" w:hAnsi="Arial"/>
          <w:color w:val="1f1f1f"/>
        </w:rPr>
      </w:pPr>
      <w:r w:rsidDel="00000000" w:rsidR="00000000" w:rsidRPr="00000000">
        <w:rPr>
          <w:rFonts w:ascii="Arial" w:cs="Arial" w:eastAsia="Arial" w:hAnsi="Arial"/>
          <w:color w:val="1f1f1f"/>
          <w:rtl w:val="0"/>
        </w:rPr>
        <w:t xml:space="preserve">Finally, at this stage, we deliberately avoided normalization or pre-processing to reduce the risk of introducing bias into the CAD system design.</w:t>
      </w:r>
      <w:r w:rsidDel="00000000" w:rsidR="00000000" w:rsidRPr="00000000">
        <w:rPr>
          <w:rtl w:val="0"/>
        </w:rPr>
      </w:r>
    </w:p>
    <w:p w:rsidR="00000000" w:rsidDel="00000000" w:rsidP="00000000" w:rsidRDefault="00000000" w:rsidRPr="00000000" w14:paraId="0000000F">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4: (Lab 2 Step 1) </w:t>
      </w:r>
      <w:r w:rsidDel="00000000" w:rsidR="00000000" w:rsidRPr="00000000">
        <w:rPr>
          <w:rFonts w:ascii="Arial" w:cs="Arial" w:eastAsia="Arial" w:hAnsi="Arial"/>
          <w:b w:val="1"/>
          <w:bCs w:val="1"/>
          <w:color w:val="1f1f1f"/>
          <w:rtl w:val="0"/>
        </w:rPr>
        <w:t xml:space="preserve">Feature extraction</w:t>
      </w:r>
      <w:r w:rsidDel="00000000" w:rsidR="00000000" w:rsidRPr="00000000">
        <w:rPr>
          <w:rFonts w:ascii="Arial" w:cs="Arial" w:eastAsia="Arial" w:hAnsi="Arial"/>
          <w:color w:val="1f1f1f"/>
          <w:rtl w:val="0"/>
        </w:rPr>
        <w:t xml:space="preserve"> (1’14”)</w:t>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Using the PyRadiomics package on the original, unfiltered Volumes of Interest (VOI) from the Construction Set, we extracted shape, first-order, and texture radiomic features.</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Specifically, for discretization, a binWidth of 10 Hounsfield Units (HU) was selected to strike a balance between noise suppression and the highlighting of finer texture differences within smaller structures. Subsequently, a re-segmentation range of [-79, 149]—determined using a p1-p99 percentile criterion—was applied to exclude atypical HU values within the ROIs that could potentially distort the features.</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Finally, we set distance = 1, enabling the extraction of more detailed texture features, and symmetricalGLCM = true, based on the assumption that texture in medical tissue analysis is isotropic, or at least to focus solely on non-directional heterogeneities. This approach ensured more efficient computation and greater feature stability, yielding invariance to patient or scanner rotation.</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We then associated the image ID and the corresponding reference standard with each feature set. Furthermore, two additional matrices were generated from the original feature matrix: one using min-max scaling normalization, and the other using z-score standardization.</w:t>
      </w:r>
      <w:r w:rsidDel="00000000" w:rsidR="00000000" w:rsidRPr="00000000">
        <w:rPr>
          <w:rtl w:val="0"/>
        </w:rPr>
      </w:r>
    </w:p>
    <w:p w:rsidR="00000000" w:rsidDel="00000000" w:rsidP="00000000" w:rsidRDefault="00000000" w:rsidRPr="00000000" w14:paraId="00000015">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5: (Lab 2 Step 2-3) </w:t>
      </w:r>
      <w:r w:rsidDel="00000000" w:rsidR="00000000" w:rsidRPr="00000000">
        <w:rPr>
          <w:rFonts w:ascii="Arial" w:cs="Arial" w:eastAsia="Arial" w:hAnsi="Arial"/>
          <w:b w:val="1"/>
          <w:bCs w:val="1"/>
          <w:color w:val="1f1f1f"/>
          <w:rtl w:val="0"/>
        </w:rPr>
        <w:t xml:space="preserve">Data preprocessing: outlier detection and feature robustness evaluation</w:t>
      </w:r>
      <w:r w:rsidDel="00000000" w:rsidR="00000000" w:rsidRPr="00000000">
        <w:rPr>
          <w:rFonts w:ascii="Arial" w:cs="Arial" w:eastAsia="Arial" w:hAnsi="Arial"/>
          <w:color w:val="1f1f1f"/>
          <w:rtl w:val="0"/>
        </w:rPr>
        <w:t xml:space="preserve"> (1’12”)</w:t>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First, working on the standardized data, we performed outlier detection at the feature level, flagging as unstable those features where more than 10% of patients fell outside the Interquartile Range (IQR). Specifically, 5 features were flagged and removed from subsequent analysis to mitigate the risk of a few 'problematic' features driving erroneous interpretations. Subsequently, the remaining features were used for hierarchical clustering using Euclidean distance at the individual patient level; from this analysis, patient 104 emerged as a distinct outlier. Rather than arbitrarily removing this case from the Construction Set, it was reallocated to the Validation Set to prevent training on noisy data and subsequent overfitting.</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feature robustness against inter-operator variability was assessed using the subset of images with double segmentation (n = 41). To this end, features were extracted from the second segmentation, and the Intraclass Correlation Coefficient (ICC) was calculated for each feature between the two segmentations. Features with an ICC &gt; 0.7 were considered robust, resulting in the retention of 91 out of the initial 107 features.</w:t>
      </w:r>
      <w:r w:rsidDel="00000000" w:rsidR="00000000" w:rsidRPr="00000000">
        <w:rPr>
          <w:rtl w:val="0"/>
        </w:rPr>
      </w:r>
    </w:p>
    <w:p w:rsidR="00000000" w:rsidDel="00000000" w:rsidP="00000000" w:rsidRDefault="00000000" w:rsidRPr="00000000" w14:paraId="00000019">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6: (Lab 3) </w:t>
      </w:r>
      <w:r w:rsidDel="00000000" w:rsidR="00000000" w:rsidRPr="00000000">
        <w:rPr>
          <w:rFonts w:ascii="Arial" w:cs="Arial" w:eastAsia="Arial" w:hAnsi="Arial"/>
          <w:b w:val="1"/>
          <w:bCs w:val="1"/>
          <w:color w:val="1f1f1f"/>
          <w:rtl w:val="0"/>
        </w:rPr>
        <w:t xml:space="preserve">Data pre-processing: feature selection </w:t>
      </w:r>
      <w:r w:rsidDel="00000000" w:rsidR="00000000" w:rsidRPr="00000000">
        <w:rPr>
          <w:rFonts w:ascii="Arial" w:cs="Arial" w:eastAsia="Arial" w:hAnsi="Arial"/>
          <w:color w:val="1f1f1f"/>
          <w:rtl w:val="0"/>
        </w:rPr>
        <w:t xml:space="preserve">(1’15”)</w:t>
      </w:r>
      <w:r w:rsidDel="00000000" w:rsidR="00000000" w:rsidRPr="00000000">
        <w:rPr>
          <w:rtl w:val="0"/>
        </w:rPr>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To reduce dimensionality—a crucial step for mitigating overfitting—several feature selection algorithms were applied.</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Minimum Redundancy Maximum Relevance (mRMR) algorithm produced a ranking of the 61 robust features with non-zero relevance, ordering them according to the Mutual Information Quotient (MIQ).</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Quick Reduct Algorithm (QRA) utilized features with 5-bin 'equal-width discretization' to extract a subset of 6 features, based on the concept of 'dependency degree'.</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the Entropy-Based Reduction (EBR) algorithm—again using discretized features—yielded a subset of 6 features, relying on 'conditional information entropy'.</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Genetic Algorithm (GA) employed a Logistic Regression classifier with 5-fold cross-validation to identify the optimal feature combination over 100 generations, applying a penalty for solutions with a larger number of features to prevent overfitting.</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Finally, using a Decision Tree (DT) trained on the entire Construction Set, potential splits were evaluated via the Gini Index, allowing for the selection of a subset of 10 features with an 'importance score' greater than zero.</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7: (Lab 4) </w:t>
      </w:r>
      <w:r w:rsidDel="00000000" w:rsidR="00000000" w:rsidRPr="00000000">
        <w:rPr>
          <w:rFonts w:ascii="Arial" w:cs="Arial" w:eastAsia="Arial" w:hAnsi="Arial"/>
          <w:b w:val="1"/>
          <w:bCs w:val="1"/>
          <w:color w:val="1f1f1f"/>
          <w:rtl w:val="0"/>
        </w:rPr>
        <w:t xml:space="preserve">Construction of TRS and VS, CAD system training</w:t>
      </w:r>
      <w:r w:rsidDel="00000000" w:rsidR="00000000" w:rsidRPr="00000000">
        <w:rPr>
          <w:rFonts w:ascii="Arial" w:cs="Arial" w:eastAsia="Arial" w:hAnsi="Arial"/>
          <w:color w:val="1f1f1f"/>
          <w:rtl w:val="0"/>
        </w:rPr>
        <w:t xml:space="preserve"> (1’21” + 58”)</w:t>
      </w:r>
      <w:r w:rsidDel="00000000" w:rsidR="00000000" w:rsidRPr="00000000">
        <w:rPr>
          <w:rtl w:val="0"/>
        </w:rPr>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Construction Set was subsequently partitioned to facilitate model training and fine-tuning. Specifically, 80% of the samples were allocated to the Training Set and the remaining 20% to the Validation Set.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partition was performed using stratified sampling based on diagnosis to preserve the original class distribution (diverticulitis vs. cancer) and ensure dataset representativeness. Additionally, the patient identified as an outlier was forcefully included in the Validation Set.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Regarding modeling, the obtained feature sets were evaluated using a suite of classifiers: Naive Bayes, Decision Tree, Logistic Regression, Random Forest, SVM, KNN, and MLP. The only exception was the feature set derived from Genetic Algorithms (GA), which was tested solely using Logistic Regression, as this model served as the internal evaluator within the feature selection algorithm itself.</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Finally, to reduce the dimensionality of the features obtained via mRMR, an iterative procedure was applied: features were sequentially added to a Logistic Regression model based on their ranking (from highest to lowest MIQ). The top 15 features were selected as they offered the best trade-off between risk of overfitting and performance on the validation set, measured in terms of Balanced Accuracy.</w:t>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Subsequently, hyperparameter optimization was performed for each model (e.g., max depth or max leaf nodes for Decision Trees) based on the Balanced Accuracy achieved on the validation set. Additionally, the discrimination threshold was optimized within a ROC analysis to achieve a minimum sensitivity of 95%. This was done in order to minimize the number of False Negatives, since the clinical cost of an undiagnosed cancer - a False Negative - is unacceptable compared to the cost of a superfluous assessment, or False Positive.</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optimized models were trained on the training set and fine-tuned on the validation set, which was also used for performance verification. A critical analysis of the results reveals that models based on Decision Trees or KNN with few neighbors often exhibit a significant gap in Balanced Accuracy between the Training and Validation sets, indicating a tendency to overfit to local details.</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for future analyses, we decided to filter out models showing clear signs of overfitting, specifically excluding those with a Balanced Accuracy gap greater than 0.15 between the Training and Validation sets. Additionally, we excluded models with Specificity lower than 40% to eliminate those unable to maintain high sensitivity without assigning the positive, cancerous label to all cases.</w:t>
      </w:r>
    </w:p>
    <w:p w:rsidR="00000000" w:rsidDel="00000000" w:rsidP="00000000" w:rsidRDefault="00000000" w:rsidRPr="00000000" w14:paraId="0000002C">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8: (Lab 5) </w:t>
      </w:r>
      <w:r w:rsidDel="00000000" w:rsidR="00000000" w:rsidRPr="00000000">
        <w:rPr>
          <w:rFonts w:ascii="Arial" w:cs="Arial" w:eastAsia="Arial" w:hAnsi="Arial"/>
          <w:b w:val="1"/>
          <w:bCs w:val="1"/>
          <w:color w:val="1f1f1f"/>
          <w:rtl w:val="0"/>
        </w:rPr>
        <w:t xml:space="preserve">Evaluation of CAD performance</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color w:val="1f1f1f"/>
          <w:rtl w:val="0"/>
        </w:rPr>
        <w:t xml:space="preserve">(49”)</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To assess the true generalizability of the CAD systems, the selected models (i.e., those showing no signs of overfitting) were evaluated on the independent Test Set, comprising images from Center B.</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processing pipeline used for the Construction Set was replicated for this dataset: features were extracted, and predictions were generated using the classifiers trained on the corresponding feature subsets.</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When </w:t>
      </w:r>
      <w:r w:rsidDel="00000000" w:rsidR="00000000" w:rsidRPr="00000000">
        <w:rPr>
          <w:rFonts w:ascii="Arial" w:cs="Arial" w:eastAsia="Arial" w:hAnsi="Arial"/>
          <w:color w:val="1f1f1f"/>
          <w:rtl w:val="0"/>
        </w:rPr>
        <w:t xml:space="preserve">analyzing behavior on the independent Test Set, we observed complex generalization dynamics. Although Balanced Accuracy and Specificity are maintained - sometimes exceeding internal validation results - there is a notable drop in Sensitivity. This suggests that the domain shift mainly affected the model's capacity to detect the cancerous class, making it more specific but less sensitive. From a clinical perspective, to guarantee patient safety in new centers, the decision threshold must be recalibrated to lower values, sacrificing part of this specificity to regain the necessary sensitivity.</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f1f1f"/>
          <w:rtl w:val="0"/>
        </w:rPr>
        <w:t xml:space="preserve">Slide 9: (Lab 6 Step 1) </w:t>
      </w:r>
      <w:r w:rsidDel="00000000" w:rsidR="00000000" w:rsidRPr="00000000">
        <w:rPr>
          <w:rFonts w:ascii="Arial" w:cs="Arial" w:eastAsia="Arial" w:hAnsi="Arial"/>
          <w:b w:val="1"/>
          <w:bCs w:val="1"/>
          <w:color w:val="1f1f1f"/>
          <w:rtl w:val="0"/>
        </w:rPr>
        <w:t xml:space="preserve">Evaluation of CAD robustnes</w:t>
      </w:r>
      <w:r w:rsidDel="00000000" w:rsidR="00000000" w:rsidRPr="00000000">
        <w:rPr>
          <w:rFonts w:ascii="Arial" w:cs="Arial" w:eastAsia="Arial" w:hAnsi="Arial"/>
          <w:b w:val="1"/>
          <w:bCs w:val="1"/>
          <w:color w:val="1f1f1f"/>
          <w:rtl w:val="0"/>
        </w:rPr>
        <w:t xml:space="preserve">s</w:t>
      </w:r>
      <w:r w:rsidDel="00000000" w:rsidR="00000000" w:rsidRPr="00000000">
        <w:rPr>
          <w:rFonts w:ascii="Arial" w:cs="Arial" w:eastAsia="Arial" w:hAnsi="Arial"/>
          <w:color w:val="1f1f1f"/>
          <w:rtl w:val="0"/>
        </w:rPr>
        <w:t xml:space="preserve"> (43”)</w: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In parallel, a robustness analysis of the CAD systems was conducted by comparing predictions on images with dual segmentation. </w:t>
      </w:r>
      <w:r w:rsidDel="00000000" w:rsidR="00000000" w:rsidRPr="00000000">
        <w:rPr>
          <w:rFonts w:ascii="Arial" w:cs="Arial" w:eastAsia="Arial" w:hAnsi="Arial"/>
          <w:color w:val="1f1f1f"/>
          <w:rtl w:val="0"/>
        </w:rPr>
        <w:t xml:space="preserve">Specifically, the analysis of the agreement rate for the same model across the two segmentations revealed how classifier simplicity favors reproducibility.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mRMR + Naive Bayes and GA + Logistic Regression configurations dominate with Agreement Rates close to 90%, whereas models based on more complex logic, such as Random Forest, exhibit a much more marked variability to manual contour variations. This confirms that, given comparable predictive performance, probabilistic or linear models offer superior stability against inter-operator variability.</w:t>
      </w:r>
      <w:r w:rsidDel="00000000" w:rsidR="00000000" w:rsidRPr="00000000">
        <w:rPr>
          <w:rtl w:val="0"/>
        </w:rPr>
      </w:r>
    </w:p>
    <w:p w:rsidR="00000000" w:rsidDel="00000000" w:rsidP="00000000" w:rsidRDefault="00000000" w:rsidRPr="00000000" w14:paraId="00000034">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10: (Lab 6 Step 2) </w:t>
      </w:r>
      <w:r w:rsidDel="00000000" w:rsidR="00000000" w:rsidRPr="00000000">
        <w:rPr>
          <w:rFonts w:ascii="Arial" w:cs="Arial" w:eastAsia="Arial" w:hAnsi="Arial"/>
          <w:b w:val="1"/>
          <w:bCs w:val="1"/>
          <w:color w:val="1f1f1f"/>
          <w:rtl w:val="0"/>
        </w:rPr>
        <w:t xml:space="preserve">Evaluation of CAD robustness</w:t>
      </w:r>
      <w:r w:rsidDel="00000000" w:rsidR="00000000" w:rsidRPr="00000000">
        <w:rPr>
          <w:rFonts w:ascii="Arial" w:cs="Arial" w:eastAsia="Arial" w:hAnsi="Arial"/>
          <w:color w:val="1f1f1f"/>
          <w:rtl w:val="0"/>
        </w:rPr>
        <w:t xml:space="preserve"> (36”)</w:t>
      </w:r>
      <w:r w:rsidDel="00000000" w:rsidR="00000000" w:rsidRPr="00000000">
        <w:rPr>
          <w:rtl w:val="0"/>
        </w:rPr>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Subsequently, to quantify the impact of segmentation accuracy on model robustness, the images were stratified into two subsets based on the Dice Similarity Coefficient (DSC) between the paired segmentations. The median DSC value served as the threshold: one subset comprised images with high mask overlap (DSC &gt; median), while the other contained the remaining cases with higher inter-observer variability.</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Generally, a slight decline in the agreement rate was observed in the lower DSC subset. This phenomenon is expected, as a higher DSC implies a more unambiguous definition of the Region of Interest (ROI), closely aligning with the training data distribution. However, cases exhibiting a drastic drop in agreement, like QRA + Random Forest, were interpreted as less robust and, therefore, having limited generalization capability against inter-observer variability.</w:t>
      </w:r>
      <w:r w:rsidDel="00000000" w:rsidR="00000000" w:rsidRPr="00000000">
        <w:rPr>
          <w:rtl w:val="0"/>
        </w:rPr>
      </w:r>
    </w:p>
    <w:p w:rsidR="00000000" w:rsidDel="00000000" w:rsidP="00000000" w:rsidRDefault="00000000" w:rsidRPr="00000000" w14:paraId="00000038">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11: (Lab 6 Step 3, Lab 7-8 Step 1) Improvements</w:t>
      </w:r>
      <w:r w:rsidDel="00000000" w:rsidR="00000000" w:rsidRPr="00000000">
        <w:rPr>
          <w:rFonts w:ascii="Arial" w:cs="Arial" w:eastAsia="Arial" w:hAnsi="Arial"/>
          <w:color w:val="1f1f1f"/>
          <w:rtl w:val="0"/>
        </w:rPr>
        <w:t xml:space="preserve"> (1’7”)</w:t>
      </w:r>
      <w:r w:rsidDel="00000000" w:rsidR="00000000" w:rsidRPr="00000000">
        <w:rPr>
          <w:rtl w:val="0"/>
        </w:rPr>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the impact of inter-operator variability, stricter robustness criteria were applied by restricting the analysis exclusively to features with an Intraclass Correlation Coefficient (ICC) &gt; 0.8. Based on this subset of highly stable features, the various feature selection and classification pipelines were reconstructed. The resulting models, free from overfitting, were then evaluated on both the independent Test Set and the dual-segmentation dataset.</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results, the adoption </w:t>
      </w:r>
      <w:r w:rsidDel="00000000" w:rsidR="00000000" w:rsidRPr="00000000">
        <w:rPr>
          <w:rFonts w:ascii="Arial" w:cs="Arial" w:eastAsia="Arial" w:hAnsi="Arial"/>
          <w:color w:val="1f1f1f"/>
          <w:rtl w:val="0"/>
        </w:rPr>
        <w:t xml:space="preserve">of a stricter threshold for feature robustness allowed us to build models with similar performances that were generally more consistent, demonstrating enhanced generalizability. Specifically, the mRMR + Naive Bayes configuration stood out for its high agreement rate even in cases with poor segmentation overlap, while maintaining excellent performances on both Validation and Test sets.</w:t>
      </w:r>
      <w:r w:rsidDel="00000000" w:rsidR="00000000" w:rsidRPr="00000000">
        <w:rPr>
          <w:rtl w:val="0"/>
        </w:rPr>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Finally, to further improve system stability, an Ensemble Learning strategy was implemented. The outputs of various model combinations - weak learners - were aggregated using an 'at least one' rule, where a positive classification was assigned if any underlying model voted positive in order to minimize False Negatives.</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Although Ensemble approaches showed slight improvements in terms of Balanced Accuracy and Sensitivity, these marginal gains were obtained at the expense of overall robustness. As highlighted by the graphs, no ensemble managed to match the stability of the single mRMR + Naive Bayes model. Including inherently more unstable classifiers in the mix, ended up diluting the system's consistency against inter-operator variability rather than reinforcing it. This is particularly evident in cases with low overlap, where ensemble stability drops compared to the single Naive Bayes, confirming that in this context architectural complexity does not necessarily translate into greater clinical reliability.</w:t>
      </w:r>
      <w:r w:rsidDel="00000000" w:rsidR="00000000" w:rsidRPr="00000000">
        <w:rPr>
          <w:rtl w:val="0"/>
        </w:rPr>
      </w:r>
    </w:p>
    <w:p w:rsidR="00000000" w:rsidDel="00000000" w:rsidP="00000000" w:rsidRDefault="00000000" w:rsidRPr="00000000" w14:paraId="0000003F">
      <w:pPr>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444746"/>
          <w:sz w:val="40"/>
          <w:szCs w:val="40"/>
          <w:highlight w:val="white"/>
          <w:vertAlign w:val="superscript"/>
        </w:rPr>
      </w:pPr>
      <w:r w:rsidDel="00000000" w:rsidR="00000000" w:rsidRPr="00000000">
        <w:rPr>
          <w:rFonts w:ascii="Arial" w:cs="Arial" w:eastAsia="Arial" w:hAnsi="Arial"/>
          <w:b w:val="1"/>
          <w:bCs w:val="1"/>
          <w:color w:val="1f1f1f"/>
          <w:rtl w:val="0"/>
        </w:rPr>
        <w:t xml:space="preserve">Slide 12: (Lab 7-8 Step 2) </w:t>
      </w:r>
      <w:r w:rsidDel="00000000" w:rsidR="00000000" w:rsidRPr="00000000">
        <w:rPr>
          <w:rFonts w:ascii="Arial" w:cs="Arial" w:eastAsia="Arial" w:hAnsi="Arial"/>
          <w:b w:val="1"/>
          <w:bCs w:val="1"/>
          <w:color w:val="1f1f1f"/>
          <w:rtl w:val="0"/>
        </w:rPr>
        <w:t xml:space="preserve">Work explanation to doc</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color w:val="1f1f1f"/>
          <w:rtl w:val="0"/>
        </w:rPr>
        <w:t xml:space="preserve">(1’19”)</w:t>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From a clinical and radiological perspective, particularly in the geriatric population, advanced diverticular disease can closely mimic the morphological features of colorectal carcinoma. Even utilizing CT Colonography (CTC), differential diagnosis remains challenging in some cases, where biopsy remains the only definitive solution, despite being invasive, time-consuming, and not always immediately necessary.</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The aim of this study is to employ a Computer-Aided Diagnosis system for quantitative and reproducible image analysis to support radiological diagnosis. In practice, the workflow begins with 3D CTC scans, where the radiologist manually delineates the region of interest (ROI), mirroring standard clinical practice. Within this region, the system automatically extracts numerical parameters (radiomics) that capture tissue properties that are only qualitatively perceptible to the human eye. Finally, the system generates a predicted classification - diverticular disease or colorectal cancer.</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A crucial aspect of this research was ensuring the tool's reliability in clinical settings. Therefore, multi-center data and stable features were used in order to ensure overall robustness against shifts in technology, target population, and segmentation accuracy. Our system adopted a safety-first strategy to minimize missed cancers, accepting that this may lead to additional, but manageable checks. In particular, it correctly identified 22 of the 27 cases of cancer, reaching a sensitivity of 81.5%, and 14 of the 15 cases of diverticular disease, with a 93.3% specificity.</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such a robust tool is envisioned as a Clinical Decision Support System (CDSS) capable of optimizing diagnostic pathways and potentially reducing unnecessary invasive procedures, serving as an aid, rather than a replacement, for clinical judgment.</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b w:val="1"/>
      <w:bCs w:val="1"/>
      <w:sz w:val="32"/>
      <w:szCs w:val="32"/>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44"/>
      <w:szCs w:val="44"/>
    </w:rPr>
  </w:style>
  <w:style w:type="paragraph" w:styleId="Subtitle">
    <w:name w:val="Subtitle"/>
    <w:basedOn w:val="Normal"/>
    <w:next w:val="Normal"/>
    <w:pPr>
      <w:keepNext w:val="1"/>
      <w:keepLines w:val="1"/>
      <w:spacing w:after="320" w:lineRule="auto"/>
    </w:pPr>
    <w:rPr>
      <w:color w:val="666666"/>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